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62D5" w14:textId="2C69A6AB" w:rsidR="00103C6B" w:rsidRPr="0050424B" w:rsidRDefault="0050424B" w:rsidP="0050424B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504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5125697" wp14:editId="4B90AF1A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868170" cy="390525"/>
            <wp:effectExtent l="0" t="0" r="0" b="9525"/>
            <wp:wrapSquare wrapText="bothSides"/>
            <wp:docPr id="1" name="Picture 1" descr="Funded by th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ed by the E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3B3C">
        <w:rPr>
          <w:rFonts w:ascii="Arial" w:hAnsi="Arial" w:cs="Arial"/>
          <w:b/>
          <w:sz w:val="40"/>
          <w:szCs w:val="40"/>
        </w:rPr>
        <w:t xml:space="preserve">TA contract </w:t>
      </w:r>
      <w:r w:rsidR="00103C6B" w:rsidRPr="0050424B">
        <w:rPr>
          <w:rFonts w:ascii="Arial" w:hAnsi="Arial" w:cs="Arial"/>
          <w:b/>
          <w:sz w:val="40"/>
          <w:szCs w:val="40"/>
        </w:rPr>
        <w:t>FACTSHEET</w:t>
      </w:r>
    </w:p>
    <w:p w14:paraId="1D105ACD" w14:textId="77777777" w:rsidR="00103C6B" w:rsidRPr="0050424B" w:rsidRDefault="00103C6B">
      <w:pPr>
        <w:rPr>
          <w:rFonts w:ascii="Arial" w:hAnsi="Arial" w:cs="Arial"/>
        </w:rPr>
      </w:pPr>
    </w:p>
    <w:p w14:paraId="36848C67" w14:textId="1E5003B9" w:rsidR="00532DFF" w:rsidRPr="005E13ED" w:rsidRDefault="00EF0FAA" w:rsidP="005E13ED">
      <w:pPr>
        <w:jc w:val="center"/>
        <w:rPr>
          <w:rFonts w:ascii="Arial" w:hAnsi="Arial" w:cs="Arial"/>
          <w:b/>
          <w:sz w:val="36"/>
          <w:szCs w:val="36"/>
          <w:shd w:val="clear" w:color="auto" w:fill="9CC2E5" w:themeFill="accent1" w:themeFillTint="99"/>
        </w:rPr>
      </w:pPr>
      <w:r w:rsidRPr="005E13ED">
        <w:rPr>
          <w:rFonts w:ascii="Arial" w:hAnsi="Arial" w:cs="Arial"/>
          <w:b/>
          <w:sz w:val="36"/>
          <w:szCs w:val="36"/>
          <w:shd w:val="clear" w:color="auto" w:fill="9CC2E5" w:themeFill="accent1" w:themeFillTint="99"/>
        </w:rPr>
        <w:t xml:space="preserve">Title: </w:t>
      </w:r>
      <w:r w:rsidR="00532DFF" w:rsidRPr="005E13ED">
        <w:rPr>
          <w:rFonts w:ascii="Arial" w:hAnsi="Arial" w:cs="Arial"/>
          <w:b/>
          <w:sz w:val="36"/>
          <w:szCs w:val="36"/>
          <w:shd w:val="clear" w:color="auto" w:fill="9CC2E5" w:themeFill="accent1" w:themeFillTint="99"/>
        </w:rPr>
        <w:t>Safe Digital Boost for Africa “</w:t>
      </w:r>
      <w:proofErr w:type="spellStart"/>
      <w:r w:rsidR="00532DFF" w:rsidRPr="005E13ED">
        <w:rPr>
          <w:rFonts w:ascii="Arial" w:hAnsi="Arial" w:cs="Arial"/>
          <w:b/>
          <w:sz w:val="36"/>
          <w:szCs w:val="36"/>
          <w:shd w:val="clear" w:color="auto" w:fill="9CC2E5" w:themeFill="accent1" w:themeFillTint="99"/>
        </w:rPr>
        <w:t>SDBA</w:t>
      </w:r>
      <w:proofErr w:type="spellEnd"/>
      <w:r w:rsidR="00532DFF" w:rsidRPr="005E13ED">
        <w:rPr>
          <w:rFonts w:ascii="Arial" w:hAnsi="Arial" w:cs="Arial"/>
          <w:b/>
          <w:sz w:val="36"/>
          <w:szCs w:val="36"/>
          <w:shd w:val="clear" w:color="auto" w:fill="9CC2E5" w:themeFill="accent1" w:themeFillTint="99"/>
        </w:rPr>
        <w:t>” Coordination and Technical Assistance</w:t>
      </w:r>
      <w:r w:rsidR="00DF5F74" w:rsidRPr="005E13ED">
        <w:rPr>
          <w:rFonts w:ascii="Arial" w:hAnsi="Arial" w:cs="Arial"/>
          <w:b/>
          <w:sz w:val="36"/>
          <w:szCs w:val="36"/>
          <w:shd w:val="clear" w:color="auto" w:fill="9CC2E5" w:themeFill="accent1" w:themeFillTint="99"/>
        </w:rPr>
        <w:t xml:space="preserve"> </w:t>
      </w:r>
      <w:r w:rsidR="00632B45">
        <w:rPr>
          <w:rFonts w:ascii="Arial" w:hAnsi="Arial" w:cs="Arial"/>
          <w:b/>
          <w:sz w:val="36"/>
          <w:szCs w:val="36"/>
          <w:shd w:val="clear" w:color="auto" w:fill="9CC2E5" w:themeFill="accent1" w:themeFillTint="99"/>
        </w:rPr>
        <w:t xml:space="preserve">– SADC </w:t>
      </w:r>
    </w:p>
    <w:p w14:paraId="4560E8F1" w14:textId="77777777" w:rsidR="00632B45" w:rsidRDefault="00632B45" w:rsidP="0050424B">
      <w:pPr>
        <w:spacing w:before="240"/>
        <w:rPr>
          <w:rFonts w:ascii="Arial" w:hAnsi="Arial" w:cs="Arial"/>
          <w:b/>
          <w:sz w:val="24"/>
          <w:szCs w:val="24"/>
        </w:rPr>
      </w:pPr>
    </w:p>
    <w:p w14:paraId="0BF2B03E" w14:textId="6C5182CD" w:rsidR="0050424B" w:rsidRPr="00476CB7" w:rsidRDefault="0050424B" w:rsidP="0050424B">
      <w:pPr>
        <w:spacing w:before="240"/>
        <w:rPr>
          <w:rFonts w:ascii="Arial" w:hAnsi="Arial" w:cs="Arial"/>
          <w:sz w:val="24"/>
          <w:szCs w:val="24"/>
          <w:lang w:val="fr-BE"/>
        </w:rPr>
      </w:pPr>
      <w:r w:rsidRPr="00476CB7">
        <w:rPr>
          <w:rFonts w:ascii="Arial" w:hAnsi="Arial" w:cs="Arial"/>
          <w:b/>
          <w:sz w:val="24"/>
          <w:szCs w:val="24"/>
          <w:lang w:val="fr-BE"/>
        </w:rPr>
        <w:t xml:space="preserve">EU </w:t>
      </w:r>
      <w:proofErr w:type="gramStart"/>
      <w:r w:rsidRPr="00476CB7">
        <w:rPr>
          <w:rFonts w:ascii="Arial" w:hAnsi="Arial" w:cs="Arial"/>
          <w:b/>
          <w:sz w:val="24"/>
          <w:szCs w:val="24"/>
          <w:lang w:val="fr-BE"/>
        </w:rPr>
        <w:t>contribution</w:t>
      </w:r>
      <w:r w:rsidRPr="00476CB7">
        <w:rPr>
          <w:rFonts w:ascii="Arial" w:hAnsi="Arial" w:cs="Arial"/>
          <w:sz w:val="24"/>
          <w:szCs w:val="24"/>
          <w:lang w:val="fr-BE"/>
        </w:rPr>
        <w:t>:</w:t>
      </w:r>
      <w:proofErr w:type="gramEnd"/>
      <w:r w:rsidRPr="00476CB7">
        <w:rPr>
          <w:rFonts w:ascii="Arial" w:hAnsi="Arial" w:cs="Arial"/>
          <w:sz w:val="24"/>
          <w:szCs w:val="24"/>
          <w:lang w:val="fr-BE"/>
        </w:rPr>
        <w:t xml:space="preserve"> € </w:t>
      </w:r>
      <w:r w:rsidR="00D53B3C" w:rsidRPr="00476CB7">
        <w:rPr>
          <w:rFonts w:ascii="Arial" w:hAnsi="Arial" w:cs="Arial"/>
          <w:sz w:val="24"/>
          <w:szCs w:val="24"/>
          <w:lang w:val="fr-BE"/>
        </w:rPr>
        <w:t>1 099 380</w:t>
      </w:r>
      <w:r w:rsidR="00476CB7" w:rsidRPr="00476CB7">
        <w:rPr>
          <w:rFonts w:ascii="Arial" w:hAnsi="Arial" w:cs="Arial"/>
          <w:sz w:val="24"/>
          <w:szCs w:val="24"/>
          <w:lang w:val="fr-BE"/>
        </w:rPr>
        <w:t xml:space="preserve"> (approx. </w:t>
      </w:r>
      <w:proofErr w:type="spellStart"/>
      <w:r w:rsidR="00476CB7" w:rsidRPr="00476CB7">
        <w:rPr>
          <w:rFonts w:ascii="Arial" w:hAnsi="Arial" w:cs="Arial"/>
          <w:sz w:val="24"/>
          <w:szCs w:val="24"/>
          <w:lang w:val="fr-BE"/>
        </w:rPr>
        <w:t>BWP</w:t>
      </w:r>
      <w:proofErr w:type="spellEnd"/>
      <w:r w:rsidR="00476CB7" w:rsidRPr="00476CB7">
        <w:rPr>
          <w:rFonts w:ascii="Arial" w:hAnsi="Arial" w:cs="Arial"/>
          <w:sz w:val="24"/>
          <w:szCs w:val="24"/>
          <w:lang w:val="fr-BE"/>
        </w:rPr>
        <w:t xml:space="preserve"> 17 million)</w:t>
      </w:r>
    </w:p>
    <w:p w14:paraId="785FF57D" w14:textId="53DF4012" w:rsidR="00103C6B" w:rsidRPr="00EE59EC" w:rsidRDefault="00103C6B" w:rsidP="0050424B">
      <w:pPr>
        <w:spacing w:before="240"/>
        <w:rPr>
          <w:rFonts w:ascii="Arial" w:hAnsi="Arial" w:cs="Arial"/>
          <w:sz w:val="24"/>
          <w:szCs w:val="24"/>
        </w:rPr>
      </w:pPr>
      <w:r w:rsidRPr="00EE59EC">
        <w:rPr>
          <w:rFonts w:ascii="Arial" w:hAnsi="Arial" w:cs="Arial"/>
          <w:b/>
          <w:sz w:val="24"/>
          <w:szCs w:val="24"/>
        </w:rPr>
        <w:t>Period of implementation</w:t>
      </w:r>
      <w:r w:rsidRPr="00EE59EC">
        <w:rPr>
          <w:rFonts w:ascii="Arial" w:hAnsi="Arial" w:cs="Arial"/>
          <w:sz w:val="24"/>
          <w:szCs w:val="24"/>
        </w:rPr>
        <w:t>:</w:t>
      </w:r>
      <w:r w:rsidR="0050424B" w:rsidRPr="00EE59EC">
        <w:rPr>
          <w:rFonts w:ascii="Arial" w:hAnsi="Arial" w:cs="Arial"/>
          <w:sz w:val="24"/>
          <w:szCs w:val="24"/>
        </w:rPr>
        <w:t xml:space="preserve"> </w:t>
      </w:r>
      <w:r w:rsidR="00476CB7">
        <w:rPr>
          <w:rFonts w:ascii="Arial" w:hAnsi="Arial" w:cs="Arial"/>
          <w:sz w:val="24"/>
          <w:szCs w:val="24"/>
        </w:rPr>
        <w:t xml:space="preserve">2025 to 2029 </w:t>
      </w:r>
    </w:p>
    <w:p w14:paraId="1459BABE" w14:textId="536637ED" w:rsidR="00103C6B" w:rsidRPr="00EE59EC" w:rsidRDefault="00103C6B" w:rsidP="0050424B">
      <w:pPr>
        <w:spacing w:before="240"/>
        <w:rPr>
          <w:rFonts w:ascii="Arial" w:hAnsi="Arial" w:cs="Arial"/>
          <w:sz w:val="24"/>
          <w:szCs w:val="24"/>
        </w:rPr>
      </w:pPr>
      <w:r w:rsidRPr="00EE59EC">
        <w:rPr>
          <w:rFonts w:ascii="Arial" w:hAnsi="Arial" w:cs="Arial"/>
          <w:b/>
          <w:sz w:val="24"/>
          <w:szCs w:val="24"/>
        </w:rPr>
        <w:t>Location</w:t>
      </w:r>
      <w:r w:rsidRPr="00EE59EC">
        <w:rPr>
          <w:rFonts w:ascii="Arial" w:hAnsi="Arial" w:cs="Arial"/>
          <w:sz w:val="24"/>
          <w:szCs w:val="24"/>
        </w:rPr>
        <w:t>:</w:t>
      </w:r>
      <w:r w:rsidR="0050424B" w:rsidRPr="00EE59EC">
        <w:rPr>
          <w:rFonts w:ascii="Arial" w:hAnsi="Arial" w:cs="Arial"/>
          <w:sz w:val="24"/>
          <w:szCs w:val="24"/>
        </w:rPr>
        <w:t xml:space="preserve"> </w:t>
      </w:r>
      <w:r w:rsidR="00632B45">
        <w:rPr>
          <w:rFonts w:ascii="Arial" w:hAnsi="Arial" w:cs="Arial"/>
          <w:sz w:val="24"/>
          <w:szCs w:val="24"/>
        </w:rPr>
        <w:t>S</w:t>
      </w:r>
      <w:r w:rsidR="00476CB7">
        <w:rPr>
          <w:rFonts w:ascii="Arial" w:hAnsi="Arial" w:cs="Arial"/>
          <w:sz w:val="24"/>
          <w:szCs w:val="24"/>
        </w:rPr>
        <w:t xml:space="preserve">outhern African Development Community </w:t>
      </w:r>
    </w:p>
    <w:p w14:paraId="1443F40E" w14:textId="77777777" w:rsidR="00D53B3C" w:rsidRDefault="00103C6B" w:rsidP="00D53B3C">
      <w:pPr>
        <w:spacing w:before="240"/>
        <w:rPr>
          <w:rFonts w:ascii="Arial" w:hAnsi="Arial" w:cs="Arial"/>
          <w:sz w:val="24"/>
          <w:szCs w:val="24"/>
        </w:rPr>
      </w:pPr>
      <w:r w:rsidRPr="00EE59EC">
        <w:rPr>
          <w:rFonts w:ascii="Arial" w:hAnsi="Arial" w:cs="Arial"/>
          <w:b/>
          <w:sz w:val="24"/>
          <w:szCs w:val="24"/>
        </w:rPr>
        <w:t>Implementing organisation(s)</w:t>
      </w:r>
      <w:r w:rsidRPr="00EE59EC">
        <w:rPr>
          <w:rFonts w:ascii="Arial" w:hAnsi="Arial" w:cs="Arial"/>
          <w:sz w:val="24"/>
          <w:szCs w:val="24"/>
        </w:rPr>
        <w:t>:</w:t>
      </w:r>
      <w:r w:rsidR="0050424B" w:rsidRPr="00EE59EC">
        <w:rPr>
          <w:rFonts w:ascii="Arial" w:hAnsi="Arial" w:cs="Arial"/>
          <w:sz w:val="24"/>
          <w:szCs w:val="24"/>
        </w:rPr>
        <w:t xml:space="preserve"> </w:t>
      </w:r>
      <w:r w:rsidR="00D53B3C" w:rsidRPr="00D53B3C">
        <w:rPr>
          <w:rFonts w:ascii="Arial" w:hAnsi="Arial" w:cs="Arial"/>
          <w:sz w:val="24"/>
          <w:szCs w:val="24"/>
        </w:rPr>
        <w:t>NTT DATA BELGIQUE</w:t>
      </w:r>
    </w:p>
    <w:p w14:paraId="15D1F59F" w14:textId="35F374DF" w:rsidR="00103C6B" w:rsidRPr="00632B45" w:rsidRDefault="004D6CAA" w:rsidP="00D53B3C">
      <w:pPr>
        <w:spacing w:before="240"/>
        <w:rPr>
          <w:rFonts w:ascii="Arial" w:hAnsi="Arial" w:cs="Arial"/>
        </w:rPr>
      </w:pPr>
      <w:r w:rsidRPr="00632B45">
        <w:rPr>
          <w:rFonts w:ascii="Arial" w:hAnsi="Arial" w:cs="Arial"/>
          <w:b/>
          <w:sz w:val="24"/>
          <w:szCs w:val="24"/>
        </w:rPr>
        <w:t>Objectives</w:t>
      </w:r>
      <w:r w:rsidR="009E7CE9" w:rsidRPr="00632B45">
        <w:rPr>
          <w:rFonts w:ascii="Arial" w:hAnsi="Arial" w:cs="Arial"/>
          <w:b/>
          <w:sz w:val="24"/>
          <w:szCs w:val="24"/>
        </w:rPr>
        <w:t xml:space="preserve"> and </w:t>
      </w:r>
      <w:r w:rsidR="00103C6B" w:rsidRPr="00632B45">
        <w:rPr>
          <w:rFonts w:ascii="Arial" w:hAnsi="Arial" w:cs="Arial"/>
          <w:b/>
          <w:sz w:val="24"/>
          <w:szCs w:val="24"/>
        </w:rPr>
        <w:t>description</w:t>
      </w:r>
      <w:r w:rsidR="00103C6B" w:rsidRPr="00632B45">
        <w:rPr>
          <w:rFonts w:ascii="Arial" w:hAnsi="Arial" w:cs="Arial"/>
        </w:rPr>
        <w:t>:</w:t>
      </w:r>
    </w:p>
    <w:p w14:paraId="1CAF78D7" w14:textId="77777777" w:rsidR="00632B45" w:rsidRDefault="004D6CAA" w:rsidP="004D6CA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This contract seeks t</w:t>
      </w:r>
      <w:r w:rsidR="00DF5F74" w:rsidRPr="00DF5F74">
        <w:rPr>
          <w:sz w:val="23"/>
          <w:szCs w:val="23"/>
        </w:rPr>
        <w:t xml:space="preserve">o accelerate EU-SADC cooperation and partnership under </w:t>
      </w:r>
      <w:proofErr w:type="spellStart"/>
      <w:r w:rsidR="00DF5F74" w:rsidRPr="00DF5F74">
        <w:rPr>
          <w:sz w:val="23"/>
          <w:szCs w:val="23"/>
        </w:rPr>
        <w:t>SDBA</w:t>
      </w:r>
      <w:proofErr w:type="spellEnd"/>
      <w:r w:rsidR="00DF5F74" w:rsidRPr="00DF5F74">
        <w:rPr>
          <w:sz w:val="23"/>
          <w:szCs w:val="23"/>
        </w:rPr>
        <w:t xml:space="preserve"> Action and its areas of interventions in line with </w:t>
      </w:r>
      <w:r>
        <w:rPr>
          <w:sz w:val="23"/>
          <w:szCs w:val="23"/>
        </w:rPr>
        <w:t xml:space="preserve">the </w:t>
      </w:r>
      <w:r w:rsidR="00DF5F74" w:rsidRPr="00DF5F74">
        <w:rPr>
          <w:sz w:val="23"/>
          <w:szCs w:val="23"/>
        </w:rPr>
        <w:t xml:space="preserve">SADC </w:t>
      </w:r>
      <w:r>
        <w:rPr>
          <w:sz w:val="23"/>
          <w:szCs w:val="23"/>
        </w:rPr>
        <w:t>Digital Transformation Strategy</w:t>
      </w:r>
      <w:r w:rsidR="00DF5F74" w:rsidRPr="00DF5F74">
        <w:rPr>
          <w:sz w:val="23"/>
          <w:szCs w:val="23"/>
        </w:rPr>
        <w:t xml:space="preserve"> through targeted technical </w:t>
      </w:r>
      <w:r>
        <w:rPr>
          <w:sz w:val="23"/>
          <w:szCs w:val="23"/>
        </w:rPr>
        <w:t>assistance</w:t>
      </w:r>
      <w:r w:rsidR="00DF5F74" w:rsidRPr="00DF5F74">
        <w:rPr>
          <w:sz w:val="23"/>
          <w:szCs w:val="23"/>
        </w:rPr>
        <w:t>.</w:t>
      </w:r>
      <w:r w:rsidRPr="004D6CAA">
        <w:rPr>
          <w:sz w:val="23"/>
          <w:szCs w:val="23"/>
        </w:rPr>
        <w:t xml:space="preserve"> </w:t>
      </w:r>
    </w:p>
    <w:p w14:paraId="3FA0E222" w14:textId="77777777" w:rsidR="00632B45" w:rsidRDefault="00632B45" w:rsidP="004D6CAA">
      <w:pPr>
        <w:pStyle w:val="Default"/>
        <w:jc w:val="both"/>
        <w:rPr>
          <w:sz w:val="23"/>
          <w:szCs w:val="23"/>
        </w:rPr>
      </w:pPr>
    </w:p>
    <w:p w14:paraId="43F02BFE" w14:textId="77777777" w:rsidR="00632B45" w:rsidRPr="00DF5F74" w:rsidRDefault="00632B45" w:rsidP="00632B4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Pr="00DF5F74">
        <w:rPr>
          <w:sz w:val="23"/>
          <w:szCs w:val="23"/>
        </w:rPr>
        <w:t xml:space="preserve">SADC </w:t>
      </w:r>
      <w:proofErr w:type="spellStart"/>
      <w:r w:rsidRPr="00DF5F74">
        <w:rPr>
          <w:sz w:val="23"/>
          <w:szCs w:val="23"/>
        </w:rPr>
        <w:t>SDBA</w:t>
      </w:r>
      <w:proofErr w:type="spellEnd"/>
      <w:r w:rsidRPr="00DF5F74">
        <w:rPr>
          <w:sz w:val="23"/>
          <w:szCs w:val="23"/>
        </w:rPr>
        <w:t xml:space="preserve"> initiative </w:t>
      </w:r>
      <w:r>
        <w:rPr>
          <w:sz w:val="23"/>
          <w:szCs w:val="23"/>
        </w:rPr>
        <w:t xml:space="preserve">will be </w:t>
      </w:r>
      <w:r w:rsidRPr="00DF5F74">
        <w:rPr>
          <w:sz w:val="23"/>
          <w:szCs w:val="23"/>
        </w:rPr>
        <w:t>supported in its adequate formulation and preparation through coordination and consultation with relevant public and private stakeholders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>Additionally, there will be e</w:t>
      </w:r>
      <w:r w:rsidRPr="00DF5F74">
        <w:rPr>
          <w:sz w:val="23"/>
          <w:szCs w:val="23"/>
        </w:rPr>
        <w:t xml:space="preserve">nhanced coordination and collaboration of SADC </w:t>
      </w:r>
      <w:proofErr w:type="spellStart"/>
      <w:r w:rsidRPr="00DF5F74">
        <w:rPr>
          <w:sz w:val="23"/>
          <w:szCs w:val="23"/>
        </w:rPr>
        <w:t>SDBA</w:t>
      </w:r>
      <w:proofErr w:type="spellEnd"/>
      <w:r w:rsidRPr="00DF5F74">
        <w:rPr>
          <w:sz w:val="23"/>
          <w:szCs w:val="23"/>
        </w:rPr>
        <w:t xml:space="preserve"> component implementation with relevant SADC partners and private sector, SADC Member States as well as with other </w:t>
      </w:r>
      <w:proofErr w:type="spellStart"/>
      <w:r w:rsidRPr="00DF5F74">
        <w:rPr>
          <w:sz w:val="23"/>
          <w:szCs w:val="23"/>
        </w:rPr>
        <w:t>SDBA</w:t>
      </w:r>
      <w:proofErr w:type="spellEnd"/>
      <w:r w:rsidRPr="00DF5F74">
        <w:rPr>
          <w:sz w:val="23"/>
          <w:szCs w:val="23"/>
        </w:rPr>
        <w:t xml:space="preserve"> components and regional and bilateral programmes.</w:t>
      </w:r>
      <w:r w:rsidRPr="00DF5F74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Lastly, the </w:t>
      </w:r>
      <w:r w:rsidRPr="00DF5F74">
        <w:rPr>
          <w:sz w:val="23"/>
          <w:szCs w:val="23"/>
        </w:rPr>
        <w:t xml:space="preserve">SADC </w:t>
      </w:r>
      <w:proofErr w:type="spellStart"/>
      <w:r w:rsidRPr="00DF5F74">
        <w:rPr>
          <w:sz w:val="23"/>
          <w:szCs w:val="23"/>
        </w:rPr>
        <w:t>SDBA</w:t>
      </w:r>
      <w:proofErr w:type="spellEnd"/>
      <w:r w:rsidRPr="00DF5F74">
        <w:rPr>
          <w:sz w:val="23"/>
          <w:szCs w:val="23"/>
        </w:rPr>
        <w:t xml:space="preserve"> initiative </w:t>
      </w:r>
      <w:r>
        <w:rPr>
          <w:sz w:val="23"/>
          <w:szCs w:val="23"/>
        </w:rPr>
        <w:t xml:space="preserve">will be </w:t>
      </w:r>
      <w:r w:rsidRPr="00DF5F74">
        <w:rPr>
          <w:sz w:val="23"/>
          <w:szCs w:val="23"/>
        </w:rPr>
        <w:t xml:space="preserve">adequately supported by advisory and technical assistance to EU Delegation to Botswana and SADC, the SADC Secretariat and other related organisations with focus on </w:t>
      </w:r>
      <w:proofErr w:type="spellStart"/>
      <w:r w:rsidRPr="00DF5F74">
        <w:rPr>
          <w:sz w:val="23"/>
          <w:szCs w:val="23"/>
        </w:rPr>
        <w:t>SDBA</w:t>
      </w:r>
      <w:proofErr w:type="spellEnd"/>
      <w:r w:rsidRPr="00DF5F74">
        <w:rPr>
          <w:sz w:val="23"/>
          <w:szCs w:val="23"/>
        </w:rPr>
        <w:t xml:space="preserve"> areas of implementation.</w:t>
      </w:r>
    </w:p>
    <w:p w14:paraId="5C01964F" w14:textId="77777777" w:rsidR="00632B45" w:rsidRDefault="00632B45" w:rsidP="004D6CAA">
      <w:pPr>
        <w:pStyle w:val="Default"/>
        <w:jc w:val="both"/>
        <w:rPr>
          <w:sz w:val="23"/>
          <w:szCs w:val="23"/>
        </w:rPr>
      </w:pPr>
    </w:p>
    <w:p w14:paraId="4B568642" w14:textId="5F0A18AF" w:rsidR="004D6CAA" w:rsidRDefault="004D6CAA" w:rsidP="004D6CA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that regard, </w:t>
      </w:r>
      <w:r w:rsidR="00632B45">
        <w:rPr>
          <w:sz w:val="23"/>
          <w:szCs w:val="23"/>
        </w:rPr>
        <w:t>T</w:t>
      </w:r>
      <w:r>
        <w:rPr>
          <w:sz w:val="23"/>
          <w:szCs w:val="23"/>
        </w:rPr>
        <w:t xml:space="preserve">echnical Assistance </w:t>
      </w:r>
      <w:r w:rsidRPr="004759D7">
        <w:rPr>
          <w:sz w:val="23"/>
          <w:szCs w:val="23"/>
        </w:rPr>
        <w:t>will be delivered to EU</w:t>
      </w:r>
      <w:r>
        <w:rPr>
          <w:sz w:val="23"/>
          <w:szCs w:val="23"/>
        </w:rPr>
        <w:t xml:space="preserve"> </w:t>
      </w:r>
      <w:r w:rsidRPr="004759D7">
        <w:rPr>
          <w:sz w:val="23"/>
          <w:szCs w:val="23"/>
        </w:rPr>
        <w:t>a</w:t>
      </w:r>
      <w:r>
        <w:rPr>
          <w:sz w:val="23"/>
          <w:szCs w:val="23"/>
        </w:rPr>
        <w:t>n</w:t>
      </w:r>
      <w:r w:rsidRPr="004759D7">
        <w:rPr>
          <w:sz w:val="23"/>
          <w:szCs w:val="23"/>
        </w:rPr>
        <w:t xml:space="preserve">d SADC </w:t>
      </w:r>
      <w:r>
        <w:rPr>
          <w:sz w:val="23"/>
          <w:szCs w:val="23"/>
        </w:rPr>
        <w:t>S</w:t>
      </w:r>
      <w:r w:rsidRPr="004759D7">
        <w:rPr>
          <w:sz w:val="23"/>
          <w:szCs w:val="23"/>
        </w:rPr>
        <w:t xml:space="preserve">ecretariat by two </w:t>
      </w:r>
      <w:r>
        <w:rPr>
          <w:sz w:val="23"/>
          <w:szCs w:val="23"/>
        </w:rPr>
        <w:t>e</w:t>
      </w:r>
      <w:r w:rsidRPr="004759D7">
        <w:rPr>
          <w:sz w:val="23"/>
          <w:szCs w:val="23"/>
        </w:rPr>
        <w:t xml:space="preserve">xperts (in Cybersecurity/e-Government Expert and </w:t>
      </w:r>
      <w:r>
        <w:rPr>
          <w:sz w:val="23"/>
          <w:szCs w:val="23"/>
        </w:rPr>
        <w:t>e</w:t>
      </w:r>
      <w:r w:rsidRPr="004759D7">
        <w:rPr>
          <w:sz w:val="23"/>
          <w:szCs w:val="23"/>
        </w:rPr>
        <w:t>-Commerce</w:t>
      </w:r>
      <w:r>
        <w:rPr>
          <w:sz w:val="23"/>
          <w:szCs w:val="23"/>
        </w:rPr>
        <w:t>/e</w:t>
      </w:r>
      <w:r w:rsidRPr="004759D7">
        <w:rPr>
          <w:sz w:val="23"/>
          <w:szCs w:val="23"/>
        </w:rPr>
        <w:t>-Payment) for respectively 542 and 506 days over the four years duration of the support. The experts work</w:t>
      </w:r>
      <w:r>
        <w:rPr>
          <w:sz w:val="23"/>
          <w:szCs w:val="23"/>
        </w:rPr>
        <w:t xml:space="preserve"> </w:t>
      </w:r>
      <w:r w:rsidRPr="004759D7">
        <w:rPr>
          <w:sz w:val="23"/>
          <w:szCs w:val="23"/>
        </w:rPr>
        <w:t>embedded within SADC Secretar</w:t>
      </w:r>
      <w:r>
        <w:rPr>
          <w:sz w:val="23"/>
          <w:szCs w:val="23"/>
        </w:rPr>
        <w:t>i</w:t>
      </w:r>
      <w:r w:rsidRPr="004759D7">
        <w:rPr>
          <w:sz w:val="23"/>
          <w:szCs w:val="23"/>
        </w:rPr>
        <w:t>at.</w:t>
      </w:r>
    </w:p>
    <w:p w14:paraId="60D64F04" w14:textId="18A22A1E" w:rsidR="00476CB7" w:rsidRDefault="004D6CAA" w:rsidP="002634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466152F" w14:textId="66E723AB" w:rsidR="00476CB7" w:rsidRDefault="00476CB7" w:rsidP="002634F0">
      <w:pPr>
        <w:pStyle w:val="Default"/>
        <w:rPr>
          <w:sz w:val="23"/>
          <w:szCs w:val="23"/>
        </w:rPr>
      </w:pPr>
      <w:r w:rsidRPr="00FB36C9">
        <w:rPr>
          <w:b/>
          <w:bCs/>
        </w:rPr>
        <w:t>Incoming public / visibility events</w:t>
      </w:r>
      <w:r>
        <w:rPr>
          <w:b/>
          <w:bCs/>
        </w:rPr>
        <w:t>: -</w:t>
      </w:r>
    </w:p>
    <w:p w14:paraId="602D05A8" w14:textId="77777777" w:rsidR="00103C6B" w:rsidRPr="0050424B" w:rsidRDefault="00103C6B" w:rsidP="00103C6B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3A3EF6F7" w14:textId="117F6CA4" w:rsidR="00103C6B" w:rsidRDefault="00B82341" w:rsidP="00103C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Website</w:t>
      </w:r>
      <w:r w:rsidR="00103C6B" w:rsidRPr="0050424B">
        <w:rPr>
          <w:rFonts w:ascii="Arial" w:hAnsi="Arial" w:cs="Arial"/>
          <w:i/>
          <w:sz w:val="24"/>
          <w:szCs w:val="24"/>
        </w:rPr>
        <w:t xml:space="preserve"> / </w:t>
      </w:r>
      <w:r w:rsidR="00103C6B" w:rsidRPr="0050424B">
        <w:rPr>
          <w:rFonts w:ascii="Arial" w:hAnsi="Arial" w:cs="Arial"/>
          <w:b/>
          <w:i/>
          <w:sz w:val="24"/>
          <w:szCs w:val="24"/>
        </w:rPr>
        <w:t>Social media account links</w:t>
      </w:r>
      <w:r w:rsidR="00103C6B" w:rsidRPr="0050424B">
        <w:rPr>
          <w:rFonts w:ascii="Arial" w:hAnsi="Arial" w:cs="Arial"/>
          <w:sz w:val="24"/>
          <w:szCs w:val="24"/>
        </w:rPr>
        <w:t>:</w:t>
      </w:r>
    </w:p>
    <w:p w14:paraId="78860BD2" w14:textId="77777777" w:rsidR="004759D7" w:rsidRDefault="004172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DF5F74">
        <w:rPr>
          <w:rFonts w:ascii="Arial" w:hAnsi="Arial" w:cs="Arial"/>
          <w:sz w:val="24"/>
          <w:szCs w:val="24"/>
        </w:rPr>
        <w:t>/A</w:t>
      </w:r>
    </w:p>
    <w:p w14:paraId="36E39AD8" w14:textId="77777777" w:rsidR="004D6CAA" w:rsidRPr="0050424B" w:rsidRDefault="004D6CAA">
      <w:pPr>
        <w:rPr>
          <w:rFonts w:ascii="Arial" w:hAnsi="Arial" w:cs="Arial"/>
          <w:sz w:val="24"/>
          <w:szCs w:val="24"/>
        </w:rPr>
      </w:pPr>
    </w:p>
    <w:sectPr w:rsidR="004D6CAA" w:rsidRPr="0050424B" w:rsidSect="0050424B">
      <w:footerReference w:type="default" r:id="rId9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F9DDB" w14:textId="77777777" w:rsidR="000014AA" w:rsidRDefault="000014AA" w:rsidP="0050424B">
      <w:pPr>
        <w:spacing w:after="0" w:line="240" w:lineRule="auto"/>
      </w:pPr>
      <w:r>
        <w:separator/>
      </w:r>
    </w:p>
  </w:endnote>
  <w:endnote w:type="continuationSeparator" w:id="0">
    <w:p w14:paraId="25543640" w14:textId="77777777" w:rsidR="000014AA" w:rsidRDefault="000014AA" w:rsidP="0050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7F94" w14:textId="77777777" w:rsidR="004759D7" w:rsidRDefault="004759D7" w:rsidP="004759D7">
    <w:pPr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Information last update date:25/02/2026</w:t>
    </w:r>
  </w:p>
  <w:p w14:paraId="6F3EB552" w14:textId="77777777" w:rsidR="004759D7" w:rsidRDefault="00475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08A1" w14:textId="77777777" w:rsidR="000014AA" w:rsidRDefault="000014AA" w:rsidP="0050424B">
      <w:pPr>
        <w:spacing w:after="0" w:line="240" w:lineRule="auto"/>
      </w:pPr>
      <w:r>
        <w:separator/>
      </w:r>
    </w:p>
  </w:footnote>
  <w:footnote w:type="continuationSeparator" w:id="0">
    <w:p w14:paraId="5A9F06C9" w14:textId="77777777" w:rsidR="000014AA" w:rsidRDefault="000014AA" w:rsidP="00504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24D88"/>
    <w:multiLevelType w:val="hybridMultilevel"/>
    <w:tmpl w:val="80EC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7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03C6B"/>
    <w:rsid w:val="000014AA"/>
    <w:rsid w:val="00036D1A"/>
    <w:rsid w:val="000652A7"/>
    <w:rsid w:val="00103C6B"/>
    <w:rsid w:val="00214BDE"/>
    <w:rsid w:val="00232823"/>
    <w:rsid w:val="00251EDD"/>
    <w:rsid w:val="002634F0"/>
    <w:rsid w:val="00297922"/>
    <w:rsid w:val="002D0530"/>
    <w:rsid w:val="00307304"/>
    <w:rsid w:val="004113B2"/>
    <w:rsid w:val="004172F8"/>
    <w:rsid w:val="004759D7"/>
    <w:rsid w:val="00476CB7"/>
    <w:rsid w:val="004D6CAA"/>
    <w:rsid w:val="0050424B"/>
    <w:rsid w:val="00532DFF"/>
    <w:rsid w:val="005E13ED"/>
    <w:rsid w:val="005F6256"/>
    <w:rsid w:val="00632B45"/>
    <w:rsid w:val="00681CDD"/>
    <w:rsid w:val="006C63CD"/>
    <w:rsid w:val="008016F8"/>
    <w:rsid w:val="00957BEF"/>
    <w:rsid w:val="009862E8"/>
    <w:rsid w:val="009E7CE9"/>
    <w:rsid w:val="00B82341"/>
    <w:rsid w:val="00D46631"/>
    <w:rsid w:val="00D53B3C"/>
    <w:rsid w:val="00DF5F74"/>
    <w:rsid w:val="00EE59EC"/>
    <w:rsid w:val="00EF0FAA"/>
    <w:rsid w:val="00EF2161"/>
    <w:rsid w:val="00FA53C6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7AA5F4"/>
  <w15:chartTrackingRefBased/>
  <w15:docId w15:val="{81498267-5D03-4486-A877-644B5082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24B"/>
  </w:style>
  <w:style w:type="paragraph" w:styleId="Footer">
    <w:name w:val="footer"/>
    <w:basedOn w:val="Normal"/>
    <w:link w:val="FooterChar"/>
    <w:uiPriority w:val="99"/>
    <w:unhideWhenUsed/>
    <w:rsid w:val="0050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24B"/>
  </w:style>
  <w:style w:type="paragraph" w:styleId="ListParagraph">
    <w:name w:val="List Paragraph"/>
    <w:basedOn w:val="Normal"/>
    <w:uiPriority w:val="34"/>
    <w:qFormat/>
    <w:rsid w:val="005042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EDD"/>
    <w:rPr>
      <w:color w:val="0563C1" w:themeColor="hyperlink"/>
      <w:u w:val="single"/>
    </w:rPr>
  </w:style>
  <w:style w:type="paragraph" w:customStyle="1" w:styleId="Default">
    <w:name w:val="Default"/>
    <w:rsid w:val="002979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11C33-6C38-4B0B-9BEA-1C864ADF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GHERMAN Catalin (EEAS-GABORONE)</dc:creator>
  <cp:keywords/>
  <dc:description/>
  <cp:lastModifiedBy>GEERTMAN Ruben (EEAS-GABORONE)</cp:lastModifiedBy>
  <cp:revision>7</cp:revision>
  <dcterms:created xsi:type="dcterms:W3CDTF">2026-02-25T10:23:00Z</dcterms:created>
  <dcterms:modified xsi:type="dcterms:W3CDTF">2026-05-13T10:15:00Z</dcterms:modified>
</cp:coreProperties>
</file>