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E64B" w14:textId="77777777" w:rsidR="00103C6B" w:rsidRPr="00DD5C7C" w:rsidRDefault="0050424B" w:rsidP="00DD5C7C">
      <w:pPr>
        <w:pBdr>
          <w:bottom w:val="single" w:sz="4" w:space="1" w:color="auto"/>
        </w:pBdr>
        <w:jc w:val="right"/>
        <w:rPr>
          <w:rFonts w:ascii="Arial" w:hAnsi="Arial" w:cs="Arial"/>
        </w:rPr>
      </w:pPr>
      <w:r w:rsidRPr="00DD5C7C">
        <w:rPr>
          <w:rFonts w:ascii="Arial" w:hAnsi="Arial" w:cs="Arial"/>
          <w:noProof/>
          <w:lang w:eastAsia="en-GB"/>
        </w:rPr>
        <w:drawing>
          <wp:anchor distT="0" distB="0" distL="114300" distR="114300" simplePos="0" relativeHeight="251658240" behindDoc="0" locked="0" layoutInCell="1" allowOverlap="1" wp14:anchorId="2304CB90" wp14:editId="0A020F2F">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DD5C7C">
        <w:rPr>
          <w:rFonts w:ascii="Arial" w:hAnsi="Arial" w:cs="Arial"/>
          <w:b/>
          <w:sz w:val="40"/>
          <w:szCs w:val="40"/>
        </w:rPr>
        <w:t>PROJECT FACTSHEET</w:t>
      </w:r>
    </w:p>
    <w:p w14:paraId="392D7276" w14:textId="64108084" w:rsidR="00103C6B" w:rsidRPr="00DD5C7C" w:rsidRDefault="00F5589D" w:rsidP="00DD5C7C">
      <w:pPr>
        <w:spacing w:before="240"/>
        <w:jc w:val="center"/>
        <w:rPr>
          <w:rFonts w:asciiTheme="minorBidi" w:hAnsiTheme="minorBidi"/>
          <w:b/>
          <w:bCs/>
          <w:sz w:val="28"/>
          <w:szCs w:val="28"/>
        </w:rPr>
      </w:pPr>
      <w:r w:rsidRPr="00DD5C7C">
        <w:rPr>
          <w:rFonts w:ascii="Arial" w:hAnsi="Arial" w:cs="Arial"/>
          <w:b/>
          <w:sz w:val="36"/>
          <w:szCs w:val="36"/>
          <w:shd w:val="clear" w:color="auto" w:fill="9CC2E5" w:themeFill="accent1" w:themeFillTint="99"/>
        </w:rPr>
        <w:t>THINK TWICE!</w:t>
      </w:r>
    </w:p>
    <w:p w14:paraId="7ADDD73A" w14:textId="00639E7B" w:rsidR="0050424B" w:rsidRPr="00DD5C7C" w:rsidRDefault="0050424B" w:rsidP="00DD5C7C">
      <w:pPr>
        <w:pStyle w:val="Default"/>
        <w:jc w:val="both"/>
        <w:rPr>
          <w:color w:val="auto"/>
          <w:sz w:val="22"/>
          <w:szCs w:val="22"/>
          <w:lang w:val="fr-BE"/>
        </w:rPr>
      </w:pPr>
      <w:r w:rsidRPr="00DD5C7C">
        <w:rPr>
          <w:b/>
          <w:lang w:val="fr-BE"/>
        </w:rPr>
        <w:t xml:space="preserve">EU </w:t>
      </w:r>
      <w:proofErr w:type="gramStart"/>
      <w:r w:rsidRPr="00DD5C7C">
        <w:rPr>
          <w:b/>
          <w:lang w:val="fr-BE"/>
        </w:rPr>
        <w:t>contribution</w:t>
      </w:r>
      <w:r w:rsidRPr="00DD5C7C">
        <w:rPr>
          <w:lang w:val="fr-BE"/>
        </w:rPr>
        <w:t>:</w:t>
      </w:r>
      <w:proofErr w:type="gramEnd"/>
      <w:r w:rsidRPr="00DD5C7C">
        <w:rPr>
          <w:lang w:val="fr-BE"/>
        </w:rPr>
        <w:t xml:space="preserve"> </w:t>
      </w:r>
      <w:r w:rsidR="00DD5C7C" w:rsidRPr="00DD5C7C">
        <w:rPr>
          <w:sz w:val="22"/>
          <w:szCs w:val="22"/>
          <w:lang w:val="fr-BE"/>
        </w:rPr>
        <w:t>€</w:t>
      </w:r>
      <w:r w:rsidR="00DD5C7C" w:rsidRPr="00DD5C7C">
        <w:rPr>
          <w:color w:val="auto"/>
          <w:sz w:val="22"/>
          <w:szCs w:val="22"/>
          <w:lang w:val="fr-BE"/>
        </w:rPr>
        <w:t xml:space="preserve"> </w:t>
      </w:r>
      <w:r w:rsidR="00DD5C7C" w:rsidRPr="00DD5C7C">
        <w:rPr>
          <w:color w:val="auto"/>
          <w:sz w:val="22"/>
          <w:szCs w:val="22"/>
          <w:lang w:val="fr-BE"/>
        </w:rPr>
        <w:t>200 000</w:t>
      </w:r>
      <w:r w:rsidR="00DD5C7C" w:rsidRPr="00DD5C7C">
        <w:rPr>
          <w:color w:val="auto"/>
          <w:sz w:val="22"/>
          <w:szCs w:val="22"/>
          <w:lang w:val="fr-BE"/>
        </w:rPr>
        <w:t xml:space="preserve"> (approx. </w:t>
      </w:r>
      <w:proofErr w:type="spellStart"/>
      <w:r w:rsidR="00DD5C7C" w:rsidRPr="00DD5C7C">
        <w:rPr>
          <w:color w:val="auto"/>
          <w:sz w:val="22"/>
          <w:szCs w:val="22"/>
          <w:lang w:val="fr-BE"/>
        </w:rPr>
        <w:t>BWP</w:t>
      </w:r>
      <w:proofErr w:type="spellEnd"/>
      <w:r w:rsidR="00DD5C7C" w:rsidRPr="00DD5C7C">
        <w:rPr>
          <w:color w:val="auto"/>
          <w:sz w:val="22"/>
          <w:szCs w:val="22"/>
          <w:lang w:val="fr-BE"/>
        </w:rPr>
        <w:t xml:space="preserve"> </w:t>
      </w:r>
      <w:r w:rsidR="00DD5C7C" w:rsidRPr="00DD5C7C">
        <w:rPr>
          <w:color w:val="auto"/>
          <w:sz w:val="22"/>
          <w:szCs w:val="22"/>
          <w:lang w:val="fr-BE"/>
        </w:rPr>
        <w:t>3 million</w:t>
      </w:r>
      <w:r w:rsidR="00DD5C7C" w:rsidRPr="00DD5C7C">
        <w:rPr>
          <w:color w:val="auto"/>
          <w:sz w:val="22"/>
          <w:szCs w:val="22"/>
          <w:lang w:val="fr-BE"/>
        </w:rPr>
        <w:t>)</w:t>
      </w:r>
    </w:p>
    <w:p w14:paraId="5081FC1C" w14:textId="4A3C37F4" w:rsidR="00DD5C7C" w:rsidRPr="00DD5C7C" w:rsidRDefault="00103C6B" w:rsidP="00DD5C7C">
      <w:pPr>
        <w:spacing w:before="240"/>
        <w:jc w:val="both"/>
        <w:rPr>
          <w:rFonts w:ascii="Arial" w:hAnsi="Arial" w:cs="Arial"/>
          <w:b/>
        </w:rPr>
      </w:pPr>
      <w:r w:rsidRPr="00DD5C7C">
        <w:rPr>
          <w:rFonts w:ascii="Arial" w:hAnsi="Arial" w:cs="Arial"/>
          <w:b/>
        </w:rPr>
        <w:t>Period of implementation</w:t>
      </w:r>
      <w:r w:rsidR="00DD5C7C" w:rsidRPr="00DD5C7C">
        <w:rPr>
          <w:rFonts w:ascii="Arial" w:hAnsi="Arial" w:cs="Arial"/>
          <w:b/>
        </w:rPr>
        <w:t xml:space="preserve">: </w:t>
      </w:r>
      <w:r w:rsidR="00DD5C7C" w:rsidRPr="00DD5C7C">
        <w:rPr>
          <w:rFonts w:ascii="Arial" w:hAnsi="Arial" w:cs="Arial"/>
          <w:bCs/>
        </w:rPr>
        <w:t>2024-2027</w:t>
      </w:r>
    </w:p>
    <w:p w14:paraId="2B96CF7F" w14:textId="365D9AC7" w:rsidR="00103C6B" w:rsidRPr="00DD5C7C" w:rsidRDefault="00DD5C7C" w:rsidP="00DD5C7C">
      <w:pPr>
        <w:spacing w:before="240"/>
        <w:jc w:val="both"/>
        <w:rPr>
          <w:rFonts w:ascii="Arial" w:hAnsi="Arial" w:cs="Arial"/>
        </w:rPr>
      </w:pPr>
      <w:r w:rsidRPr="00DD5C7C">
        <w:rPr>
          <w:rFonts w:ascii="Arial" w:hAnsi="Arial" w:cs="Arial"/>
          <w:b/>
        </w:rPr>
        <w:t>L</w:t>
      </w:r>
      <w:r w:rsidR="00EF2ABF" w:rsidRPr="00DD5C7C">
        <w:rPr>
          <w:rFonts w:ascii="Arial" w:hAnsi="Arial" w:cs="Arial"/>
          <w:b/>
        </w:rPr>
        <w:t>ocation</w:t>
      </w:r>
      <w:r w:rsidR="00103C6B" w:rsidRPr="00DD5C7C">
        <w:rPr>
          <w:rFonts w:ascii="Arial" w:hAnsi="Arial" w:cs="Arial"/>
        </w:rPr>
        <w:t>:</w:t>
      </w:r>
      <w:r w:rsidR="0050424B" w:rsidRPr="00DD5C7C">
        <w:rPr>
          <w:rFonts w:ascii="Arial" w:hAnsi="Arial" w:cs="Arial"/>
        </w:rPr>
        <w:t xml:space="preserve"> </w:t>
      </w:r>
      <w:proofErr w:type="spellStart"/>
      <w:r w:rsidR="00EF2ABF" w:rsidRPr="00DD5C7C">
        <w:rPr>
          <w:rFonts w:ascii="Arial" w:hAnsi="Arial" w:cs="Arial"/>
        </w:rPr>
        <w:t>Ghanzi</w:t>
      </w:r>
      <w:proofErr w:type="spellEnd"/>
      <w:r w:rsidR="00EF2ABF" w:rsidRPr="00DD5C7C">
        <w:rPr>
          <w:rFonts w:ascii="Arial" w:hAnsi="Arial" w:cs="Arial"/>
        </w:rPr>
        <w:t xml:space="preserve"> District</w:t>
      </w:r>
      <w:r w:rsidRPr="00DD5C7C">
        <w:rPr>
          <w:rFonts w:ascii="Arial" w:hAnsi="Arial" w:cs="Arial"/>
        </w:rPr>
        <w:t>, Botswana</w:t>
      </w:r>
      <w:r w:rsidR="00EF2ABF" w:rsidRPr="00DD5C7C">
        <w:rPr>
          <w:rFonts w:ascii="Arial" w:hAnsi="Arial" w:cs="Arial"/>
        </w:rPr>
        <w:t xml:space="preserve"> </w:t>
      </w:r>
    </w:p>
    <w:p w14:paraId="301E26E0" w14:textId="77777777" w:rsidR="00103C6B" w:rsidRPr="00DD5C7C" w:rsidRDefault="00103C6B" w:rsidP="00DD5C7C">
      <w:pPr>
        <w:spacing w:before="240"/>
        <w:jc w:val="both"/>
        <w:rPr>
          <w:rFonts w:ascii="Arial" w:hAnsi="Arial" w:cs="Arial"/>
        </w:rPr>
      </w:pPr>
      <w:r w:rsidRPr="00DD5C7C">
        <w:rPr>
          <w:rFonts w:ascii="Arial" w:hAnsi="Arial" w:cs="Arial"/>
          <w:b/>
        </w:rPr>
        <w:t>Implementing organisation(s)</w:t>
      </w:r>
      <w:r w:rsidRPr="00DD5C7C">
        <w:rPr>
          <w:rFonts w:ascii="Arial" w:hAnsi="Arial" w:cs="Arial"/>
        </w:rPr>
        <w:t>:</w:t>
      </w:r>
      <w:r w:rsidR="0050424B" w:rsidRPr="00DD5C7C">
        <w:rPr>
          <w:rFonts w:ascii="Arial" w:hAnsi="Arial" w:cs="Arial"/>
        </w:rPr>
        <w:t xml:space="preserve"> </w:t>
      </w:r>
      <w:r w:rsidR="00F5589D" w:rsidRPr="00DD5C7C">
        <w:rPr>
          <w:rFonts w:ascii="Arial" w:hAnsi="Arial" w:cs="Arial"/>
        </w:rPr>
        <w:t xml:space="preserve">Taka Tuka, </w:t>
      </w:r>
      <w:proofErr w:type="spellStart"/>
      <w:r w:rsidR="00F5589D" w:rsidRPr="00DD5C7C">
        <w:rPr>
          <w:rFonts w:ascii="Arial" w:hAnsi="Arial" w:cs="Arial"/>
        </w:rPr>
        <w:t>Ghanzi</w:t>
      </w:r>
      <w:proofErr w:type="spellEnd"/>
      <w:r w:rsidR="00F5589D" w:rsidRPr="00DD5C7C">
        <w:rPr>
          <w:rFonts w:ascii="Arial" w:hAnsi="Arial" w:cs="Arial"/>
        </w:rPr>
        <w:t xml:space="preserve"> </w:t>
      </w:r>
      <w:proofErr w:type="spellStart"/>
      <w:r w:rsidR="00F5589D" w:rsidRPr="00DD5C7C">
        <w:rPr>
          <w:rFonts w:ascii="Arial" w:hAnsi="Arial" w:cs="Arial"/>
        </w:rPr>
        <w:t>Distric</w:t>
      </w:r>
      <w:proofErr w:type="spellEnd"/>
      <w:r w:rsidR="00F5589D" w:rsidRPr="00DD5C7C">
        <w:rPr>
          <w:rFonts w:ascii="Arial" w:hAnsi="Arial" w:cs="Arial"/>
        </w:rPr>
        <w:t xml:space="preserve"> Council, </w:t>
      </w:r>
      <w:proofErr w:type="spellStart"/>
      <w:r w:rsidR="00F5589D" w:rsidRPr="00DD5C7C">
        <w:rPr>
          <w:rFonts w:ascii="Arial" w:hAnsi="Arial" w:cs="Arial"/>
        </w:rPr>
        <w:t>Letloa</w:t>
      </w:r>
      <w:proofErr w:type="spellEnd"/>
      <w:r w:rsidR="00F5589D" w:rsidRPr="00DD5C7C">
        <w:rPr>
          <w:rFonts w:ascii="Arial" w:hAnsi="Arial" w:cs="Arial"/>
        </w:rPr>
        <w:t xml:space="preserve"> Trust, Humana People to People Botswana, Men and Boys for Gender Equality </w:t>
      </w:r>
    </w:p>
    <w:p w14:paraId="736B2C9B" w14:textId="77777777" w:rsidR="00DD5C7C" w:rsidRPr="00DD5C7C" w:rsidRDefault="00DD5C7C" w:rsidP="00DD5C7C">
      <w:pPr>
        <w:jc w:val="both"/>
        <w:rPr>
          <w:rFonts w:ascii="Arial" w:hAnsi="Arial" w:cs="Arial"/>
          <w:b/>
          <w:u w:val="single"/>
        </w:rPr>
      </w:pPr>
      <w:r w:rsidRPr="00DD5C7C">
        <w:rPr>
          <w:rFonts w:ascii="Arial" w:hAnsi="Arial" w:cs="Arial"/>
          <w:b/>
          <w:u w:val="single"/>
        </w:rPr>
        <w:t>Project objectives and description:</w:t>
      </w:r>
    </w:p>
    <w:p w14:paraId="6850CAE3" w14:textId="63BEC9E5" w:rsidR="00DD5C7C" w:rsidRPr="00DD5C7C" w:rsidRDefault="00DD5C7C" w:rsidP="00DD5C7C">
      <w:pPr>
        <w:jc w:val="both"/>
        <w:rPr>
          <w:rFonts w:ascii="Arial" w:hAnsi="Arial" w:cs="Arial"/>
          <w:bCs/>
        </w:rPr>
      </w:pPr>
      <w:r w:rsidRPr="00DD5C7C">
        <w:rPr>
          <w:rFonts w:ascii="Arial" w:hAnsi="Arial" w:cs="Arial"/>
          <w:bCs/>
        </w:rPr>
        <w:t>This programme</w:t>
      </w:r>
      <w:r w:rsidRPr="00DD5C7C">
        <w:rPr>
          <w:rFonts w:ascii="Arial" w:hAnsi="Arial" w:cs="Arial"/>
          <w:bCs/>
        </w:rPr>
        <w:t xml:space="preserve"> addresses gaps in comprehensive sexuality education (CSE) in Botswana, particularly among marginalized San communities in </w:t>
      </w:r>
      <w:proofErr w:type="spellStart"/>
      <w:r w:rsidRPr="00DD5C7C">
        <w:rPr>
          <w:rFonts w:ascii="Arial" w:hAnsi="Arial" w:cs="Arial"/>
          <w:bCs/>
        </w:rPr>
        <w:t>Ghanzi</w:t>
      </w:r>
      <w:proofErr w:type="spellEnd"/>
      <w:r w:rsidRPr="00DD5C7C">
        <w:rPr>
          <w:rFonts w:ascii="Arial" w:hAnsi="Arial" w:cs="Arial"/>
          <w:bCs/>
        </w:rPr>
        <w:t xml:space="preserve"> District, where young people face high risks related to HIV, teenage pregnancy, and limited access to reliable information and services. </w:t>
      </w:r>
      <w:r w:rsidRPr="00DD5C7C">
        <w:rPr>
          <w:rFonts w:ascii="Arial" w:hAnsi="Arial" w:cs="Arial"/>
          <w:bCs/>
        </w:rPr>
        <w:t xml:space="preserve">It </w:t>
      </w:r>
      <w:r w:rsidRPr="00DD5C7C">
        <w:rPr>
          <w:rFonts w:ascii="Arial" w:hAnsi="Arial" w:cs="Arial"/>
          <w:bCs/>
        </w:rPr>
        <w:t>brings together civil society organisations, community leaders, and local authorities to strengthen cooperation and deliver inclusive, culturally sensitive sexuality education.</w:t>
      </w:r>
    </w:p>
    <w:p w14:paraId="359A9FDE" w14:textId="6784421D" w:rsidR="00DD5C7C" w:rsidRPr="00DD5C7C" w:rsidRDefault="00DD5C7C" w:rsidP="00DD5C7C">
      <w:pPr>
        <w:jc w:val="both"/>
        <w:rPr>
          <w:rFonts w:ascii="Arial" w:hAnsi="Arial" w:cs="Arial"/>
          <w:bCs/>
        </w:rPr>
      </w:pPr>
      <w:r w:rsidRPr="00DD5C7C">
        <w:rPr>
          <w:rFonts w:ascii="Arial" w:hAnsi="Arial" w:cs="Arial"/>
          <w:bCs/>
        </w:rPr>
        <w:t>Using educational theatre and drama, the project promotes safe and participatory learning on relationships, gender equality, and sexual health. Teachers, nurses, and social workers are trained in these methods, while young people—especially from the San community—are empowered to participate actively and lead awareness activities. Through training, outreach, and policy dialogue, the action aims to improve sexual and reproductive health knowledge and ensure marginalized voices are included in decision-making.</w:t>
      </w:r>
    </w:p>
    <w:p w14:paraId="07F3D368" w14:textId="77777777" w:rsidR="00DD5C7C" w:rsidRPr="00DD5C7C" w:rsidRDefault="00DD5C7C" w:rsidP="00DD5C7C">
      <w:pPr>
        <w:jc w:val="both"/>
        <w:rPr>
          <w:rFonts w:ascii="Arial" w:hAnsi="Arial" w:cs="Arial"/>
          <w:b/>
          <w:u w:val="single"/>
        </w:rPr>
      </w:pPr>
      <w:r w:rsidRPr="00DD5C7C">
        <w:rPr>
          <w:rFonts w:ascii="Arial" w:hAnsi="Arial" w:cs="Arial"/>
          <w:b/>
          <w:u w:val="single"/>
        </w:rPr>
        <w:t>Achievements / expected results:</w:t>
      </w:r>
    </w:p>
    <w:p w14:paraId="53571D93" w14:textId="57E94A0B" w:rsidR="00DD5C7C" w:rsidRPr="00DD5C7C" w:rsidRDefault="00DD5C7C" w:rsidP="00DD5C7C">
      <w:pPr>
        <w:jc w:val="both"/>
        <w:rPr>
          <w:rFonts w:ascii="Arial" w:hAnsi="Arial" w:cs="Arial"/>
          <w:bCs/>
        </w:rPr>
      </w:pPr>
      <w:r w:rsidRPr="00DD5C7C">
        <w:rPr>
          <w:rFonts w:ascii="Arial" w:hAnsi="Arial" w:cs="Arial"/>
          <w:bCs/>
        </w:rPr>
        <w:t>The action has established a strong foundation for participatory comprehensive sexuality education through training in educational theatre and drama. Civil society organisations, teachers, nurses, and youth workers have gained practical skills to deliver more inclusive and effective sexuality education. Innovation camps involving stakeholders and young people helped develop locally relevant learning and awareness activities, while a local theatre group created performances used in schools and communities. A brochure on healthy sexuality has also been produced and distributed.</w:t>
      </w:r>
    </w:p>
    <w:p w14:paraId="28985F51" w14:textId="77777777" w:rsidR="00DD5C7C" w:rsidRPr="00DD5C7C" w:rsidRDefault="00DD5C7C" w:rsidP="00DD5C7C">
      <w:pPr>
        <w:jc w:val="both"/>
        <w:rPr>
          <w:rFonts w:ascii="Arial" w:hAnsi="Arial" w:cs="Arial"/>
          <w:bCs/>
        </w:rPr>
      </w:pPr>
      <w:r w:rsidRPr="00DD5C7C">
        <w:rPr>
          <w:rFonts w:ascii="Arial" w:hAnsi="Arial" w:cs="Arial"/>
          <w:bCs/>
        </w:rPr>
        <w:t>The next phase will focus on sustainability and wider impact through continued community activities, outreach events, and a final stakeholder conference. A policy brief and educational video are being developed to support advocacy and dissemination. Overall, the action is expected to strengthen local capacities, increase awareness and empowerment among young people—especially from the San community—and improve cooperation between civil society, authorities, and media, contributing to more inclusive and culturally appropriate sexuality education.</w:t>
      </w:r>
    </w:p>
    <w:p w14:paraId="6D3C79BB" w14:textId="062A8762" w:rsidR="00103C6B" w:rsidRPr="00DD5C7C" w:rsidRDefault="00946F97" w:rsidP="00DD5C7C">
      <w:pPr>
        <w:jc w:val="both"/>
        <w:rPr>
          <w:rFonts w:ascii="Arial" w:hAnsi="Arial" w:cs="Arial"/>
          <w:b/>
        </w:rPr>
      </w:pPr>
      <w:r w:rsidRPr="00DD5C7C">
        <w:rPr>
          <w:rFonts w:ascii="Arial" w:hAnsi="Arial" w:cs="Arial"/>
          <w:b/>
        </w:rPr>
        <w:t>Incoming public / visibility events:</w:t>
      </w:r>
    </w:p>
    <w:p w14:paraId="4416E2C9" w14:textId="77777777" w:rsidR="00946F97" w:rsidRPr="00DD5C7C" w:rsidRDefault="00724BED" w:rsidP="00DD5C7C">
      <w:pPr>
        <w:pStyle w:val="ListParagraph"/>
        <w:numPr>
          <w:ilvl w:val="0"/>
          <w:numId w:val="1"/>
        </w:numPr>
        <w:jc w:val="both"/>
        <w:rPr>
          <w:rFonts w:ascii="Arial" w:hAnsi="Arial" w:cs="Arial"/>
        </w:rPr>
      </w:pPr>
      <w:r w:rsidRPr="00DD5C7C">
        <w:rPr>
          <w:rFonts w:ascii="Arial" w:hAnsi="Arial" w:cs="Arial"/>
        </w:rPr>
        <w:t xml:space="preserve">Final conference in Ghanzi (October 2026) </w:t>
      </w:r>
    </w:p>
    <w:p w14:paraId="3D070991" w14:textId="77777777" w:rsidR="00724BED" w:rsidRPr="00DD5C7C" w:rsidRDefault="00724BED" w:rsidP="00DD5C7C">
      <w:pPr>
        <w:pStyle w:val="ListParagraph"/>
        <w:numPr>
          <w:ilvl w:val="0"/>
          <w:numId w:val="1"/>
        </w:numPr>
        <w:jc w:val="both"/>
        <w:rPr>
          <w:rFonts w:ascii="Arial" w:hAnsi="Arial" w:cs="Arial"/>
        </w:rPr>
      </w:pPr>
      <w:r w:rsidRPr="00DD5C7C">
        <w:rPr>
          <w:rFonts w:ascii="Arial" w:hAnsi="Arial" w:cs="Arial"/>
        </w:rPr>
        <w:t xml:space="preserve">3 Local events in the settlements (September to December 2026) </w:t>
      </w:r>
    </w:p>
    <w:p w14:paraId="6D577D2A" w14:textId="77777777" w:rsidR="00103C6B" w:rsidRPr="00DD5C7C" w:rsidRDefault="00103C6B" w:rsidP="00DD5C7C">
      <w:pPr>
        <w:jc w:val="both"/>
        <w:rPr>
          <w:rFonts w:ascii="Arial" w:hAnsi="Arial" w:cs="Arial"/>
        </w:rPr>
      </w:pPr>
      <w:r w:rsidRPr="00DD5C7C">
        <w:rPr>
          <w:rFonts w:ascii="Arial" w:hAnsi="Arial" w:cs="Arial"/>
          <w:b/>
          <w:i/>
        </w:rPr>
        <w:t>Project website</w:t>
      </w:r>
      <w:r w:rsidRPr="00DD5C7C">
        <w:rPr>
          <w:rFonts w:ascii="Arial" w:hAnsi="Arial" w:cs="Arial"/>
          <w:i/>
        </w:rPr>
        <w:t xml:space="preserve"> / </w:t>
      </w:r>
      <w:r w:rsidRPr="00DD5C7C">
        <w:rPr>
          <w:rFonts w:ascii="Arial" w:hAnsi="Arial" w:cs="Arial"/>
          <w:b/>
          <w:i/>
        </w:rPr>
        <w:t>Social media account links</w:t>
      </w:r>
      <w:r w:rsidRPr="00DD5C7C">
        <w:rPr>
          <w:rFonts w:ascii="Arial" w:hAnsi="Arial" w:cs="Arial"/>
        </w:rPr>
        <w:t>:</w:t>
      </w:r>
    </w:p>
    <w:p w14:paraId="7EB93A76" w14:textId="1BE9D73C" w:rsidR="00103C6B" w:rsidRPr="00DD5C7C" w:rsidRDefault="00724BED" w:rsidP="00DD5C7C">
      <w:pPr>
        <w:pStyle w:val="ListParagraph"/>
        <w:numPr>
          <w:ilvl w:val="0"/>
          <w:numId w:val="1"/>
        </w:numPr>
        <w:jc w:val="both"/>
        <w:rPr>
          <w:rFonts w:ascii="Arial" w:hAnsi="Arial" w:cs="Arial"/>
          <w:sz w:val="24"/>
          <w:szCs w:val="24"/>
        </w:rPr>
      </w:pPr>
      <w:hyperlink r:id="rId8" w:history="1">
        <w:r w:rsidRPr="00DD5C7C">
          <w:rPr>
            <w:rStyle w:val="Hyperlink"/>
            <w:rFonts w:ascii="Arial" w:hAnsi="Arial" w:cs="Arial"/>
          </w:rPr>
          <w:t>https://www.takatuka.net/thinktwice</w:t>
        </w:r>
      </w:hyperlink>
    </w:p>
    <w:sectPr w:rsidR="00103C6B" w:rsidRPr="00DD5C7C" w:rsidSect="0050424B">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E346" w14:textId="77777777" w:rsidR="001B3A49" w:rsidRDefault="001B3A49" w:rsidP="0050424B">
      <w:pPr>
        <w:spacing w:after="0" w:line="240" w:lineRule="auto"/>
      </w:pPr>
      <w:r>
        <w:separator/>
      </w:r>
    </w:p>
  </w:endnote>
  <w:endnote w:type="continuationSeparator" w:id="0">
    <w:p w14:paraId="69EA02D1" w14:textId="77777777" w:rsidR="001B3A49" w:rsidRDefault="001B3A49"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EE85"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2BBB"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0B76"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573A" w14:textId="77777777" w:rsidR="001B3A49" w:rsidRDefault="001B3A49" w:rsidP="0050424B">
      <w:pPr>
        <w:spacing w:after="0" w:line="240" w:lineRule="auto"/>
      </w:pPr>
      <w:r>
        <w:separator/>
      </w:r>
    </w:p>
  </w:footnote>
  <w:footnote w:type="continuationSeparator" w:id="0">
    <w:p w14:paraId="315558F1" w14:textId="77777777" w:rsidR="001B3A49" w:rsidRDefault="001B3A49"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C25F"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ABFC"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12CF"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30C6"/>
    <w:multiLevelType w:val="hybridMultilevel"/>
    <w:tmpl w:val="BEEC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16144"/>
    <w:multiLevelType w:val="multilevel"/>
    <w:tmpl w:val="8FC89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576477">
    <w:abstractNumId w:val="2"/>
  </w:num>
  <w:num w:numId="2" w16cid:durableId="895554579">
    <w:abstractNumId w:val="1"/>
  </w:num>
  <w:num w:numId="3" w16cid:durableId="167086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B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103C6B"/>
    <w:rsid w:val="001B3A49"/>
    <w:rsid w:val="00232823"/>
    <w:rsid w:val="00251EDD"/>
    <w:rsid w:val="002C3D78"/>
    <w:rsid w:val="002F2FC3"/>
    <w:rsid w:val="00307304"/>
    <w:rsid w:val="00481BBF"/>
    <w:rsid w:val="0050424B"/>
    <w:rsid w:val="00724BED"/>
    <w:rsid w:val="00884829"/>
    <w:rsid w:val="00946F97"/>
    <w:rsid w:val="00957BEF"/>
    <w:rsid w:val="009E7CE9"/>
    <w:rsid w:val="00A14827"/>
    <w:rsid w:val="00DD5C7C"/>
    <w:rsid w:val="00EF2ABF"/>
    <w:rsid w:val="00F5589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20B7"/>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589D"/>
    <w:pPr>
      <w:spacing w:before="100" w:beforeAutospacing="1" w:after="100" w:afterAutospacing="1" w:line="240" w:lineRule="auto"/>
      <w:outlineLvl w:val="2"/>
    </w:pPr>
    <w:rPr>
      <w:rFonts w:ascii="Times New Roman" w:eastAsia="Times New Roman" w:hAnsi="Times New Roman" w:cs="Times New Roman"/>
      <w:b/>
      <w:bCs/>
      <w:sz w:val="27"/>
      <w:szCs w:val="27"/>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customStyle="1" w:styleId="Heading3Char">
    <w:name w:val="Heading 3 Char"/>
    <w:basedOn w:val="DefaultParagraphFont"/>
    <w:link w:val="Heading3"/>
    <w:uiPriority w:val="9"/>
    <w:rsid w:val="00F5589D"/>
    <w:rPr>
      <w:rFonts w:ascii="Times New Roman" w:eastAsia="Times New Roman" w:hAnsi="Times New Roman" w:cs="Times New Roman"/>
      <w:b/>
      <w:bCs/>
      <w:sz w:val="27"/>
      <w:szCs w:val="27"/>
      <w:lang w:eastAsia="en-GB" w:bidi="he-IL"/>
    </w:rPr>
  </w:style>
  <w:style w:type="character" w:styleId="Strong">
    <w:name w:val="Strong"/>
    <w:basedOn w:val="DefaultParagraphFont"/>
    <w:uiPriority w:val="22"/>
    <w:qFormat/>
    <w:rsid w:val="00F5589D"/>
    <w:rPr>
      <w:b/>
      <w:bCs/>
    </w:rPr>
  </w:style>
  <w:style w:type="paragraph" w:styleId="NormalWeb">
    <w:name w:val="Normal (Web)"/>
    <w:basedOn w:val="Normal"/>
    <w:uiPriority w:val="99"/>
    <w:unhideWhenUsed/>
    <w:rsid w:val="00F5589D"/>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apple-converted-space">
    <w:name w:val="apple-converted-space"/>
    <w:basedOn w:val="DefaultParagraphFont"/>
    <w:rsid w:val="00724BED"/>
  </w:style>
  <w:style w:type="character" w:styleId="Emphasis">
    <w:name w:val="Emphasis"/>
    <w:basedOn w:val="DefaultParagraphFont"/>
    <w:uiPriority w:val="20"/>
    <w:qFormat/>
    <w:rsid w:val="00724BED"/>
    <w:rPr>
      <w:i/>
      <w:iCs/>
    </w:rPr>
  </w:style>
  <w:style w:type="character" w:styleId="UnresolvedMention">
    <w:name w:val="Unresolved Mention"/>
    <w:basedOn w:val="DefaultParagraphFont"/>
    <w:uiPriority w:val="99"/>
    <w:semiHidden/>
    <w:unhideWhenUsed/>
    <w:rsid w:val="00724BED"/>
    <w:rPr>
      <w:color w:val="605E5C"/>
      <w:shd w:val="clear" w:color="auto" w:fill="E1DFDD"/>
    </w:rPr>
  </w:style>
  <w:style w:type="paragraph" w:customStyle="1" w:styleId="9vd5">
    <w:name w:val="_9vd5"/>
    <w:basedOn w:val="Normal"/>
    <w:rsid w:val="00A14827"/>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customStyle="1" w:styleId="Default">
    <w:name w:val="Default"/>
    <w:rsid w:val="00DD5C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19986">
      <w:bodyDiv w:val="1"/>
      <w:marLeft w:val="0"/>
      <w:marRight w:val="0"/>
      <w:marTop w:val="0"/>
      <w:marBottom w:val="0"/>
      <w:divBdr>
        <w:top w:val="none" w:sz="0" w:space="0" w:color="auto"/>
        <w:left w:val="none" w:sz="0" w:space="0" w:color="auto"/>
        <w:bottom w:val="none" w:sz="0" w:space="0" w:color="auto"/>
        <w:right w:val="none" w:sz="0" w:space="0" w:color="auto"/>
      </w:divBdr>
    </w:div>
    <w:div w:id="1128934873">
      <w:bodyDiv w:val="1"/>
      <w:marLeft w:val="0"/>
      <w:marRight w:val="0"/>
      <w:marTop w:val="0"/>
      <w:marBottom w:val="0"/>
      <w:divBdr>
        <w:top w:val="none" w:sz="0" w:space="0" w:color="auto"/>
        <w:left w:val="none" w:sz="0" w:space="0" w:color="auto"/>
        <w:bottom w:val="none" w:sz="0" w:space="0" w:color="auto"/>
        <w:right w:val="none" w:sz="0" w:space="0" w:color="auto"/>
      </w:divBdr>
    </w:div>
    <w:div w:id="1367637392">
      <w:bodyDiv w:val="1"/>
      <w:marLeft w:val="0"/>
      <w:marRight w:val="0"/>
      <w:marTop w:val="0"/>
      <w:marBottom w:val="0"/>
      <w:divBdr>
        <w:top w:val="none" w:sz="0" w:space="0" w:color="auto"/>
        <w:left w:val="none" w:sz="0" w:space="0" w:color="auto"/>
        <w:bottom w:val="none" w:sz="0" w:space="0" w:color="auto"/>
        <w:right w:val="none" w:sz="0" w:space="0" w:color="auto"/>
      </w:divBdr>
      <w:divsChild>
        <w:div w:id="1841846617">
          <w:marLeft w:val="0"/>
          <w:marRight w:val="0"/>
          <w:marTop w:val="0"/>
          <w:marBottom w:val="0"/>
          <w:divBdr>
            <w:top w:val="none" w:sz="0" w:space="0" w:color="auto"/>
            <w:left w:val="none" w:sz="0" w:space="0" w:color="auto"/>
            <w:bottom w:val="none" w:sz="0" w:space="0" w:color="auto"/>
            <w:right w:val="none" w:sz="0" w:space="0" w:color="auto"/>
          </w:divBdr>
          <w:divsChild>
            <w:div w:id="196312052">
              <w:marLeft w:val="300"/>
              <w:marRight w:val="300"/>
              <w:marTop w:val="180"/>
              <w:marBottom w:val="180"/>
              <w:divBdr>
                <w:top w:val="none" w:sz="0" w:space="0" w:color="auto"/>
                <w:left w:val="none" w:sz="0" w:space="0" w:color="auto"/>
                <w:bottom w:val="none" w:sz="0" w:space="0" w:color="auto"/>
                <w:right w:val="none" w:sz="0" w:space="0" w:color="auto"/>
              </w:divBdr>
            </w:div>
          </w:divsChild>
        </w:div>
      </w:divsChild>
    </w:div>
    <w:div w:id="1461416577">
      <w:bodyDiv w:val="1"/>
      <w:marLeft w:val="0"/>
      <w:marRight w:val="0"/>
      <w:marTop w:val="0"/>
      <w:marBottom w:val="0"/>
      <w:divBdr>
        <w:top w:val="none" w:sz="0" w:space="0" w:color="auto"/>
        <w:left w:val="none" w:sz="0" w:space="0" w:color="auto"/>
        <w:bottom w:val="none" w:sz="0" w:space="0" w:color="auto"/>
        <w:right w:val="none" w:sz="0" w:space="0" w:color="auto"/>
      </w:divBdr>
      <w:divsChild>
        <w:div w:id="653946943">
          <w:marLeft w:val="0"/>
          <w:marRight w:val="0"/>
          <w:marTop w:val="0"/>
          <w:marBottom w:val="0"/>
          <w:divBdr>
            <w:top w:val="none" w:sz="0" w:space="0" w:color="auto"/>
            <w:left w:val="none" w:sz="0" w:space="0" w:color="auto"/>
            <w:bottom w:val="none" w:sz="0" w:space="0" w:color="auto"/>
            <w:right w:val="none" w:sz="0" w:space="0" w:color="auto"/>
          </w:divBdr>
          <w:divsChild>
            <w:div w:id="757485041">
              <w:marLeft w:val="300"/>
              <w:marRight w:val="300"/>
              <w:marTop w:val="180"/>
              <w:marBottom w:val="180"/>
              <w:divBdr>
                <w:top w:val="none" w:sz="0" w:space="0" w:color="auto"/>
                <w:left w:val="none" w:sz="0" w:space="0" w:color="auto"/>
                <w:bottom w:val="none" w:sz="0" w:space="0" w:color="auto"/>
                <w:right w:val="none" w:sz="0" w:space="0" w:color="auto"/>
              </w:divBdr>
            </w:div>
          </w:divsChild>
        </w:div>
      </w:divsChild>
    </w:div>
    <w:div w:id="1533616273">
      <w:bodyDiv w:val="1"/>
      <w:marLeft w:val="0"/>
      <w:marRight w:val="0"/>
      <w:marTop w:val="0"/>
      <w:marBottom w:val="0"/>
      <w:divBdr>
        <w:top w:val="none" w:sz="0" w:space="0" w:color="auto"/>
        <w:left w:val="none" w:sz="0" w:space="0" w:color="auto"/>
        <w:bottom w:val="none" w:sz="0" w:space="0" w:color="auto"/>
        <w:right w:val="none" w:sz="0" w:space="0" w:color="auto"/>
      </w:divBdr>
    </w:div>
    <w:div w:id="1788960932">
      <w:bodyDiv w:val="1"/>
      <w:marLeft w:val="0"/>
      <w:marRight w:val="0"/>
      <w:marTop w:val="0"/>
      <w:marBottom w:val="0"/>
      <w:divBdr>
        <w:top w:val="none" w:sz="0" w:space="0" w:color="auto"/>
        <w:left w:val="none" w:sz="0" w:space="0" w:color="auto"/>
        <w:bottom w:val="none" w:sz="0" w:space="0" w:color="auto"/>
        <w:right w:val="none" w:sz="0" w:space="0" w:color="auto"/>
      </w:divBdr>
      <w:divsChild>
        <w:div w:id="1659916800">
          <w:marLeft w:val="0"/>
          <w:marRight w:val="0"/>
          <w:marTop w:val="0"/>
          <w:marBottom w:val="0"/>
          <w:divBdr>
            <w:top w:val="none" w:sz="0" w:space="0" w:color="auto"/>
            <w:left w:val="none" w:sz="0" w:space="0" w:color="auto"/>
            <w:bottom w:val="none" w:sz="0" w:space="0" w:color="auto"/>
            <w:right w:val="none" w:sz="0" w:space="0" w:color="auto"/>
          </w:divBdr>
          <w:divsChild>
            <w:div w:id="2074312275">
              <w:marLeft w:val="300"/>
              <w:marRight w:val="300"/>
              <w:marTop w:val="180"/>
              <w:marBottom w:val="180"/>
              <w:divBdr>
                <w:top w:val="none" w:sz="0" w:space="0" w:color="auto"/>
                <w:left w:val="none" w:sz="0" w:space="0" w:color="auto"/>
                <w:bottom w:val="none" w:sz="0" w:space="0" w:color="auto"/>
                <w:right w:val="none" w:sz="0" w:space="0" w:color="auto"/>
              </w:divBdr>
            </w:div>
          </w:divsChild>
        </w:div>
      </w:divsChild>
    </w:div>
    <w:div w:id="1805654097">
      <w:bodyDiv w:val="1"/>
      <w:marLeft w:val="0"/>
      <w:marRight w:val="0"/>
      <w:marTop w:val="0"/>
      <w:marBottom w:val="0"/>
      <w:divBdr>
        <w:top w:val="none" w:sz="0" w:space="0" w:color="auto"/>
        <w:left w:val="none" w:sz="0" w:space="0" w:color="auto"/>
        <w:bottom w:val="none" w:sz="0" w:space="0" w:color="auto"/>
        <w:right w:val="none" w:sz="0" w:space="0" w:color="auto"/>
      </w:divBdr>
      <w:divsChild>
        <w:div w:id="343477762">
          <w:marLeft w:val="0"/>
          <w:marRight w:val="0"/>
          <w:marTop w:val="0"/>
          <w:marBottom w:val="0"/>
          <w:divBdr>
            <w:top w:val="none" w:sz="0" w:space="0" w:color="auto"/>
            <w:left w:val="none" w:sz="0" w:space="0" w:color="auto"/>
            <w:bottom w:val="none" w:sz="0" w:space="0" w:color="auto"/>
            <w:right w:val="none" w:sz="0" w:space="0" w:color="auto"/>
          </w:divBdr>
          <w:divsChild>
            <w:div w:id="823475391">
              <w:marLeft w:val="300"/>
              <w:marRight w:val="300"/>
              <w:marTop w:val="180"/>
              <w:marBottom w:val="180"/>
              <w:divBdr>
                <w:top w:val="none" w:sz="0" w:space="0" w:color="auto"/>
                <w:left w:val="none" w:sz="0" w:space="0" w:color="auto"/>
                <w:bottom w:val="none" w:sz="0" w:space="0" w:color="auto"/>
                <w:right w:val="none" w:sz="0" w:space="0" w:color="auto"/>
              </w:divBdr>
            </w:div>
          </w:divsChild>
        </w:div>
      </w:divsChild>
    </w:div>
    <w:div w:id="21283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atuka.net/thinktw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3</cp:revision>
  <dcterms:created xsi:type="dcterms:W3CDTF">2026-04-20T09:10:00Z</dcterms:created>
  <dcterms:modified xsi:type="dcterms:W3CDTF">2026-05-13T10:46:00Z</dcterms:modified>
</cp:coreProperties>
</file>