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167C6" w14:textId="77777777" w:rsidR="00103C6B" w:rsidRPr="0050424B" w:rsidRDefault="0050424B" w:rsidP="0050424B">
      <w:pPr>
        <w:pBdr>
          <w:bottom w:val="single" w:sz="4" w:space="1" w:color="auto"/>
        </w:pBdr>
        <w:jc w:val="right"/>
        <w:rPr>
          <w:rFonts w:ascii="Arial" w:hAnsi="Arial" w:cs="Arial"/>
        </w:rPr>
      </w:pPr>
      <w:r w:rsidRPr="0050424B">
        <w:rPr>
          <w:rFonts w:ascii="Arial" w:hAnsi="Arial" w:cs="Arial"/>
          <w:noProof/>
          <w:lang w:eastAsia="en-GB"/>
        </w:rPr>
        <w:drawing>
          <wp:anchor distT="0" distB="0" distL="114300" distR="114300" simplePos="0" relativeHeight="251658240" behindDoc="0" locked="0" layoutInCell="1" allowOverlap="1" wp14:anchorId="11A965A2" wp14:editId="2AACB91E">
            <wp:simplePos x="0" y="0"/>
            <wp:positionH relativeFrom="column">
              <wp:posOffset>9525</wp:posOffset>
            </wp:positionH>
            <wp:positionV relativeFrom="paragraph">
              <wp:posOffset>0</wp:posOffset>
            </wp:positionV>
            <wp:extent cx="1868170" cy="390525"/>
            <wp:effectExtent l="0" t="0" r="0" b="9525"/>
            <wp:wrapSquare wrapText="bothSides"/>
            <wp:docPr id="1" name="Picture 1" descr="Funded by th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ed by the E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8170" cy="390525"/>
                    </a:xfrm>
                    <a:prstGeom prst="rect">
                      <a:avLst/>
                    </a:prstGeom>
                    <a:noFill/>
                    <a:ln>
                      <a:noFill/>
                    </a:ln>
                  </pic:spPr>
                </pic:pic>
              </a:graphicData>
            </a:graphic>
          </wp:anchor>
        </w:drawing>
      </w:r>
      <w:r w:rsidR="00103C6B" w:rsidRPr="0050424B">
        <w:rPr>
          <w:rFonts w:ascii="Arial" w:hAnsi="Arial" w:cs="Arial"/>
          <w:b/>
          <w:sz w:val="40"/>
          <w:szCs w:val="40"/>
        </w:rPr>
        <w:t>PROJECT FACTSHEET</w:t>
      </w:r>
    </w:p>
    <w:p w14:paraId="72C71076" w14:textId="77777777" w:rsidR="00103C6B" w:rsidRPr="0050424B" w:rsidRDefault="00103C6B">
      <w:pPr>
        <w:rPr>
          <w:rFonts w:ascii="Arial" w:hAnsi="Arial" w:cs="Arial"/>
        </w:rPr>
      </w:pPr>
    </w:p>
    <w:p w14:paraId="0622C01F" w14:textId="3A50210D" w:rsidR="00103C6B" w:rsidRPr="00D63CC2" w:rsidRDefault="00CE7370" w:rsidP="0050424B">
      <w:pPr>
        <w:jc w:val="center"/>
        <w:rPr>
          <w:rFonts w:ascii="Arial" w:hAnsi="Arial" w:cs="Arial"/>
          <w:b/>
          <w:sz w:val="44"/>
          <w:szCs w:val="44"/>
        </w:rPr>
      </w:pPr>
      <w:r w:rsidRPr="00D63CC2">
        <w:rPr>
          <w:rFonts w:ascii="Arial" w:hAnsi="Arial" w:cs="Arial"/>
          <w:b/>
          <w:i/>
          <w:sz w:val="44"/>
          <w:szCs w:val="44"/>
          <w:shd w:val="clear" w:color="auto" w:fill="9CC2E5" w:themeFill="accent1" w:themeFillTint="99"/>
          <w:lang w:val="en-US"/>
        </w:rPr>
        <w:t>Transboundary Water Management in Southern Africa</w:t>
      </w:r>
    </w:p>
    <w:p w14:paraId="071D8DE4" w14:textId="77777777" w:rsidR="00D63CC2" w:rsidRPr="004D34DE" w:rsidRDefault="00D63CC2" w:rsidP="00AD5836">
      <w:pPr>
        <w:pStyle w:val="Default"/>
        <w:rPr>
          <w:b/>
        </w:rPr>
      </w:pPr>
    </w:p>
    <w:p w14:paraId="3B6109E9" w14:textId="72E99C49" w:rsidR="009E313B" w:rsidRPr="004D34DE" w:rsidRDefault="0050424B" w:rsidP="00AD5836">
      <w:pPr>
        <w:pStyle w:val="Default"/>
        <w:rPr>
          <w:color w:val="auto"/>
          <w:sz w:val="22"/>
          <w:szCs w:val="22"/>
          <w:lang w:val="fr-BE"/>
        </w:rPr>
      </w:pPr>
      <w:r w:rsidRPr="004D34DE">
        <w:rPr>
          <w:b/>
          <w:sz w:val="22"/>
          <w:szCs w:val="22"/>
          <w:lang w:val="fr-BE"/>
        </w:rPr>
        <w:t xml:space="preserve">EU </w:t>
      </w:r>
      <w:proofErr w:type="gramStart"/>
      <w:r w:rsidRPr="004D34DE">
        <w:rPr>
          <w:b/>
          <w:sz w:val="22"/>
          <w:szCs w:val="22"/>
          <w:lang w:val="fr-BE"/>
        </w:rPr>
        <w:t>contribution</w:t>
      </w:r>
      <w:r w:rsidRPr="004D34DE">
        <w:rPr>
          <w:sz w:val="22"/>
          <w:szCs w:val="22"/>
          <w:lang w:val="fr-BE"/>
        </w:rPr>
        <w:t>:</w:t>
      </w:r>
      <w:proofErr w:type="gramEnd"/>
      <w:r w:rsidRPr="004D34DE">
        <w:rPr>
          <w:sz w:val="22"/>
          <w:szCs w:val="22"/>
          <w:lang w:val="fr-BE"/>
        </w:rPr>
        <w:t xml:space="preserve"> €</w:t>
      </w:r>
      <w:r w:rsidRPr="004D34DE">
        <w:rPr>
          <w:color w:val="auto"/>
          <w:sz w:val="22"/>
          <w:szCs w:val="22"/>
          <w:lang w:val="fr-BE"/>
        </w:rPr>
        <w:t xml:space="preserve"> </w:t>
      </w:r>
      <w:r w:rsidR="006D5127" w:rsidRPr="004D34DE">
        <w:rPr>
          <w:color w:val="auto"/>
          <w:sz w:val="22"/>
          <w:szCs w:val="22"/>
          <w:lang w:val="fr-BE"/>
        </w:rPr>
        <w:t>1</w:t>
      </w:r>
      <w:r w:rsidR="008579AF" w:rsidRPr="004D34DE">
        <w:rPr>
          <w:color w:val="auto"/>
          <w:sz w:val="22"/>
          <w:szCs w:val="22"/>
          <w:lang w:val="fr-BE"/>
        </w:rPr>
        <w:t>0</w:t>
      </w:r>
      <w:r w:rsidR="00AD5836" w:rsidRPr="004D34DE">
        <w:rPr>
          <w:color w:val="auto"/>
          <w:sz w:val="22"/>
          <w:szCs w:val="22"/>
          <w:lang w:val="fr-BE"/>
        </w:rPr>
        <w:t>,</w:t>
      </w:r>
      <w:r w:rsidR="008579AF" w:rsidRPr="004D34DE">
        <w:rPr>
          <w:color w:val="auto"/>
          <w:sz w:val="22"/>
          <w:szCs w:val="22"/>
          <w:lang w:val="fr-BE"/>
        </w:rPr>
        <w:t>0</w:t>
      </w:r>
      <w:r w:rsidR="00AD5836" w:rsidRPr="004D34DE">
        <w:rPr>
          <w:color w:val="auto"/>
          <w:sz w:val="22"/>
          <w:szCs w:val="22"/>
          <w:lang w:val="fr-BE"/>
        </w:rPr>
        <w:t xml:space="preserve">00,000 </w:t>
      </w:r>
      <w:r w:rsidR="009E313B" w:rsidRPr="004D34DE">
        <w:rPr>
          <w:color w:val="auto"/>
          <w:sz w:val="22"/>
          <w:szCs w:val="22"/>
          <w:lang w:val="fr-BE"/>
        </w:rPr>
        <w:t xml:space="preserve">(approx. </w:t>
      </w:r>
      <w:r w:rsidR="006D5127" w:rsidRPr="004D34DE">
        <w:rPr>
          <w:color w:val="auto"/>
          <w:sz w:val="22"/>
          <w:szCs w:val="22"/>
          <w:lang w:val="fr-BE"/>
        </w:rPr>
        <w:t>145</w:t>
      </w:r>
      <w:r w:rsidR="009E313B" w:rsidRPr="004D34DE">
        <w:rPr>
          <w:color w:val="auto"/>
          <w:sz w:val="22"/>
          <w:szCs w:val="22"/>
          <w:lang w:val="fr-BE"/>
        </w:rPr>
        <w:t xml:space="preserve"> </w:t>
      </w:r>
      <w:proofErr w:type="gramStart"/>
      <w:r w:rsidR="009E313B" w:rsidRPr="004D34DE">
        <w:rPr>
          <w:color w:val="auto"/>
          <w:sz w:val="22"/>
          <w:szCs w:val="22"/>
          <w:lang w:val="fr-BE"/>
        </w:rPr>
        <w:t>million</w:t>
      </w:r>
      <w:proofErr w:type="gramEnd"/>
      <w:r w:rsidR="009E313B" w:rsidRPr="004D34DE">
        <w:rPr>
          <w:color w:val="auto"/>
          <w:sz w:val="22"/>
          <w:szCs w:val="22"/>
          <w:lang w:val="fr-BE"/>
        </w:rPr>
        <w:t xml:space="preserve"> Pula)</w:t>
      </w:r>
    </w:p>
    <w:p w14:paraId="0DF359E0" w14:textId="5E2B6234" w:rsidR="00103C6B" w:rsidRPr="004D34DE" w:rsidRDefault="00103C6B" w:rsidP="0050424B">
      <w:pPr>
        <w:spacing w:before="240"/>
        <w:rPr>
          <w:rFonts w:ascii="Arial" w:hAnsi="Arial" w:cs="Arial"/>
        </w:rPr>
      </w:pPr>
      <w:r w:rsidRPr="004D34DE">
        <w:rPr>
          <w:rFonts w:ascii="Arial" w:hAnsi="Arial" w:cs="Arial"/>
          <w:b/>
        </w:rPr>
        <w:t>Period of implementation</w:t>
      </w:r>
      <w:r w:rsidRPr="004D34DE">
        <w:rPr>
          <w:rFonts w:ascii="Arial" w:hAnsi="Arial" w:cs="Arial"/>
        </w:rPr>
        <w:t>:</w:t>
      </w:r>
      <w:r w:rsidR="0050424B" w:rsidRPr="004D34DE">
        <w:rPr>
          <w:rFonts w:ascii="Arial" w:hAnsi="Arial" w:cs="Arial"/>
        </w:rPr>
        <w:t xml:space="preserve"> </w:t>
      </w:r>
      <w:r w:rsidR="009E313B" w:rsidRPr="004D34DE">
        <w:rPr>
          <w:rFonts w:ascii="Arial" w:hAnsi="Arial" w:cs="Arial"/>
        </w:rPr>
        <w:t>202</w:t>
      </w:r>
      <w:r w:rsidR="006D5127" w:rsidRPr="004D34DE">
        <w:rPr>
          <w:rFonts w:ascii="Arial" w:hAnsi="Arial" w:cs="Arial"/>
        </w:rPr>
        <w:t>4</w:t>
      </w:r>
      <w:r w:rsidR="009E313B" w:rsidRPr="004D34DE">
        <w:rPr>
          <w:rFonts w:ascii="Arial" w:hAnsi="Arial" w:cs="Arial"/>
        </w:rPr>
        <w:t xml:space="preserve"> –</w:t>
      </w:r>
      <w:r w:rsidR="004D34DE" w:rsidRPr="004D34DE">
        <w:rPr>
          <w:rFonts w:ascii="Arial" w:hAnsi="Arial" w:cs="Arial"/>
        </w:rPr>
        <w:t xml:space="preserve"> </w:t>
      </w:r>
      <w:r w:rsidR="009E313B" w:rsidRPr="004D34DE">
        <w:rPr>
          <w:rFonts w:ascii="Arial" w:hAnsi="Arial" w:cs="Arial"/>
        </w:rPr>
        <w:t>20</w:t>
      </w:r>
      <w:r w:rsidR="006D5127" w:rsidRPr="004D34DE">
        <w:rPr>
          <w:rFonts w:ascii="Arial" w:hAnsi="Arial" w:cs="Arial"/>
        </w:rPr>
        <w:t>27</w:t>
      </w:r>
    </w:p>
    <w:p w14:paraId="4BCBA025" w14:textId="6719DFD0" w:rsidR="00103C6B" w:rsidRPr="004D34DE" w:rsidRDefault="00103C6B" w:rsidP="0050424B">
      <w:pPr>
        <w:spacing w:before="240"/>
        <w:rPr>
          <w:rFonts w:ascii="Arial" w:hAnsi="Arial" w:cs="Arial"/>
        </w:rPr>
      </w:pPr>
      <w:r w:rsidRPr="004D34DE">
        <w:rPr>
          <w:rFonts w:ascii="Arial" w:hAnsi="Arial" w:cs="Arial"/>
          <w:b/>
        </w:rPr>
        <w:t>Location</w:t>
      </w:r>
      <w:r w:rsidRPr="004D34DE">
        <w:rPr>
          <w:rFonts w:ascii="Arial" w:hAnsi="Arial" w:cs="Arial"/>
        </w:rPr>
        <w:t>:</w:t>
      </w:r>
      <w:r w:rsidR="0050424B" w:rsidRPr="004D34DE">
        <w:rPr>
          <w:rFonts w:ascii="Arial" w:hAnsi="Arial" w:cs="Arial"/>
        </w:rPr>
        <w:t xml:space="preserve"> </w:t>
      </w:r>
      <w:r w:rsidR="009E313B" w:rsidRPr="004D34DE">
        <w:rPr>
          <w:rFonts w:ascii="Arial" w:hAnsi="Arial" w:cs="Arial"/>
        </w:rPr>
        <w:t>SADC region</w:t>
      </w:r>
      <w:r w:rsidR="00D63CC2" w:rsidRPr="004D34DE">
        <w:rPr>
          <w:rFonts w:ascii="Arial" w:hAnsi="Arial" w:cs="Arial"/>
        </w:rPr>
        <w:t xml:space="preserve">, particularly </w:t>
      </w:r>
      <w:proofErr w:type="spellStart"/>
      <w:r w:rsidR="00D63CC2" w:rsidRPr="004D34DE">
        <w:rPr>
          <w:rFonts w:ascii="Arial" w:hAnsi="Arial" w:cs="Arial"/>
        </w:rPr>
        <w:t>Cubango</w:t>
      </w:r>
      <w:proofErr w:type="spellEnd"/>
      <w:r w:rsidR="00D63CC2" w:rsidRPr="004D34DE">
        <w:rPr>
          <w:rFonts w:ascii="Arial" w:hAnsi="Arial" w:cs="Arial"/>
        </w:rPr>
        <w:t>-Okavango River Basin</w:t>
      </w:r>
    </w:p>
    <w:p w14:paraId="640709DA" w14:textId="20A19BFA" w:rsidR="004B0C2A" w:rsidRPr="004D34DE" w:rsidRDefault="00103C6B" w:rsidP="00D63CC2">
      <w:pPr>
        <w:spacing w:before="240"/>
        <w:rPr>
          <w:rFonts w:ascii="Arial" w:hAnsi="Arial" w:cs="Arial"/>
        </w:rPr>
      </w:pPr>
      <w:r w:rsidRPr="004D34DE">
        <w:rPr>
          <w:rFonts w:ascii="Arial" w:hAnsi="Arial" w:cs="Arial"/>
          <w:b/>
        </w:rPr>
        <w:t>Implementing organisation(s)</w:t>
      </w:r>
      <w:r w:rsidRPr="004D34DE">
        <w:rPr>
          <w:rFonts w:ascii="Arial" w:hAnsi="Arial" w:cs="Arial"/>
        </w:rPr>
        <w:t>:</w:t>
      </w:r>
      <w:r w:rsidR="0050424B" w:rsidRPr="004D34DE">
        <w:rPr>
          <w:rFonts w:ascii="Arial" w:hAnsi="Arial" w:cs="Arial"/>
        </w:rPr>
        <w:t xml:space="preserve"> </w:t>
      </w:r>
      <w:r w:rsidR="00D63CC2" w:rsidRPr="004D34DE">
        <w:rPr>
          <w:rFonts w:ascii="Arial" w:hAnsi="Arial" w:cs="Arial"/>
        </w:rPr>
        <w:t xml:space="preserve">Food and Agriculture Organisation </w:t>
      </w:r>
    </w:p>
    <w:p w14:paraId="18E84CBF" w14:textId="77777777" w:rsidR="00D63CC2" w:rsidRPr="004D34DE" w:rsidRDefault="00103C6B" w:rsidP="00D63CC2">
      <w:pPr>
        <w:jc w:val="both"/>
        <w:rPr>
          <w:rFonts w:ascii="Arial" w:hAnsi="Arial" w:cs="Arial"/>
        </w:rPr>
      </w:pPr>
      <w:r w:rsidRPr="004D34DE">
        <w:rPr>
          <w:rFonts w:ascii="Arial" w:hAnsi="Arial" w:cs="Arial"/>
          <w:b/>
        </w:rPr>
        <w:t xml:space="preserve">Project </w:t>
      </w:r>
      <w:r w:rsidR="009E7CE9" w:rsidRPr="004D34DE">
        <w:rPr>
          <w:rFonts w:ascii="Arial" w:hAnsi="Arial" w:cs="Arial"/>
          <w:b/>
        </w:rPr>
        <w:t xml:space="preserve">objectives and </w:t>
      </w:r>
      <w:r w:rsidRPr="004D34DE">
        <w:rPr>
          <w:rFonts w:ascii="Arial" w:hAnsi="Arial" w:cs="Arial"/>
          <w:b/>
        </w:rPr>
        <w:t>description</w:t>
      </w:r>
      <w:r w:rsidRPr="004D34DE">
        <w:rPr>
          <w:rFonts w:ascii="Arial" w:hAnsi="Arial" w:cs="Arial"/>
        </w:rPr>
        <w:t>:</w:t>
      </w:r>
      <w:r w:rsidR="009E313B" w:rsidRPr="004D34DE">
        <w:rPr>
          <w:rFonts w:ascii="Arial" w:hAnsi="Arial" w:cs="Arial"/>
        </w:rPr>
        <w:t xml:space="preserve"> </w:t>
      </w:r>
    </w:p>
    <w:p w14:paraId="11DB35E5" w14:textId="3A0B26F7" w:rsidR="00D63CC2" w:rsidRPr="004D34DE" w:rsidRDefault="00D63CC2" w:rsidP="00D63CC2">
      <w:pPr>
        <w:jc w:val="both"/>
        <w:rPr>
          <w:rFonts w:ascii="Arial" w:hAnsi="Arial" w:cs="Arial"/>
        </w:rPr>
      </w:pPr>
      <w:r w:rsidRPr="004D34DE">
        <w:rPr>
          <w:rFonts w:ascii="Arial" w:hAnsi="Arial" w:cs="Arial"/>
        </w:rPr>
        <w:t xml:space="preserve">This action aims to protect inland water ecosystems and safeguard water resources across the SADC region, with a particular focus on the </w:t>
      </w:r>
      <w:proofErr w:type="spellStart"/>
      <w:r w:rsidRPr="004D34DE">
        <w:rPr>
          <w:rFonts w:ascii="Arial" w:hAnsi="Arial" w:cs="Arial"/>
        </w:rPr>
        <w:t>Cubango</w:t>
      </w:r>
      <w:proofErr w:type="spellEnd"/>
      <w:r w:rsidRPr="004D34DE">
        <w:rPr>
          <w:rFonts w:ascii="Arial" w:hAnsi="Arial" w:cs="Arial"/>
        </w:rPr>
        <w:t>-Okavango River Basin. It will support financing and resource management to sustainably preserve biodiversity, ecological health, and water supplies, ensuring long-term benefits for local communities and livelihoods. Additionally, it seeks to enhance evidence-based water governance by improving coordination and management mechanisms, guaranteeing water security in priority river basins across the region.</w:t>
      </w:r>
    </w:p>
    <w:p w14:paraId="687FD36C" w14:textId="5A502DF8" w:rsidR="00103C6B" w:rsidRPr="004D34DE" w:rsidRDefault="001970B5" w:rsidP="00D63CC2">
      <w:pPr>
        <w:jc w:val="both"/>
        <w:rPr>
          <w:rFonts w:ascii="Arial" w:hAnsi="Arial" w:cs="Arial"/>
        </w:rPr>
      </w:pPr>
      <w:r w:rsidRPr="004D34DE">
        <w:rPr>
          <w:rFonts w:ascii="Arial" w:hAnsi="Arial" w:cs="Arial"/>
          <w:b/>
        </w:rPr>
        <w:t>E</w:t>
      </w:r>
      <w:r w:rsidR="00103C6B" w:rsidRPr="004D34DE">
        <w:rPr>
          <w:rFonts w:ascii="Arial" w:hAnsi="Arial" w:cs="Arial"/>
          <w:b/>
        </w:rPr>
        <w:t>xpected results</w:t>
      </w:r>
      <w:r w:rsidR="00103C6B" w:rsidRPr="004D34DE">
        <w:rPr>
          <w:rFonts w:ascii="Arial" w:hAnsi="Arial" w:cs="Arial"/>
        </w:rPr>
        <w:t>:</w:t>
      </w:r>
    </w:p>
    <w:p w14:paraId="0ADECAAD" w14:textId="77777777" w:rsidR="009D3B2C" w:rsidRPr="004D34DE" w:rsidRDefault="009D3B2C" w:rsidP="00D63CC2">
      <w:pPr>
        <w:pStyle w:val="ListParagraph"/>
        <w:numPr>
          <w:ilvl w:val="0"/>
          <w:numId w:val="3"/>
        </w:numPr>
        <w:ind w:left="426"/>
        <w:rPr>
          <w:rFonts w:ascii="Arial" w:hAnsi="Arial" w:cs="Arial"/>
          <w:color w:val="000000"/>
        </w:rPr>
      </w:pPr>
      <w:r w:rsidRPr="004D34DE">
        <w:rPr>
          <w:rFonts w:ascii="Arial" w:hAnsi="Arial" w:cs="Arial"/>
          <w:color w:val="000000"/>
        </w:rPr>
        <w:t>The CORB Fund, a transboundary conservation trust fund, is strengthened to deliver on its core competency of increasing the resilience of the basin by implementing interventions that are balanced to sustain its ecosystems, people, communities and economy.</w:t>
      </w:r>
    </w:p>
    <w:p w14:paraId="20120CAA" w14:textId="77777777" w:rsidR="009D3B2C" w:rsidRPr="004D34DE" w:rsidRDefault="009D3B2C" w:rsidP="00D63CC2">
      <w:pPr>
        <w:pStyle w:val="ListParagraph"/>
        <w:numPr>
          <w:ilvl w:val="0"/>
          <w:numId w:val="3"/>
        </w:numPr>
        <w:ind w:left="426"/>
        <w:rPr>
          <w:rFonts w:ascii="Arial" w:hAnsi="Arial" w:cs="Arial"/>
          <w:color w:val="000000"/>
        </w:rPr>
      </w:pPr>
      <w:r w:rsidRPr="004D34DE">
        <w:rPr>
          <w:rFonts w:ascii="Arial" w:hAnsi="Arial" w:cs="Arial"/>
          <w:color w:val="000000"/>
        </w:rPr>
        <w:t xml:space="preserve">Cross-border strategies, agreements and procedures appropriate to the riparian states, UNESCO and </w:t>
      </w:r>
      <w:proofErr w:type="spellStart"/>
      <w:r w:rsidRPr="004D34DE">
        <w:rPr>
          <w:rFonts w:ascii="Arial" w:hAnsi="Arial" w:cs="Arial"/>
          <w:color w:val="000000"/>
        </w:rPr>
        <w:t>OKACOM</w:t>
      </w:r>
      <w:proofErr w:type="spellEnd"/>
      <w:r w:rsidRPr="004D34DE">
        <w:rPr>
          <w:rFonts w:ascii="Arial" w:hAnsi="Arial" w:cs="Arial"/>
          <w:color w:val="000000"/>
        </w:rPr>
        <w:t xml:space="preserve"> are developed to expand the Okavango Delta World Heritage Site (</w:t>
      </w:r>
      <w:proofErr w:type="spellStart"/>
      <w:r w:rsidRPr="004D34DE">
        <w:rPr>
          <w:rFonts w:ascii="Arial" w:hAnsi="Arial" w:cs="Arial"/>
          <w:color w:val="000000"/>
        </w:rPr>
        <w:t>WHS</w:t>
      </w:r>
      <w:proofErr w:type="spellEnd"/>
      <w:r w:rsidRPr="004D34DE">
        <w:rPr>
          <w:rFonts w:ascii="Arial" w:hAnsi="Arial" w:cs="Arial"/>
          <w:color w:val="000000"/>
        </w:rPr>
        <w:t xml:space="preserve">) to achieve full ecosystem coverage. </w:t>
      </w:r>
    </w:p>
    <w:p w14:paraId="6F7CA9FA" w14:textId="77777777" w:rsidR="009D3B2C" w:rsidRPr="004D34DE" w:rsidRDefault="009D3B2C" w:rsidP="00D63CC2">
      <w:pPr>
        <w:pStyle w:val="ListParagraph"/>
        <w:numPr>
          <w:ilvl w:val="0"/>
          <w:numId w:val="3"/>
        </w:numPr>
        <w:ind w:left="426"/>
        <w:rPr>
          <w:rFonts w:ascii="Arial" w:hAnsi="Arial" w:cs="Arial"/>
          <w:color w:val="000000"/>
        </w:rPr>
      </w:pPr>
      <w:r w:rsidRPr="004D34DE">
        <w:rPr>
          <w:rFonts w:ascii="Arial" w:hAnsi="Arial" w:cs="Arial"/>
          <w:color w:val="000000"/>
        </w:rPr>
        <w:t xml:space="preserve">Data management practices and cooperation are </w:t>
      </w:r>
      <w:proofErr w:type="gramStart"/>
      <w:r w:rsidRPr="004D34DE">
        <w:rPr>
          <w:rFonts w:ascii="Arial" w:hAnsi="Arial" w:cs="Arial"/>
          <w:color w:val="000000"/>
        </w:rPr>
        <w:t>improved</w:t>
      </w:r>
      <w:proofErr w:type="gramEnd"/>
      <w:r w:rsidRPr="004D34DE">
        <w:rPr>
          <w:rFonts w:ascii="Arial" w:hAnsi="Arial" w:cs="Arial"/>
          <w:color w:val="000000"/>
        </w:rPr>
        <w:t xml:space="preserve"> and a common Decision Support System (DSS) is developed to provide River Basin Organisations (</w:t>
      </w:r>
      <w:proofErr w:type="spellStart"/>
      <w:r w:rsidRPr="004D34DE">
        <w:rPr>
          <w:rFonts w:ascii="Arial" w:hAnsi="Arial" w:cs="Arial"/>
          <w:color w:val="000000"/>
        </w:rPr>
        <w:t>RBOs</w:t>
      </w:r>
      <w:proofErr w:type="spellEnd"/>
      <w:r w:rsidRPr="004D34DE">
        <w:rPr>
          <w:rFonts w:ascii="Arial" w:hAnsi="Arial" w:cs="Arial"/>
          <w:color w:val="000000"/>
        </w:rPr>
        <w:t xml:space="preserve">) and transboundary basin managers with actionable </w:t>
      </w:r>
      <w:proofErr w:type="gramStart"/>
      <w:r w:rsidRPr="004D34DE">
        <w:rPr>
          <w:rFonts w:ascii="Arial" w:hAnsi="Arial" w:cs="Arial"/>
          <w:color w:val="000000"/>
        </w:rPr>
        <w:t>science based</w:t>
      </w:r>
      <w:proofErr w:type="gramEnd"/>
      <w:r w:rsidRPr="004D34DE">
        <w:rPr>
          <w:rFonts w:ascii="Arial" w:hAnsi="Arial" w:cs="Arial"/>
          <w:color w:val="000000"/>
        </w:rPr>
        <w:t xml:space="preserve"> information on water resources to achieve water security for social, economic and environmental stakeholders across the SADC Region. </w:t>
      </w:r>
    </w:p>
    <w:p w14:paraId="5C8E9240" w14:textId="5E7B5E52" w:rsidR="00103C6B" w:rsidRPr="004D34DE" w:rsidRDefault="009D3B2C" w:rsidP="00D63CC2">
      <w:pPr>
        <w:pStyle w:val="ListParagraph"/>
        <w:numPr>
          <w:ilvl w:val="0"/>
          <w:numId w:val="3"/>
        </w:numPr>
        <w:pBdr>
          <w:bottom w:val="single" w:sz="4" w:space="1" w:color="auto"/>
        </w:pBdr>
        <w:ind w:left="426"/>
        <w:rPr>
          <w:rFonts w:ascii="Arial" w:hAnsi="Arial" w:cs="Arial"/>
        </w:rPr>
      </w:pPr>
      <w:r w:rsidRPr="004D34DE">
        <w:rPr>
          <w:rFonts w:ascii="Arial" w:hAnsi="Arial" w:cs="Arial"/>
          <w:color w:val="000000"/>
        </w:rPr>
        <w:t>The capacities of decision-makers and water managers are strengthened in Integrated Water Resources Management (</w:t>
      </w:r>
      <w:proofErr w:type="spellStart"/>
      <w:r w:rsidRPr="004D34DE">
        <w:rPr>
          <w:rFonts w:ascii="Arial" w:hAnsi="Arial" w:cs="Arial"/>
          <w:color w:val="000000"/>
        </w:rPr>
        <w:t>IWRM</w:t>
      </w:r>
      <w:proofErr w:type="spellEnd"/>
      <w:r w:rsidRPr="004D34DE">
        <w:rPr>
          <w:rFonts w:ascii="Arial" w:hAnsi="Arial" w:cs="Arial"/>
          <w:color w:val="000000"/>
        </w:rPr>
        <w:t>)/ Integrated Catchment Management (ICM) principles and practices to ensure and enforce water security across transboundary river basins of the SADC region.</w:t>
      </w:r>
    </w:p>
    <w:p w14:paraId="7C4BB80B" w14:textId="725400DA" w:rsidR="004D34DE" w:rsidRPr="004D34DE" w:rsidRDefault="004D34DE" w:rsidP="004D34DE">
      <w:pPr>
        <w:pBdr>
          <w:bottom w:val="single" w:sz="4" w:space="1" w:color="auto"/>
        </w:pBdr>
        <w:ind w:left="66"/>
        <w:rPr>
          <w:rFonts w:ascii="Arial" w:hAnsi="Arial" w:cs="Arial"/>
        </w:rPr>
      </w:pPr>
      <w:r w:rsidRPr="004D34DE">
        <w:rPr>
          <w:rFonts w:ascii="Arial" w:hAnsi="Arial" w:cs="Arial"/>
          <w:b/>
          <w:bCs/>
        </w:rPr>
        <w:t>Incoming public / visibility events</w:t>
      </w:r>
      <w:r w:rsidRPr="004D34DE">
        <w:rPr>
          <w:rFonts w:ascii="Arial" w:hAnsi="Arial" w:cs="Arial"/>
        </w:rPr>
        <w:t>:</w:t>
      </w:r>
      <w:r w:rsidRPr="004D34DE">
        <w:rPr>
          <w:rFonts w:ascii="Arial" w:hAnsi="Arial" w:cs="Arial"/>
        </w:rPr>
        <w:t xml:space="preserve"> - </w:t>
      </w:r>
    </w:p>
    <w:p w14:paraId="7780AE0B" w14:textId="77777777" w:rsidR="001F38C3" w:rsidRPr="004D34DE" w:rsidRDefault="001F38C3" w:rsidP="001F38C3">
      <w:pPr>
        <w:pBdr>
          <w:bottom w:val="single" w:sz="4" w:space="1" w:color="auto"/>
        </w:pBdr>
        <w:ind w:left="66"/>
        <w:rPr>
          <w:rFonts w:ascii="Arial" w:hAnsi="Arial" w:cs="Arial"/>
        </w:rPr>
      </w:pPr>
    </w:p>
    <w:p w14:paraId="648D8AD2" w14:textId="77777777" w:rsidR="00103C6B" w:rsidRPr="004D34DE" w:rsidRDefault="00103C6B" w:rsidP="00103C6B">
      <w:pPr>
        <w:rPr>
          <w:rFonts w:ascii="Arial" w:hAnsi="Arial" w:cs="Arial"/>
        </w:rPr>
      </w:pPr>
      <w:r w:rsidRPr="004D34DE">
        <w:rPr>
          <w:rFonts w:ascii="Arial" w:hAnsi="Arial" w:cs="Arial"/>
          <w:b/>
          <w:i/>
        </w:rPr>
        <w:t>Project website</w:t>
      </w:r>
      <w:r w:rsidRPr="004D34DE">
        <w:rPr>
          <w:rFonts w:ascii="Arial" w:hAnsi="Arial" w:cs="Arial"/>
          <w:i/>
        </w:rPr>
        <w:t xml:space="preserve"> / </w:t>
      </w:r>
      <w:r w:rsidRPr="004D34DE">
        <w:rPr>
          <w:rFonts w:ascii="Arial" w:hAnsi="Arial" w:cs="Arial"/>
          <w:b/>
          <w:i/>
        </w:rPr>
        <w:t>Social media account links</w:t>
      </w:r>
      <w:r w:rsidRPr="004D34DE">
        <w:rPr>
          <w:rFonts w:ascii="Arial" w:hAnsi="Arial" w:cs="Arial"/>
        </w:rPr>
        <w:t>:</w:t>
      </w:r>
    </w:p>
    <w:p w14:paraId="7BB609F8" w14:textId="6E8981A9" w:rsidR="00103C6B" w:rsidRPr="004D34DE" w:rsidRDefault="00C87943" w:rsidP="00C87943">
      <w:pPr>
        <w:pStyle w:val="ListParagraph"/>
        <w:numPr>
          <w:ilvl w:val="0"/>
          <w:numId w:val="1"/>
        </w:numPr>
        <w:rPr>
          <w:rFonts w:ascii="Arial" w:hAnsi="Arial" w:cs="Arial"/>
        </w:rPr>
      </w:pPr>
      <w:hyperlink r:id="rId8" w:history="1">
        <w:r w:rsidRPr="004D34DE">
          <w:rPr>
            <w:rStyle w:val="Hyperlink"/>
            <w:rFonts w:ascii="Arial" w:hAnsi="Arial" w:cs="Arial"/>
          </w:rPr>
          <w:t>https://www.okacom.org/corb-fund-factsheet</w:t>
        </w:r>
      </w:hyperlink>
      <w:r w:rsidRPr="004D34DE">
        <w:rPr>
          <w:rFonts w:ascii="Arial" w:hAnsi="Arial" w:cs="Arial"/>
        </w:rPr>
        <w:t xml:space="preserve"> </w:t>
      </w:r>
    </w:p>
    <w:sectPr w:rsidR="00103C6B" w:rsidRPr="004D34DE" w:rsidSect="0050424B">
      <w:footerReference w:type="default" r:id="rId9"/>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21FDF" w14:textId="77777777" w:rsidR="00307304" w:rsidRDefault="00307304" w:rsidP="0050424B">
      <w:pPr>
        <w:spacing w:after="0" w:line="240" w:lineRule="auto"/>
      </w:pPr>
      <w:r>
        <w:separator/>
      </w:r>
    </w:p>
  </w:endnote>
  <w:endnote w:type="continuationSeparator" w:id="0">
    <w:p w14:paraId="342D6EED" w14:textId="77777777" w:rsidR="00307304" w:rsidRDefault="00307304" w:rsidP="0050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A95A0" w14:textId="77777777" w:rsidR="0050424B" w:rsidRDefault="00251EDD">
    <w:pPr>
      <w:pStyle w:val="Footer"/>
    </w:pPr>
    <w:hyperlink r:id="rId1" w:history="1">
      <w:r w:rsidRPr="001D1560">
        <w:rPr>
          <w:rStyle w:val="Hyperlink"/>
        </w:rPr>
        <w:t>https://www.eeas.europa.eu/delegations/botswana_en</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C31B6" w14:textId="77777777" w:rsidR="00307304" w:rsidRDefault="00307304" w:rsidP="0050424B">
      <w:pPr>
        <w:spacing w:after="0" w:line="240" w:lineRule="auto"/>
      </w:pPr>
      <w:r>
        <w:separator/>
      </w:r>
    </w:p>
  </w:footnote>
  <w:footnote w:type="continuationSeparator" w:id="0">
    <w:p w14:paraId="2855C62C" w14:textId="77777777" w:rsidR="00307304" w:rsidRDefault="00307304" w:rsidP="005042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942EC"/>
    <w:multiLevelType w:val="hybridMultilevel"/>
    <w:tmpl w:val="2E8618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E5058F"/>
    <w:multiLevelType w:val="hybridMultilevel"/>
    <w:tmpl w:val="E1229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824D88"/>
    <w:multiLevelType w:val="hybridMultilevel"/>
    <w:tmpl w:val="80EC4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2199801">
    <w:abstractNumId w:val="2"/>
  </w:num>
  <w:num w:numId="2" w16cid:durableId="1111630434">
    <w:abstractNumId w:val="0"/>
  </w:num>
  <w:num w:numId="3" w16cid:durableId="2129348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BE" w:vendorID="64" w:dllVersion="0" w:nlCheck="1" w:checkStyle="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103C6B"/>
    <w:rsid w:val="000652A7"/>
    <w:rsid w:val="00075F74"/>
    <w:rsid w:val="000F5860"/>
    <w:rsid w:val="00103C6B"/>
    <w:rsid w:val="001970B5"/>
    <w:rsid w:val="001B5100"/>
    <w:rsid w:val="001F38C3"/>
    <w:rsid w:val="00232823"/>
    <w:rsid w:val="00251EDD"/>
    <w:rsid w:val="002547CF"/>
    <w:rsid w:val="002A6039"/>
    <w:rsid w:val="00307304"/>
    <w:rsid w:val="003A3AF1"/>
    <w:rsid w:val="004B0C2A"/>
    <w:rsid w:val="004D34DE"/>
    <w:rsid w:val="0050424B"/>
    <w:rsid w:val="006A2835"/>
    <w:rsid w:val="006D5127"/>
    <w:rsid w:val="008579AF"/>
    <w:rsid w:val="008B0B89"/>
    <w:rsid w:val="00957BEF"/>
    <w:rsid w:val="009652C5"/>
    <w:rsid w:val="00985B4E"/>
    <w:rsid w:val="009D3B2C"/>
    <w:rsid w:val="009E313B"/>
    <w:rsid w:val="009E7CE9"/>
    <w:rsid w:val="009F0022"/>
    <w:rsid w:val="00AD5836"/>
    <w:rsid w:val="00C343E7"/>
    <w:rsid w:val="00C87943"/>
    <w:rsid w:val="00CE7370"/>
    <w:rsid w:val="00D63CC2"/>
    <w:rsid w:val="00FA2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6A9982"/>
  <w15:chartTrackingRefBased/>
  <w15:docId w15:val="{81498267-5D03-4486-A877-644B5082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24B"/>
  </w:style>
  <w:style w:type="paragraph" w:styleId="Footer">
    <w:name w:val="footer"/>
    <w:basedOn w:val="Normal"/>
    <w:link w:val="FooterChar"/>
    <w:uiPriority w:val="99"/>
    <w:unhideWhenUsed/>
    <w:rsid w:val="00504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24B"/>
  </w:style>
  <w:style w:type="paragraph" w:styleId="ListParagraph">
    <w:name w:val="List Paragraph"/>
    <w:basedOn w:val="Normal"/>
    <w:uiPriority w:val="34"/>
    <w:qFormat/>
    <w:rsid w:val="0050424B"/>
    <w:pPr>
      <w:ind w:left="720"/>
      <w:contextualSpacing/>
    </w:pPr>
  </w:style>
  <w:style w:type="character" w:styleId="Hyperlink">
    <w:name w:val="Hyperlink"/>
    <w:basedOn w:val="DefaultParagraphFont"/>
    <w:uiPriority w:val="99"/>
    <w:unhideWhenUsed/>
    <w:rsid w:val="00251EDD"/>
    <w:rPr>
      <w:color w:val="0563C1" w:themeColor="hyperlink"/>
      <w:u w:val="single"/>
    </w:rPr>
  </w:style>
  <w:style w:type="paragraph" w:customStyle="1" w:styleId="Default">
    <w:name w:val="Default"/>
    <w:rsid w:val="00AD5836"/>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4B0C2A"/>
    <w:pPr>
      <w:spacing w:after="0" w:line="240" w:lineRule="auto"/>
    </w:pPr>
  </w:style>
  <w:style w:type="character" w:styleId="UnresolvedMention">
    <w:name w:val="Unresolved Mention"/>
    <w:basedOn w:val="DefaultParagraphFont"/>
    <w:uiPriority w:val="99"/>
    <w:semiHidden/>
    <w:unhideWhenUsed/>
    <w:rsid w:val="00C87943"/>
    <w:rPr>
      <w:color w:val="605E5C"/>
      <w:shd w:val="clear" w:color="auto" w:fill="E1DFDD"/>
    </w:rPr>
  </w:style>
  <w:style w:type="character" w:styleId="FollowedHyperlink">
    <w:name w:val="FollowedHyperlink"/>
    <w:basedOn w:val="DefaultParagraphFont"/>
    <w:uiPriority w:val="99"/>
    <w:semiHidden/>
    <w:unhideWhenUsed/>
    <w:rsid w:val="00D63C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kacom.org/corb-fund-factshee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eeas.europa.eu/delegations/botswana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GHERMAN Catalin (EEAS-GABORONE)</dc:creator>
  <cp:keywords/>
  <dc:description/>
  <cp:lastModifiedBy>GEERTMAN Ruben (EEAS-GABORONE)</cp:lastModifiedBy>
  <cp:revision>8</cp:revision>
  <dcterms:created xsi:type="dcterms:W3CDTF">2025-01-23T13:36:00Z</dcterms:created>
  <dcterms:modified xsi:type="dcterms:W3CDTF">2026-05-13T10:54:00Z</dcterms:modified>
</cp:coreProperties>
</file>