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FC64C" w14:textId="00A26133" w:rsidR="00F575F7" w:rsidRPr="00CB6495" w:rsidRDefault="00E3381E" w:rsidP="00063246">
      <w:pPr>
        <w:autoSpaceDE w:val="0"/>
        <w:autoSpaceDN w:val="0"/>
        <w:adjustRightInd w:val="0"/>
        <w:spacing w:after="0"/>
        <w:jc w:val="center"/>
        <w:rPr>
          <w:b/>
          <w:bCs/>
          <w:color w:val="000000"/>
          <w:lang w:val="fr-BE" w:eastAsia="en-GB"/>
        </w:rPr>
      </w:pPr>
      <w:r w:rsidRPr="00CB6495">
        <w:rPr>
          <w:b/>
          <w:bCs/>
          <w:color w:val="000000"/>
          <w:lang w:val="fr-BE" w:eastAsia="en-GB"/>
        </w:rPr>
        <w:t>APPEL A MA</w:t>
      </w:r>
      <w:r w:rsidR="00A26D4B" w:rsidRPr="00CB6495">
        <w:rPr>
          <w:b/>
          <w:bCs/>
          <w:color w:val="000000"/>
          <w:lang w:val="fr-BE" w:eastAsia="en-GB"/>
        </w:rPr>
        <w:t>NI</w:t>
      </w:r>
      <w:r w:rsidRPr="00CB6495">
        <w:rPr>
          <w:b/>
          <w:bCs/>
          <w:color w:val="000000"/>
          <w:lang w:val="fr-BE" w:eastAsia="en-GB"/>
        </w:rPr>
        <w:t>FESTATION D’INTERET</w:t>
      </w:r>
      <w:r w:rsidR="00111203" w:rsidRPr="00CB6495">
        <w:rPr>
          <w:b/>
          <w:bCs/>
          <w:color w:val="000000"/>
          <w:lang w:val="fr-BE" w:eastAsia="en-GB"/>
        </w:rPr>
        <w:t xml:space="preserve"> (AMI)</w:t>
      </w:r>
    </w:p>
    <w:p w14:paraId="1B972FF2" w14:textId="77777777" w:rsidR="00E3381E" w:rsidRPr="00CB6495" w:rsidRDefault="00E3381E" w:rsidP="00063246">
      <w:pPr>
        <w:autoSpaceDE w:val="0"/>
        <w:autoSpaceDN w:val="0"/>
        <w:adjustRightInd w:val="0"/>
        <w:spacing w:after="0"/>
        <w:jc w:val="center"/>
        <w:rPr>
          <w:b/>
          <w:bCs/>
          <w:color w:val="000000"/>
          <w:lang w:val="fr-BE" w:eastAsia="en-GB"/>
        </w:rPr>
      </w:pPr>
    </w:p>
    <w:p w14:paraId="121724B1" w14:textId="77777777" w:rsidR="00E3381E" w:rsidRPr="00CB6495" w:rsidRDefault="00E3381E" w:rsidP="00063246">
      <w:pPr>
        <w:autoSpaceDE w:val="0"/>
        <w:autoSpaceDN w:val="0"/>
        <w:adjustRightInd w:val="0"/>
        <w:spacing w:after="0"/>
        <w:jc w:val="center"/>
        <w:rPr>
          <w:b/>
          <w:bCs/>
          <w:color w:val="000000"/>
          <w:lang w:val="fr-BE" w:eastAsia="en-GB"/>
        </w:rPr>
      </w:pPr>
      <w:r w:rsidRPr="00CB6495">
        <w:rPr>
          <w:b/>
          <w:bCs/>
          <w:color w:val="000000"/>
          <w:lang w:val="fr-BE" w:eastAsia="en-GB"/>
        </w:rPr>
        <w:t>Administration contractante: Commission européenne</w:t>
      </w:r>
    </w:p>
    <w:p w14:paraId="1CE7629C" w14:textId="77777777" w:rsidR="00E3381E" w:rsidRPr="00CB6495" w:rsidRDefault="00E3381E" w:rsidP="00063246">
      <w:pPr>
        <w:autoSpaceDE w:val="0"/>
        <w:autoSpaceDN w:val="0"/>
        <w:adjustRightInd w:val="0"/>
        <w:spacing w:after="0"/>
        <w:jc w:val="center"/>
        <w:rPr>
          <w:b/>
          <w:bCs/>
          <w:color w:val="000000"/>
          <w:lang w:val="fr-BE" w:eastAsia="en-GB"/>
        </w:rPr>
      </w:pPr>
    </w:p>
    <w:p w14:paraId="73BEB902" w14:textId="77777777" w:rsidR="00E3381E" w:rsidRPr="00CB6495" w:rsidRDefault="00E3381E" w:rsidP="00063246">
      <w:pPr>
        <w:autoSpaceDE w:val="0"/>
        <w:autoSpaceDN w:val="0"/>
        <w:adjustRightInd w:val="0"/>
        <w:spacing w:after="0"/>
        <w:jc w:val="center"/>
        <w:rPr>
          <w:b/>
          <w:bCs/>
          <w:color w:val="000000"/>
          <w:lang w:val="fr-BE" w:eastAsia="en-GB" w:bidi="fr-FR"/>
        </w:rPr>
      </w:pPr>
      <w:r w:rsidRPr="00CB6495">
        <w:rPr>
          <w:b/>
          <w:bCs/>
          <w:color w:val="000000"/>
          <w:lang w:val="fr-BE" w:eastAsia="en-GB"/>
        </w:rPr>
        <w:t>Programme d</w:t>
      </w:r>
      <w:r w:rsidRPr="00CB6495">
        <w:rPr>
          <w:b/>
          <w:bCs/>
          <w:color w:val="000000"/>
          <w:lang w:val="fr-BE" w:eastAsia="en-GB" w:bidi="fr-FR"/>
        </w:rPr>
        <w:t>’appui à la réforme du secteur de la sécurité et à la gouvernance</w:t>
      </w:r>
    </w:p>
    <w:p w14:paraId="76CC86B9" w14:textId="0DF87776" w:rsidR="00E3381E" w:rsidRPr="00CB6495" w:rsidRDefault="00E3381E" w:rsidP="00063246">
      <w:pPr>
        <w:autoSpaceDE w:val="0"/>
        <w:autoSpaceDN w:val="0"/>
        <w:adjustRightInd w:val="0"/>
        <w:spacing w:after="0"/>
        <w:jc w:val="center"/>
        <w:rPr>
          <w:b/>
          <w:bCs/>
          <w:color w:val="000000"/>
          <w:lang w:val="fr-BE" w:eastAsia="en-GB" w:bidi="fr-FR"/>
        </w:rPr>
      </w:pPr>
      <w:r w:rsidRPr="00CB6495">
        <w:rPr>
          <w:b/>
          <w:bCs/>
          <w:color w:val="000000"/>
          <w:lang w:val="fr-BE" w:eastAsia="en-GB" w:bidi="fr-FR"/>
        </w:rPr>
        <w:t>en République Centrafricaine</w:t>
      </w:r>
      <w:r w:rsidR="00A26D4B" w:rsidRPr="00CB6495">
        <w:rPr>
          <w:b/>
          <w:bCs/>
          <w:color w:val="000000"/>
          <w:lang w:val="fr-BE" w:eastAsia="en-GB" w:bidi="fr-FR"/>
        </w:rPr>
        <w:t xml:space="preserve"> – Volet 3 état</w:t>
      </w:r>
      <w:r w:rsidR="004E40F4" w:rsidRPr="00CB6495">
        <w:rPr>
          <w:b/>
          <w:bCs/>
          <w:color w:val="000000"/>
          <w:lang w:val="fr-BE" w:eastAsia="en-GB" w:bidi="fr-FR"/>
        </w:rPr>
        <w:t xml:space="preserve"> </w:t>
      </w:r>
      <w:r w:rsidR="00A26D4B" w:rsidRPr="00CB6495">
        <w:rPr>
          <w:b/>
          <w:bCs/>
          <w:color w:val="000000"/>
          <w:lang w:val="fr-BE" w:eastAsia="en-GB" w:bidi="fr-FR"/>
        </w:rPr>
        <w:t>civil</w:t>
      </w:r>
    </w:p>
    <w:p w14:paraId="1F5950EF" w14:textId="77777777" w:rsidR="00E3381E" w:rsidRPr="00CB6495" w:rsidRDefault="00E3381E" w:rsidP="00063246">
      <w:pPr>
        <w:autoSpaceDE w:val="0"/>
        <w:autoSpaceDN w:val="0"/>
        <w:adjustRightInd w:val="0"/>
        <w:spacing w:after="0"/>
        <w:jc w:val="center"/>
        <w:rPr>
          <w:b/>
          <w:bCs/>
          <w:color w:val="000000"/>
          <w:lang w:val="fr-BE" w:eastAsia="en-GB" w:bidi="fr-FR"/>
        </w:rPr>
      </w:pPr>
    </w:p>
    <w:p w14:paraId="40829FB0" w14:textId="77777777" w:rsidR="00E3381E" w:rsidRPr="00CB6495" w:rsidRDefault="00E3381E" w:rsidP="00063246">
      <w:pPr>
        <w:autoSpaceDE w:val="0"/>
        <w:autoSpaceDN w:val="0"/>
        <w:adjustRightInd w:val="0"/>
        <w:spacing w:after="0"/>
        <w:jc w:val="center"/>
        <w:rPr>
          <w:b/>
          <w:bCs/>
          <w:color w:val="000000"/>
          <w:lang w:val="fr-BE" w:eastAsia="en-GB" w:bidi="fr-FR"/>
        </w:rPr>
      </w:pPr>
      <w:r w:rsidRPr="00CB6495">
        <w:rPr>
          <w:b/>
          <w:bCs/>
          <w:color w:val="000000"/>
          <w:lang w:val="fr-BE" w:eastAsia="en-GB" w:bidi="fr-FR"/>
        </w:rPr>
        <w:t>FED/2018/</w:t>
      </w:r>
      <w:r w:rsidR="00E96FE5" w:rsidRPr="00CB6495">
        <w:rPr>
          <w:b/>
          <w:bCs/>
          <w:color w:val="000000"/>
          <w:lang w:val="fr-BE" w:eastAsia="en-GB" w:bidi="fr-FR"/>
        </w:rPr>
        <w:t>0</w:t>
      </w:r>
      <w:r w:rsidRPr="00CB6495">
        <w:rPr>
          <w:b/>
          <w:bCs/>
          <w:color w:val="000000"/>
          <w:lang w:val="fr-BE" w:eastAsia="en-GB" w:bidi="fr-FR"/>
        </w:rPr>
        <w:t>40</w:t>
      </w:r>
      <w:r w:rsidR="00E96FE5" w:rsidRPr="00CB6495">
        <w:rPr>
          <w:b/>
          <w:bCs/>
          <w:color w:val="000000"/>
          <w:lang w:val="fr-BE" w:eastAsia="en-GB" w:bidi="fr-FR"/>
        </w:rPr>
        <w:t>-</w:t>
      </w:r>
      <w:r w:rsidRPr="00CB6495">
        <w:rPr>
          <w:b/>
          <w:bCs/>
          <w:color w:val="000000"/>
          <w:lang w:val="fr-BE" w:eastAsia="en-GB" w:bidi="fr-FR"/>
        </w:rPr>
        <w:t>365</w:t>
      </w:r>
    </w:p>
    <w:p w14:paraId="6E350BFC" w14:textId="17B88E15" w:rsidR="00E3381E" w:rsidRDefault="00E3381E" w:rsidP="00063246">
      <w:pPr>
        <w:autoSpaceDE w:val="0"/>
        <w:autoSpaceDN w:val="0"/>
        <w:adjustRightInd w:val="0"/>
        <w:spacing w:after="0"/>
        <w:rPr>
          <w:b/>
          <w:bCs/>
          <w:color w:val="000000"/>
          <w:lang w:val="fr-BE" w:eastAsia="en-GB" w:bidi="fr-FR"/>
        </w:rPr>
      </w:pPr>
    </w:p>
    <w:p w14:paraId="1E2F70D5" w14:textId="77777777" w:rsidR="00A403BB" w:rsidRPr="00CB6495" w:rsidRDefault="00A403BB" w:rsidP="00063246">
      <w:pPr>
        <w:autoSpaceDE w:val="0"/>
        <w:autoSpaceDN w:val="0"/>
        <w:adjustRightInd w:val="0"/>
        <w:spacing w:after="0"/>
        <w:rPr>
          <w:b/>
          <w:bCs/>
          <w:color w:val="000000"/>
          <w:lang w:val="fr-BE" w:eastAsia="en-GB" w:bidi="fr-FR"/>
        </w:rPr>
      </w:pPr>
    </w:p>
    <w:p w14:paraId="0419B5B7" w14:textId="77777777" w:rsidR="0078792D" w:rsidRPr="00CB6495" w:rsidRDefault="0078792D" w:rsidP="00063246">
      <w:pPr>
        <w:autoSpaceDE w:val="0"/>
        <w:autoSpaceDN w:val="0"/>
        <w:adjustRightInd w:val="0"/>
        <w:spacing w:after="0"/>
        <w:rPr>
          <w:b/>
          <w:bCs/>
          <w:color w:val="000000"/>
          <w:lang w:val="fr-BE" w:eastAsia="en-GB" w:bidi="fr-FR"/>
        </w:rPr>
      </w:pPr>
      <w:r w:rsidRPr="00CB6495">
        <w:rPr>
          <w:b/>
          <w:bCs/>
          <w:color w:val="000000"/>
          <w:lang w:val="fr-BE" w:eastAsia="en-GB" w:bidi="fr-FR"/>
        </w:rPr>
        <w:t>1. Informations générales sur le pays bénéficiaire</w:t>
      </w:r>
    </w:p>
    <w:p w14:paraId="695CE7FF" w14:textId="77777777" w:rsidR="00C56318" w:rsidRPr="00CB6495" w:rsidRDefault="00C56318" w:rsidP="00063246">
      <w:pPr>
        <w:autoSpaceDE w:val="0"/>
        <w:autoSpaceDN w:val="0"/>
        <w:adjustRightInd w:val="0"/>
        <w:spacing w:after="0"/>
        <w:rPr>
          <w:b/>
          <w:bCs/>
          <w:color w:val="000000"/>
          <w:lang w:val="fr-BE" w:eastAsia="en-GB" w:bidi="fr-FR"/>
        </w:rPr>
      </w:pPr>
    </w:p>
    <w:p w14:paraId="2C3D1C85" w14:textId="77777777" w:rsidR="00E3381E" w:rsidRPr="00CB6495" w:rsidRDefault="00E3381E" w:rsidP="00063246">
      <w:pPr>
        <w:keepNext/>
        <w:spacing w:after="0"/>
        <w:jc w:val="left"/>
        <w:outlineLvl w:val="1"/>
        <w:rPr>
          <w:b/>
          <w:snapToGrid w:val="0"/>
          <w:lang w:eastAsia="en-GB"/>
        </w:rPr>
      </w:pPr>
      <w:bookmarkStart w:id="0" w:name="_Toc480299982"/>
      <w:r w:rsidRPr="00CB6495">
        <w:rPr>
          <w:b/>
          <w:snapToGrid w:val="0"/>
          <w:lang w:eastAsia="en-GB"/>
        </w:rPr>
        <w:t xml:space="preserve">1. </w:t>
      </w:r>
      <w:r w:rsidR="0078792D" w:rsidRPr="00CB6495">
        <w:rPr>
          <w:b/>
          <w:snapToGrid w:val="0"/>
          <w:lang w:eastAsia="en-GB"/>
        </w:rPr>
        <w:t xml:space="preserve">1. </w:t>
      </w:r>
      <w:r w:rsidR="00815817" w:rsidRPr="00CB6495">
        <w:rPr>
          <w:b/>
          <w:snapToGrid w:val="0"/>
          <w:lang w:eastAsia="en-GB"/>
        </w:rPr>
        <w:t>Contexte national</w:t>
      </w:r>
    </w:p>
    <w:p w14:paraId="3F7BEFF6" w14:textId="77777777" w:rsidR="00C56318" w:rsidRPr="00CB6495" w:rsidRDefault="00C56318" w:rsidP="00063246">
      <w:pPr>
        <w:keepNext/>
        <w:spacing w:after="0"/>
        <w:jc w:val="left"/>
        <w:outlineLvl w:val="1"/>
        <w:rPr>
          <w:b/>
          <w:snapToGrid w:val="0"/>
          <w:lang w:eastAsia="en-GB"/>
        </w:rPr>
      </w:pPr>
    </w:p>
    <w:bookmarkEnd w:id="0"/>
    <w:p w14:paraId="10B17B73" w14:textId="4798878D" w:rsidR="00E3381E" w:rsidRPr="00CB6495" w:rsidRDefault="00E3381E" w:rsidP="00063246">
      <w:pPr>
        <w:tabs>
          <w:tab w:val="left" w:pos="2161"/>
        </w:tabs>
        <w:spacing w:after="0"/>
        <w:rPr>
          <w:lang w:eastAsia="en-GB"/>
        </w:rPr>
      </w:pPr>
      <w:r w:rsidRPr="00CB6495">
        <w:rPr>
          <w:lang w:eastAsia="en-GB"/>
        </w:rPr>
        <w:t xml:space="preserve">Les crises politico-militaires et les conflits violents qui ont successivement ébranlé la République Centrafricaine (RCA), dont la crise la plus grave de Mars 2013 avec le coup d’état par la </w:t>
      </w:r>
      <w:proofErr w:type="spellStart"/>
      <w:r w:rsidRPr="00CB6495">
        <w:rPr>
          <w:lang w:eastAsia="en-GB"/>
        </w:rPr>
        <w:t>Séléka</w:t>
      </w:r>
      <w:proofErr w:type="spellEnd"/>
      <w:r w:rsidRPr="00CB6495">
        <w:rPr>
          <w:lang w:eastAsia="en-GB"/>
        </w:rPr>
        <w:t>, ont laissé le système étatique centrafricain exsangue, avec des institutions publiques sinistrées. Le processus transitionnel engagé à partir de 2013 et la reconstruction démocratique de l’</w:t>
      </w:r>
      <w:r w:rsidR="0064401C" w:rsidRPr="00CB6495">
        <w:rPr>
          <w:lang w:eastAsia="en-GB"/>
        </w:rPr>
        <w:t>État</w:t>
      </w:r>
      <w:r w:rsidRPr="00CB6495">
        <w:rPr>
          <w:lang w:eastAsia="en-GB"/>
        </w:rPr>
        <w:t xml:space="preserve"> a permis, malgré la continuation des</w:t>
      </w:r>
      <w:r w:rsidR="00EF2FC7" w:rsidRPr="00CB6495">
        <w:rPr>
          <w:lang w:eastAsia="en-GB"/>
        </w:rPr>
        <w:t xml:space="preserve"> violences et </w:t>
      </w:r>
      <w:r w:rsidR="007C3A4A" w:rsidRPr="00CB6495">
        <w:rPr>
          <w:lang w:eastAsia="en-GB"/>
        </w:rPr>
        <w:t>le contrôle de pans entiers</w:t>
      </w:r>
      <w:r w:rsidR="00EF2FC7" w:rsidRPr="00CB6495">
        <w:rPr>
          <w:lang w:eastAsia="en-GB"/>
        </w:rPr>
        <w:t xml:space="preserve"> </w:t>
      </w:r>
      <w:r w:rsidRPr="00CB6495">
        <w:rPr>
          <w:lang w:eastAsia="en-GB"/>
        </w:rPr>
        <w:t>du territoire par des groupes armés, le redéploiement progressif de fonctionnaires et agents de l’</w:t>
      </w:r>
      <w:r w:rsidR="0064401C" w:rsidRPr="00CB6495">
        <w:rPr>
          <w:lang w:eastAsia="en-GB"/>
        </w:rPr>
        <w:t>État</w:t>
      </w:r>
      <w:r w:rsidRPr="00CB6495">
        <w:rPr>
          <w:lang w:eastAsia="en-GB"/>
        </w:rPr>
        <w:t xml:space="preserve"> dans les régions ouest et centre du pays. </w:t>
      </w:r>
    </w:p>
    <w:p w14:paraId="03D99E68" w14:textId="77777777" w:rsidR="00C56318" w:rsidRPr="00CB6495" w:rsidRDefault="00C56318" w:rsidP="00063246">
      <w:pPr>
        <w:tabs>
          <w:tab w:val="left" w:pos="2161"/>
        </w:tabs>
        <w:spacing w:after="0"/>
        <w:rPr>
          <w:lang w:eastAsia="en-GB"/>
        </w:rPr>
      </w:pPr>
    </w:p>
    <w:p w14:paraId="4E9EB507" w14:textId="77777777" w:rsidR="00E3381E" w:rsidRPr="00CB6495" w:rsidRDefault="00E3381E" w:rsidP="00063246">
      <w:pPr>
        <w:tabs>
          <w:tab w:val="left" w:pos="2161"/>
        </w:tabs>
        <w:spacing w:after="0"/>
        <w:rPr>
          <w:lang w:eastAsia="en-GB"/>
        </w:rPr>
      </w:pPr>
      <w:r w:rsidRPr="00CB6495">
        <w:rPr>
          <w:lang w:eastAsia="en-GB"/>
        </w:rPr>
        <w:t>Le cadre politique de sortie de crise en RCA défini dans l’Accord de cessation des hostilités signé à Brazzaville le 23 juillet 2014 affirme le principe d’indivisibilité de la République et identifie le retour de l’autorité de l’État sur tout le territoire comme un prérequis à la stabilisation. Les recommandations du rapport du Forum de Bangui du 11 mai 2015 mettent notamment l’accent sur le déploiement nécessaire, dans les zones urbaines et rurales, de forces de sécurité intérieure (FSI) inclusives et professionnelles, sur l'application d'une justice équitable pour tous les citoyens, et sur le renforcement des prérogatives des collectivités décentralisées.</w:t>
      </w:r>
    </w:p>
    <w:p w14:paraId="39939EB1" w14:textId="77777777" w:rsidR="00C56318" w:rsidRPr="00CB6495" w:rsidRDefault="00C56318" w:rsidP="00063246">
      <w:pPr>
        <w:tabs>
          <w:tab w:val="left" w:pos="2161"/>
        </w:tabs>
        <w:spacing w:after="0"/>
        <w:rPr>
          <w:lang w:eastAsia="en-GB"/>
        </w:rPr>
      </w:pPr>
    </w:p>
    <w:p w14:paraId="6F3BBB46" w14:textId="77777777" w:rsidR="00E3381E" w:rsidRPr="00CB6495" w:rsidRDefault="00E3381E" w:rsidP="00063246">
      <w:pPr>
        <w:tabs>
          <w:tab w:val="left" w:pos="2161"/>
        </w:tabs>
        <w:spacing w:after="0"/>
        <w:rPr>
          <w:lang w:eastAsia="en-GB"/>
        </w:rPr>
      </w:pPr>
      <w:r w:rsidRPr="00CB6495">
        <w:rPr>
          <w:lang w:eastAsia="en-GB"/>
        </w:rPr>
        <w:t>Les orientations de ces deux documents sont opérationnalisées dans le Plan national de relèvement et de consolidation de la paix (RCPCA) adopté en octobre 2016, qui fournit le cadre de référence d’orientation politique et stratégique pour la période 2017-2021</w:t>
      </w:r>
      <w:r w:rsidR="007C3A4A" w:rsidRPr="00CB6495">
        <w:rPr>
          <w:lang w:eastAsia="en-GB"/>
        </w:rPr>
        <w:t>. Le RCPCA</w:t>
      </w:r>
      <w:r w:rsidRPr="00CB6495">
        <w:rPr>
          <w:lang w:eastAsia="en-GB"/>
        </w:rPr>
        <w:t xml:space="preserve"> s’articule en 3 piliers liant les questions de gouvernance sécuritaire, démocratique, administrative et économique.</w:t>
      </w:r>
    </w:p>
    <w:p w14:paraId="618C5780" w14:textId="77777777" w:rsidR="00C56318" w:rsidRPr="00CB6495" w:rsidRDefault="00C56318" w:rsidP="00063246">
      <w:pPr>
        <w:tabs>
          <w:tab w:val="left" w:pos="2161"/>
        </w:tabs>
        <w:spacing w:after="0"/>
        <w:rPr>
          <w:lang w:eastAsia="en-GB"/>
        </w:rPr>
      </w:pPr>
    </w:p>
    <w:p w14:paraId="6005B911" w14:textId="77777777" w:rsidR="007C3A4A" w:rsidRPr="00CB6495" w:rsidRDefault="00815817" w:rsidP="00063246">
      <w:pPr>
        <w:tabs>
          <w:tab w:val="left" w:pos="2161"/>
        </w:tabs>
        <w:spacing w:after="0"/>
        <w:rPr>
          <w:lang w:eastAsia="en-GB"/>
        </w:rPr>
      </w:pPr>
      <w:r w:rsidRPr="00CB6495">
        <w:rPr>
          <w:lang w:eastAsia="en-GB"/>
        </w:rPr>
        <w:t>Le pilier 2 du RCPCA, axé sur le renouvèlement du contrat social entre l'</w:t>
      </w:r>
      <w:proofErr w:type="spellStart"/>
      <w:r w:rsidRPr="00CB6495">
        <w:rPr>
          <w:lang w:eastAsia="en-GB"/>
        </w:rPr>
        <w:t>Etat</w:t>
      </w:r>
      <w:proofErr w:type="spellEnd"/>
      <w:r w:rsidRPr="00CB6495">
        <w:rPr>
          <w:lang w:eastAsia="en-GB"/>
        </w:rPr>
        <w:t xml:space="preserve"> et la population, comprend un volet de soutien à l’état</w:t>
      </w:r>
      <w:r w:rsidR="00A26D4B" w:rsidRPr="00CB6495">
        <w:rPr>
          <w:lang w:eastAsia="en-GB"/>
        </w:rPr>
        <w:t>-</w:t>
      </w:r>
      <w:r w:rsidRPr="00CB6495">
        <w:rPr>
          <w:lang w:eastAsia="en-GB"/>
        </w:rPr>
        <w:t>civil.</w:t>
      </w:r>
    </w:p>
    <w:p w14:paraId="5699ACC6" w14:textId="77777777" w:rsidR="00C56318" w:rsidRPr="00CB6495" w:rsidRDefault="00C56318" w:rsidP="00063246">
      <w:pPr>
        <w:tabs>
          <w:tab w:val="left" w:pos="2161"/>
        </w:tabs>
        <w:spacing w:after="0"/>
        <w:rPr>
          <w:lang w:eastAsia="en-GB"/>
        </w:rPr>
      </w:pPr>
    </w:p>
    <w:p w14:paraId="6085FB79" w14:textId="49A2E839" w:rsidR="00E3381E" w:rsidRPr="00CB6495" w:rsidRDefault="00627A9D" w:rsidP="00063246">
      <w:pPr>
        <w:tabs>
          <w:tab w:val="left" w:pos="2161"/>
        </w:tabs>
        <w:spacing w:after="0"/>
        <w:rPr>
          <w:lang w:eastAsia="en-GB"/>
        </w:rPr>
      </w:pPr>
      <w:r w:rsidRPr="00CB6495">
        <w:rPr>
          <w:lang w:eastAsia="en-GB"/>
        </w:rPr>
        <w:t>L</w:t>
      </w:r>
      <w:r w:rsidR="00E3381E" w:rsidRPr="00CB6495">
        <w:rPr>
          <w:lang w:eastAsia="en-GB"/>
        </w:rPr>
        <w:t xml:space="preserve">’Accord Politique pour la Paix et la Réconciliation </w:t>
      </w:r>
      <w:r w:rsidR="00EF2FC7" w:rsidRPr="00CB6495">
        <w:rPr>
          <w:lang w:eastAsia="en-GB"/>
        </w:rPr>
        <w:t xml:space="preserve">nationale </w:t>
      </w:r>
      <w:r w:rsidR="00E3381E" w:rsidRPr="00CB6495">
        <w:rPr>
          <w:lang w:eastAsia="en-GB"/>
        </w:rPr>
        <w:t>(APPR</w:t>
      </w:r>
      <w:r w:rsidR="00815817" w:rsidRPr="00CB6495">
        <w:rPr>
          <w:lang w:eastAsia="en-GB"/>
        </w:rPr>
        <w:t>),</w:t>
      </w:r>
      <w:r w:rsidR="00E3381E" w:rsidRPr="00CB6495">
        <w:rPr>
          <w:lang w:eastAsia="en-GB"/>
        </w:rPr>
        <w:t xml:space="preserve"> signé à Bangui le 6 février 2019 entre le gouvernement et 14 groupes armés, maintient la cohérence </w:t>
      </w:r>
      <w:r w:rsidR="00EF2FC7" w:rsidRPr="00CB6495">
        <w:rPr>
          <w:lang w:eastAsia="en-GB"/>
        </w:rPr>
        <w:t>du</w:t>
      </w:r>
      <w:r w:rsidR="00E3381E" w:rsidRPr="00CB6495">
        <w:rPr>
          <w:lang w:eastAsia="en-GB"/>
        </w:rPr>
        <w:t xml:space="preserve"> RCPCA et nourrit l’espoir d’une paix durable en République Centrafricaine.</w:t>
      </w:r>
      <w:r w:rsidR="00EF2FC7" w:rsidRPr="00CB6495">
        <w:rPr>
          <w:lang w:eastAsia="en-GB"/>
        </w:rPr>
        <w:t xml:space="preserve"> Parmi les dispositions de l'APPR, le désarmement et la démobilisation des groupes armés ainsi que la tenue d'élections selon les termes constitutionnels constituent des étapes vitales pour le relèvement du pays. Dans ce contexte, pour renforcer le rétablissement de l'autorité de l'</w:t>
      </w:r>
      <w:proofErr w:type="spellStart"/>
      <w:r w:rsidR="00EF2FC7" w:rsidRPr="00CB6495">
        <w:rPr>
          <w:lang w:eastAsia="en-GB"/>
        </w:rPr>
        <w:t>Etat</w:t>
      </w:r>
      <w:proofErr w:type="spellEnd"/>
      <w:r w:rsidR="00EF2FC7" w:rsidRPr="00CB6495">
        <w:rPr>
          <w:lang w:eastAsia="en-GB"/>
        </w:rPr>
        <w:t xml:space="preserve"> et pour fournir des services aux populations qui sont en attente des dividendes de la paix, un soutien à l'</w:t>
      </w:r>
      <w:r w:rsidR="00A26D4B" w:rsidRPr="00CB6495">
        <w:rPr>
          <w:lang w:eastAsia="en-GB"/>
        </w:rPr>
        <w:t>é</w:t>
      </w:r>
      <w:r w:rsidR="00EF2FC7" w:rsidRPr="00CB6495">
        <w:rPr>
          <w:lang w:eastAsia="en-GB"/>
        </w:rPr>
        <w:t xml:space="preserve">tat-civil, </w:t>
      </w:r>
      <w:r w:rsidR="007C3A4A" w:rsidRPr="00CB6495">
        <w:rPr>
          <w:lang w:eastAsia="en-GB"/>
        </w:rPr>
        <w:t xml:space="preserve">à sa gouvernance </w:t>
      </w:r>
      <w:r w:rsidR="00EF2FC7" w:rsidRPr="00CB6495">
        <w:rPr>
          <w:lang w:eastAsia="en-GB"/>
        </w:rPr>
        <w:t xml:space="preserve">et </w:t>
      </w:r>
      <w:r w:rsidR="007C3A4A" w:rsidRPr="00CB6495">
        <w:rPr>
          <w:lang w:eastAsia="en-GB"/>
        </w:rPr>
        <w:t xml:space="preserve">particulièrement à </w:t>
      </w:r>
      <w:r w:rsidR="00EF2FC7" w:rsidRPr="00CB6495">
        <w:rPr>
          <w:lang w:eastAsia="en-GB"/>
        </w:rPr>
        <w:t>son service aux populations est indispensable.</w:t>
      </w:r>
    </w:p>
    <w:p w14:paraId="0F0D3F1B" w14:textId="77777777" w:rsidR="00C56318" w:rsidRPr="00CB6495" w:rsidRDefault="00C56318" w:rsidP="00063246">
      <w:pPr>
        <w:tabs>
          <w:tab w:val="left" w:pos="2161"/>
        </w:tabs>
        <w:spacing w:after="0"/>
        <w:rPr>
          <w:lang w:eastAsia="en-GB"/>
        </w:rPr>
      </w:pPr>
    </w:p>
    <w:p w14:paraId="0A3AA2BD" w14:textId="77777777" w:rsidR="0078792D" w:rsidRPr="00CB6495" w:rsidRDefault="0078792D" w:rsidP="00063246">
      <w:pPr>
        <w:widowControl w:val="0"/>
        <w:autoSpaceDE w:val="0"/>
        <w:autoSpaceDN w:val="0"/>
        <w:adjustRightInd w:val="0"/>
        <w:spacing w:after="0"/>
        <w:rPr>
          <w:b/>
        </w:rPr>
      </w:pPr>
      <w:r w:rsidRPr="00CB6495">
        <w:rPr>
          <w:b/>
        </w:rPr>
        <w:t>1.2. Situation sectorielle</w:t>
      </w:r>
    </w:p>
    <w:p w14:paraId="0681DB6B" w14:textId="77777777" w:rsidR="00C56318" w:rsidRPr="00CB6495" w:rsidRDefault="00C56318" w:rsidP="00063246">
      <w:pPr>
        <w:widowControl w:val="0"/>
        <w:autoSpaceDE w:val="0"/>
        <w:autoSpaceDN w:val="0"/>
        <w:adjustRightInd w:val="0"/>
        <w:spacing w:after="0"/>
        <w:rPr>
          <w:b/>
        </w:rPr>
      </w:pPr>
    </w:p>
    <w:p w14:paraId="3ECB5889" w14:textId="70FEB059" w:rsidR="00C56318" w:rsidRPr="00CB6495" w:rsidRDefault="0078792D" w:rsidP="00063246">
      <w:pPr>
        <w:widowControl w:val="0"/>
        <w:autoSpaceDE w:val="0"/>
        <w:autoSpaceDN w:val="0"/>
        <w:adjustRightInd w:val="0"/>
        <w:spacing w:after="0"/>
      </w:pPr>
      <w:r w:rsidRPr="00CB6495">
        <w:t>L’administration de l’état</w:t>
      </w:r>
      <w:r w:rsidR="00A26D4B" w:rsidRPr="00CB6495">
        <w:t>-</w:t>
      </w:r>
      <w:r w:rsidRPr="00CB6495">
        <w:t xml:space="preserve">civil est actuellement régie par le code de la famille du 11 novembre 1997 (en cours de révision), le décret n°14.228 du 10 juillet 2014 portant gratuité des services </w:t>
      </w:r>
      <w:r w:rsidRPr="00CB6495">
        <w:lastRenderedPageBreak/>
        <w:t xml:space="preserve">d’établissement des actes de naissance des enfants nés en période de conflit, et par l’ordonnance n°88.005 de 1988 portant création des collectivités territoriales et des circonscriptions administratives. Le Ministère de l’Administration </w:t>
      </w:r>
      <w:r w:rsidR="008B5745">
        <w:t xml:space="preserve">du </w:t>
      </w:r>
      <w:r w:rsidR="008B5745" w:rsidRPr="00CB6495">
        <w:t>Territo</w:t>
      </w:r>
      <w:r w:rsidR="008B5745">
        <w:t>ire</w:t>
      </w:r>
      <w:r w:rsidR="008B5745" w:rsidRPr="00CB6495">
        <w:t>,</w:t>
      </w:r>
      <w:r w:rsidR="008B5745">
        <w:t xml:space="preserve"> et</w:t>
      </w:r>
      <w:r w:rsidRPr="00CB6495">
        <w:t xml:space="preserve"> de la Décentralisation, (MATD), compétent dans le domaine de l’état civil, a adopté un arrêté instituant une Plateforme des Partenaires de l’</w:t>
      </w:r>
      <w:proofErr w:type="spellStart"/>
      <w:r w:rsidRPr="00CB6495">
        <w:t>Etat</w:t>
      </w:r>
      <w:proofErr w:type="spellEnd"/>
      <w:r w:rsidRPr="00CB6495">
        <w:t xml:space="preserve"> civil de Centrafrique (PPECA). Celle-ci constitue un cadre de concertation, d’action et de mobilisation des ressources au profit de l’état</w:t>
      </w:r>
      <w:r w:rsidR="004D759F" w:rsidRPr="00CB6495">
        <w:t>-</w:t>
      </w:r>
      <w:r w:rsidRPr="00CB6495">
        <w:t>civil, rassemblant des entités publiques et partenaires au développement</w:t>
      </w:r>
      <w:r w:rsidRPr="00CB6495">
        <w:rPr>
          <w:rStyle w:val="FootnoteReference"/>
        </w:rPr>
        <w:footnoteReference w:id="2"/>
      </w:r>
      <w:r w:rsidRPr="00CB6495">
        <w:t>. Elle a pour attributions d’élaborer une nouvelle politique nationale en matière d’</w:t>
      </w:r>
      <w:proofErr w:type="spellStart"/>
      <w:r w:rsidRPr="00CB6495">
        <w:t>Etat</w:t>
      </w:r>
      <w:proofErr w:type="spellEnd"/>
      <w:r w:rsidRPr="00CB6495">
        <w:t xml:space="preserve"> civil ; de concevoir et mettre en œuvre le programme national de l’</w:t>
      </w:r>
      <w:proofErr w:type="spellStart"/>
      <w:r w:rsidRPr="00CB6495">
        <w:t>Etat</w:t>
      </w:r>
      <w:proofErr w:type="spellEnd"/>
      <w:r w:rsidRPr="00CB6495">
        <w:t xml:space="preserve"> civil de Centrafrique ; de mobiliser des ressources en faveur de l’</w:t>
      </w:r>
      <w:proofErr w:type="spellStart"/>
      <w:r w:rsidRPr="00CB6495">
        <w:t>Etat</w:t>
      </w:r>
      <w:proofErr w:type="spellEnd"/>
      <w:r w:rsidRPr="00CB6495">
        <w:t xml:space="preserve"> civil de Centrafrique et d’en faire le suivi-évaluation. </w:t>
      </w:r>
      <w:r w:rsidR="007C3A4A" w:rsidRPr="00CB6495">
        <w:t xml:space="preserve">Il était question que le </w:t>
      </w:r>
      <w:r w:rsidRPr="00CB6495">
        <w:t>MATD développe en 2018 une politique nationale en matière d’état civil, avec l’appui de l’UNFPA. L’UNECA a appuyé le MATD en 2017 pour l’élaboration d’un document cadre fixant les grandes orientations d’un projet de modernisation de l’état civil</w:t>
      </w:r>
      <w:r w:rsidRPr="00CB6495">
        <w:rPr>
          <w:rStyle w:val="FootnoteReference"/>
        </w:rPr>
        <w:footnoteReference w:id="3"/>
      </w:r>
      <w:r w:rsidRPr="00CB6495">
        <w:t>.</w:t>
      </w:r>
    </w:p>
    <w:p w14:paraId="1A10503F" w14:textId="77777777" w:rsidR="00C32B6F" w:rsidRPr="00CB6495" w:rsidRDefault="00C32B6F" w:rsidP="00063246">
      <w:pPr>
        <w:widowControl w:val="0"/>
        <w:autoSpaceDE w:val="0"/>
        <w:autoSpaceDN w:val="0"/>
        <w:adjustRightInd w:val="0"/>
        <w:spacing w:after="0"/>
      </w:pPr>
    </w:p>
    <w:p w14:paraId="7EE33782" w14:textId="69597832" w:rsidR="008C35AD" w:rsidRPr="00CB6495" w:rsidRDefault="007C3A4A" w:rsidP="008C35AD">
      <w:pPr>
        <w:widowControl w:val="0"/>
        <w:autoSpaceDE w:val="0"/>
        <w:autoSpaceDN w:val="0"/>
        <w:adjustRightInd w:val="0"/>
        <w:spacing w:after="0"/>
      </w:pPr>
      <w:r w:rsidRPr="00CB6495">
        <w:t>L</w:t>
      </w:r>
      <w:r w:rsidR="00866A6C" w:rsidRPr="00CB6495">
        <w:t>es organisations qui ont soutenu l</w:t>
      </w:r>
      <w:r w:rsidR="004D759F" w:rsidRPr="00CB6495">
        <w:t>’é</w:t>
      </w:r>
      <w:r w:rsidR="00866A6C" w:rsidRPr="00CB6495">
        <w:t>tat-civil en RCA au cours des dernières années sont</w:t>
      </w:r>
      <w:r w:rsidR="00732A48" w:rsidRPr="00CB6495">
        <w:t xml:space="preserve"> Avocats Sans Frontière Belgique financés par le Quai d’Orsay, </w:t>
      </w:r>
      <w:proofErr w:type="spellStart"/>
      <w:r w:rsidR="00732A48" w:rsidRPr="00CB6495">
        <w:t>Danish</w:t>
      </w:r>
      <w:proofErr w:type="spellEnd"/>
      <w:r w:rsidR="00732A48" w:rsidRPr="00CB6495">
        <w:t xml:space="preserve"> </w:t>
      </w:r>
      <w:proofErr w:type="spellStart"/>
      <w:r w:rsidR="00732A48" w:rsidRPr="00CB6495">
        <w:t>Refugee</w:t>
      </w:r>
      <w:proofErr w:type="spellEnd"/>
      <w:r w:rsidR="00732A48" w:rsidRPr="00CB6495">
        <w:t xml:space="preserve"> Council, UNICEF, </w:t>
      </w:r>
      <w:proofErr w:type="spellStart"/>
      <w:r w:rsidR="00732A48" w:rsidRPr="00CB6495">
        <w:t>Norwegian</w:t>
      </w:r>
      <w:proofErr w:type="spellEnd"/>
      <w:r w:rsidR="00732A48" w:rsidRPr="00CB6495">
        <w:t xml:space="preserve"> </w:t>
      </w:r>
      <w:proofErr w:type="spellStart"/>
      <w:r w:rsidR="00732A48" w:rsidRPr="00CB6495">
        <w:t>Refugee</w:t>
      </w:r>
      <w:proofErr w:type="spellEnd"/>
      <w:r w:rsidR="00732A48" w:rsidRPr="00CB6495">
        <w:t xml:space="preserve"> Council</w:t>
      </w:r>
      <w:r w:rsidR="000C11C0" w:rsidRPr="00CB6495">
        <w:t xml:space="preserve">, </w:t>
      </w:r>
      <w:proofErr w:type="spellStart"/>
      <w:r w:rsidR="000C11C0" w:rsidRPr="00CB6495">
        <w:t>Civi.Pol</w:t>
      </w:r>
      <w:proofErr w:type="spellEnd"/>
      <w:r w:rsidR="000C11C0" w:rsidRPr="00CB6495">
        <w:t xml:space="preserve"> Conseil financé par l’UE et UNFPA</w:t>
      </w:r>
      <w:r w:rsidR="00732A48" w:rsidRPr="00CB6495">
        <w:t xml:space="preserve">. Les trois premiers acteurs ont monté leurs projets respectifs </w:t>
      </w:r>
      <w:r w:rsidR="008C35AD" w:rsidRPr="00CB6495">
        <w:t xml:space="preserve">par le biais d’audiences foraines et </w:t>
      </w:r>
      <w:r w:rsidR="00732A48" w:rsidRPr="00CB6495">
        <w:t xml:space="preserve">selon le triptyque </w:t>
      </w:r>
      <w:r w:rsidR="008C35AD" w:rsidRPr="00CB6495">
        <w:t>(i) fourniture des registres et des formulaires nécessaires, (ii) prise en charge financière et (iii) sensibilisation de la population.</w:t>
      </w:r>
      <w:r w:rsidR="00B8438B" w:rsidRPr="00CB6495">
        <w:t xml:space="preserve"> Ce montage qui vise avant tout à rendre un service immédiat aux populations est bien adapté pour surmonter les deux principaux obstacles</w:t>
      </w:r>
      <w:r w:rsidR="004D759F" w:rsidRPr="00CB6495">
        <w:t xml:space="preserve"> au développement de l’é</w:t>
      </w:r>
      <w:r w:rsidR="00B8438B" w:rsidRPr="00CB6495">
        <w:t>tat-civil centrafricain </w:t>
      </w:r>
      <w:r w:rsidR="004D759F" w:rsidRPr="00CB6495">
        <w:t xml:space="preserve">qui sont </w:t>
      </w:r>
      <w:r w:rsidR="00B8438B" w:rsidRPr="00CB6495">
        <w:t>: premièrement, le prix très élevé de la démarche administrative en elle-même ; deuxièmement, l’éloignement géographique des services administratifs qui engendre des coûts de transport d’autant plus élevé</w:t>
      </w:r>
      <w:r w:rsidR="00DA5488">
        <w:t>s</w:t>
      </w:r>
      <w:r w:rsidR="00B8438B" w:rsidRPr="00CB6495">
        <w:t xml:space="preserve"> qu’il est nécessaire de se déplacer plusieurs fois. Ainsi, le service d</w:t>
      </w:r>
      <w:r w:rsidR="00360C4F" w:rsidRPr="00CB6495">
        <w:t>’é</w:t>
      </w:r>
      <w:r w:rsidR="00B8438B" w:rsidRPr="00CB6495">
        <w:t>tat-civil est inabordable pour les populations dont l’appauvrissement date même d’avant la crise.</w:t>
      </w:r>
    </w:p>
    <w:p w14:paraId="2946270F" w14:textId="77777777" w:rsidR="00C44501" w:rsidRPr="00CB6495" w:rsidRDefault="00C44501" w:rsidP="008C35AD">
      <w:pPr>
        <w:widowControl w:val="0"/>
        <w:autoSpaceDE w:val="0"/>
        <w:autoSpaceDN w:val="0"/>
        <w:adjustRightInd w:val="0"/>
        <w:spacing w:after="0"/>
      </w:pPr>
    </w:p>
    <w:p w14:paraId="6DD56006" w14:textId="77777777" w:rsidR="00B8438B" w:rsidRPr="00CB6495" w:rsidRDefault="00B8438B" w:rsidP="008C35AD">
      <w:pPr>
        <w:widowControl w:val="0"/>
        <w:autoSpaceDE w:val="0"/>
        <w:autoSpaceDN w:val="0"/>
        <w:adjustRightInd w:val="0"/>
        <w:spacing w:after="0"/>
      </w:pPr>
      <w:r w:rsidRPr="00CB6495">
        <w:t xml:space="preserve">Le </w:t>
      </w:r>
      <w:proofErr w:type="spellStart"/>
      <w:r w:rsidRPr="00CB6495">
        <w:t>Norwegian</w:t>
      </w:r>
      <w:proofErr w:type="spellEnd"/>
      <w:r w:rsidRPr="00CB6495">
        <w:t xml:space="preserve"> </w:t>
      </w:r>
      <w:proofErr w:type="spellStart"/>
      <w:r w:rsidRPr="00CB6495">
        <w:t>Refugee</w:t>
      </w:r>
      <w:proofErr w:type="spellEnd"/>
      <w:r w:rsidRPr="00CB6495">
        <w:t xml:space="preserve"> Council, dans son projet </w:t>
      </w:r>
      <w:proofErr w:type="spellStart"/>
      <w:r w:rsidRPr="00CB6495">
        <w:t>Education</w:t>
      </w:r>
      <w:proofErr w:type="spellEnd"/>
      <w:r w:rsidRPr="00CB6495">
        <w:t>, a inclus des activités soutenant la délivrance d’actes de naissance aux écoliers.</w:t>
      </w:r>
    </w:p>
    <w:p w14:paraId="03553D53" w14:textId="77777777" w:rsidR="00C44501" w:rsidRPr="00CB6495" w:rsidRDefault="00C44501" w:rsidP="008C35AD">
      <w:pPr>
        <w:widowControl w:val="0"/>
        <w:autoSpaceDE w:val="0"/>
        <w:autoSpaceDN w:val="0"/>
        <w:adjustRightInd w:val="0"/>
        <w:spacing w:after="0"/>
      </w:pPr>
    </w:p>
    <w:p w14:paraId="2DD1B24D" w14:textId="75C03D17" w:rsidR="00B8438B" w:rsidRPr="00CB6495" w:rsidRDefault="00B8438B" w:rsidP="008C35AD">
      <w:pPr>
        <w:widowControl w:val="0"/>
        <w:autoSpaceDE w:val="0"/>
        <w:autoSpaceDN w:val="0"/>
        <w:adjustRightInd w:val="0"/>
        <w:spacing w:after="0"/>
      </w:pPr>
      <w:r w:rsidRPr="00CB6495">
        <w:t xml:space="preserve">Le programme UE-RESEJEP (Restauration des secteurs de la police et de la justice, 2012-2018), mis en œuvre par </w:t>
      </w:r>
      <w:proofErr w:type="spellStart"/>
      <w:r w:rsidRPr="00CB6495">
        <w:t>Civi.Pol</w:t>
      </w:r>
      <w:proofErr w:type="spellEnd"/>
      <w:r w:rsidRPr="00CB6495">
        <w:t xml:space="preserve"> Conseil a permis, en mobilisant une expertise technique court terme, de fournir des pistes d’analyse et d’orientation au MATD</w:t>
      </w:r>
      <w:r w:rsidR="00360C4F" w:rsidRPr="00CB6495">
        <w:t xml:space="preserve"> (expertise administration territoriale et redéploiement de l’autorité de l’</w:t>
      </w:r>
      <w:proofErr w:type="spellStart"/>
      <w:r w:rsidR="00360C4F" w:rsidRPr="00CB6495">
        <w:t>Etat</w:t>
      </w:r>
      <w:proofErr w:type="spellEnd"/>
      <w:r w:rsidR="00360C4F" w:rsidRPr="00CB6495">
        <w:t>)</w:t>
      </w:r>
      <w:r w:rsidRPr="00CB6495">
        <w:t>.</w:t>
      </w:r>
    </w:p>
    <w:p w14:paraId="781E4894" w14:textId="77777777" w:rsidR="00C44501" w:rsidRPr="00CB6495" w:rsidRDefault="00C44501" w:rsidP="00810C9F">
      <w:pPr>
        <w:widowControl w:val="0"/>
        <w:autoSpaceDE w:val="0"/>
        <w:autoSpaceDN w:val="0"/>
        <w:adjustRightInd w:val="0"/>
        <w:spacing w:after="0"/>
      </w:pPr>
    </w:p>
    <w:p w14:paraId="60B21202" w14:textId="77777777" w:rsidR="000C11C0" w:rsidRPr="00CB6495" w:rsidRDefault="00A63E4A" w:rsidP="00810C9F">
      <w:pPr>
        <w:widowControl w:val="0"/>
        <w:autoSpaceDE w:val="0"/>
        <w:autoSpaceDN w:val="0"/>
        <w:adjustRightInd w:val="0"/>
        <w:spacing w:after="0"/>
      </w:pPr>
      <w:r w:rsidRPr="00CB6495">
        <w:t>Le Fonds des Nations Unies pour la population (UNFPA) a</w:t>
      </w:r>
      <w:r w:rsidR="00627A9D" w:rsidRPr="00CB6495">
        <w:t>,</w:t>
      </w:r>
      <w:r w:rsidRPr="00CB6495">
        <w:t xml:space="preserve"> quant à lui</w:t>
      </w:r>
      <w:r w:rsidR="00627A9D" w:rsidRPr="00CB6495">
        <w:t>,</w:t>
      </w:r>
      <w:r w:rsidRPr="00CB6495">
        <w:t xml:space="preserve"> travaillé en 2016</w:t>
      </w:r>
      <w:r w:rsidR="001D3F75" w:rsidRPr="00CB6495">
        <w:t>-2017</w:t>
      </w:r>
      <w:r w:rsidRPr="00CB6495">
        <w:t xml:space="preserve"> sur la dimension instit</w:t>
      </w:r>
      <w:r w:rsidR="00360C4F" w:rsidRPr="00CB6495">
        <w:t>utionnelle de l’é</w:t>
      </w:r>
      <w:r w:rsidRPr="00CB6495">
        <w:t>tat-civil en menant une évaluation selon 11 rubriques.</w:t>
      </w:r>
      <w:r w:rsidR="00360C4F" w:rsidRPr="00CB6495">
        <w:t xml:space="preserve"> </w:t>
      </w:r>
      <w:r w:rsidR="000C11C0" w:rsidRPr="00CB6495">
        <w:rPr>
          <w:iCs/>
        </w:rPr>
        <w:t xml:space="preserve">Les résultats </w:t>
      </w:r>
      <w:r w:rsidR="001D3F75" w:rsidRPr="00CB6495">
        <w:rPr>
          <w:iCs/>
        </w:rPr>
        <w:t>ont révélé</w:t>
      </w:r>
      <w:r w:rsidR="000C11C0" w:rsidRPr="00CB6495">
        <w:rPr>
          <w:iCs/>
        </w:rPr>
        <w:t xml:space="preserve"> un système totalement dysfonctionnel</w:t>
      </w:r>
      <w:r w:rsidR="001D3F75" w:rsidRPr="00CB6495">
        <w:rPr>
          <w:iCs/>
        </w:rPr>
        <w:t xml:space="preserve"> avec dix rubriques donnant une notation inférieure à 50% souvent due au </w:t>
      </w:r>
      <w:r w:rsidR="00881C4B" w:rsidRPr="00CB6495">
        <w:rPr>
          <w:iCs/>
        </w:rPr>
        <w:t>non-respect</w:t>
      </w:r>
      <w:r w:rsidR="001D3F75" w:rsidRPr="00CB6495">
        <w:rPr>
          <w:iCs/>
        </w:rPr>
        <w:t xml:space="preserve"> des procédures, en elles-mêmes satisfaisantes, par les fonctionnaires.</w:t>
      </w:r>
      <w:r w:rsidR="000C11C0" w:rsidRPr="00CB6495">
        <w:rPr>
          <w:i/>
          <w:iCs/>
        </w:rPr>
        <w:t xml:space="preserve"> </w:t>
      </w:r>
    </w:p>
    <w:p w14:paraId="3CD35526" w14:textId="77777777" w:rsidR="00C44501" w:rsidRPr="00CB6495" w:rsidRDefault="00C44501" w:rsidP="00732A48">
      <w:pPr>
        <w:widowControl w:val="0"/>
        <w:autoSpaceDE w:val="0"/>
        <w:autoSpaceDN w:val="0"/>
        <w:adjustRightInd w:val="0"/>
        <w:spacing w:after="0"/>
        <w:rPr>
          <w:iCs/>
        </w:rPr>
      </w:pPr>
    </w:p>
    <w:p w14:paraId="2A69AEFE" w14:textId="6AF497CF" w:rsidR="00732A48" w:rsidRPr="00CB6495" w:rsidRDefault="001D3F75" w:rsidP="00732A48">
      <w:pPr>
        <w:widowControl w:val="0"/>
        <w:autoSpaceDE w:val="0"/>
        <w:autoSpaceDN w:val="0"/>
        <w:adjustRightInd w:val="0"/>
        <w:spacing w:after="0"/>
        <w:rPr>
          <w:bCs/>
        </w:rPr>
      </w:pPr>
      <w:r w:rsidRPr="00CB6495">
        <w:t>Avocats Sans Frontière Belgique financés par l’ambassade de France à Bangui, a pr</w:t>
      </w:r>
      <w:r w:rsidR="00BF7992" w:rsidRPr="00CB6495">
        <w:t>oduit en juillet 2017 l’étude «</w:t>
      </w:r>
      <w:proofErr w:type="spellStart"/>
      <w:r w:rsidR="00732A48" w:rsidRPr="00CB6495">
        <w:t>Etat</w:t>
      </w:r>
      <w:proofErr w:type="spellEnd"/>
      <w:r w:rsidR="00732A48" w:rsidRPr="00CB6495">
        <w:t xml:space="preserve"> civil en République centrafricaine : enjeux et pratiques</w:t>
      </w:r>
      <w:r w:rsidRPr="00CB6495">
        <w:t xml:space="preserve">, </w:t>
      </w:r>
      <w:r w:rsidR="00732A48" w:rsidRPr="00CB6495">
        <w:rPr>
          <w:bCs/>
        </w:rPr>
        <w:t>Effets sur l’accès à la justice et la réalisation des droits fondamentaux</w:t>
      </w:r>
      <w:r w:rsidRPr="00CB6495">
        <w:rPr>
          <w:bCs/>
        </w:rPr>
        <w:t>».</w:t>
      </w:r>
      <w:r w:rsidR="00732A48" w:rsidRPr="00CB6495">
        <w:rPr>
          <w:b/>
          <w:bCs/>
        </w:rPr>
        <w:t xml:space="preserve"> </w:t>
      </w:r>
    </w:p>
    <w:p w14:paraId="336B1F11" w14:textId="77777777" w:rsidR="001D3F75" w:rsidRPr="00CB6495" w:rsidRDefault="001D3F75" w:rsidP="00732A48">
      <w:pPr>
        <w:widowControl w:val="0"/>
        <w:autoSpaceDE w:val="0"/>
        <w:autoSpaceDN w:val="0"/>
        <w:adjustRightInd w:val="0"/>
        <w:spacing w:after="0"/>
        <w:rPr>
          <w:bCs/>
        </w:rPr>
      </w:pPr>
    </w:p>
    <w:p w14:paraId="1276551F" w14:textId="748AFF51" w:rsidR="00C44501" w:rsidRPr="00CB6495" w:rsidRDefault="002B27C6" w:rsidP="001D3F75">
      <w:pPr>
        <w:widowControl w:val="0"/>
        <w:autoSpaceDE w:val="0"/>
        <w:autoSpaceDN w:val="0"/>
        <w:adjustRightInd w:val="0"/>
        <w:spacing w:after="0"/>
        <w:rPr>
          <w:b/>
        </w:rPr>
      </w:pPr>
      <w:r>
        <w:lastRenderedPageBreak/>
        <w:t>Enfin sur le plan de l’infrastructure, le vaste programme européen «Réhabilitation des services de base et renforcement de capacités des autorités locales dans les Pôles de Développement-PDD », avec notamment son projet « PRAP-Redéploiement de l’Administration Publique »,  a permis la réhabilitation</w:t>
      </w:r>
      <w:r w:rsidR="00334072">
        <w:t xml:space="preserve"> ou la construction</w:t>
      </w:r>
      <w:r>
        <w:t xml:space="preserve"> de plus de 100 bâtiments à travers le pays : préfectures, sous-préfectures, mairies, services administratifs.</w:t>
      </w:r>
      <w:r w:rsidR="00334072">
        <w:t xml:space="preserve"> Les réceptions de ces bâtiments se sont faites au cours de l’année 2019 et ont été accompagnées d’équipement informatique avec formation, mobilier de bureau et mobilité</w:t>
      </w:r>
      <w:r w:rsidR="007960E2">
        <w:t xml:space="preserve"> (pick-up et motocyclettes)</w:t>
      </w:r>
      <w:r w:rsidR="00334072">
        <w:t>.</w:t>
      </w:r>
    </w:p>
    <w:p w14:paraId="60AC3038" w14:textId="77777777" w:rsidR="00C44501" w:rsidRPr="00CB6495" w:rsidRDefault="00C44501" w:rsidP="001D3F75">
      <w:pPr>
        <w:widowControl w:val="0"/>
        <w:autoSpaceDE w:val="0"/>
        <w:autoSpaceDN w:val="0"/>
        <w:adjustRightInd w:val="0"/>
        <w:spacing w:after="0"/>
        <w:rPr>
          <w:b/>
        </w:rPr>
      </w:pPr>
    </w:p>
    <w:p w14:paraId="2F938C05" w14:textId="77777777" w:rsidR="001D3F75" w:rsidRPr="00CB6495" w:rsidRDefault="001D3F75" w:rsidP="001D3F75">
      <w:pPr>
        <w:widowControl w:val="0"/>
        <w:autoSpaceDE w:val="0"/>
        <w:autoSpaceDN w:val="0"/>
        <w:adjustRightInd w:val="0"/>
        <w:spacing w:after="0"/>
        <w:rPr>
          <w:b/>
        </w:rPr>
      </w:pPr>
      <w:r w:rsidRPr="00CB6495">
        <w:rPr>
          <w:b/>
        </w:rPr>
        <w:t>1.3. Situation des bénéficiaires</w:t>
      </w:r>
    </w:p>
    <w:p w14:paraId="4A6F622C" w14:textId="77777777" w:rsidR="001D3F75" w:rsidRPr="00CB6495" w:rsidRDefault="001D3F75" w:rsidP="001D3F75">
      <w:pPr>
        <w:widowControl w:val="0"/>
        <w:autoSpaceDE w:val="0"/>
        <w:autoSpaceDN w:val="0"/>
        <w:adjustRightInd w:val="0"/>
        <w:spacing w:after="0"/>
        <w:rPr>
          <w:b/>
        </w:rPr>
      </w:pPr>
    </w:p>
    <w:p w14:paraId="2E162154" w14:textId="61AE3AD8" w:rsidR="00B66732" w:rsidRPr="00CB6495" w:rsidRDefault="00360C4F" w:rsidP="00B66732">
      <w:pPr>
        <w:widowControl w:val="0"/>
        <w:autoSpaceDE w:val="0"/>
        <w:autoSpaceDN w:val="0"/>
        <w:adjustRightInd w:val="0"/>
        <w:spacing w:after="0"/>
      </w:pPr>
      <w:r w:rsidRPr="00CB6495">
        <w:t>L’é</w:t>
      </w:r>
      <w:r w:rsidR="00B66732" w:rsidRPr="00CB6495">
        <w:t xml:space="preserve">tat-civil se définit comme le registre administratif contenant les événements </w:t>
      </w:r>
      <w:r w:rsidR="00852AC0" w:rsidRPr="00CB6495">
        <w:t xml:space="preserve">qui rythment </w:t>
      </w:r>
      <w:r w:rsidR="00B66732" w:rsidRPr="00CB6495">
        <w:t xml:space="preserve">la vie des citoyens: naissance, mariage et décès. A partir de cette définition, </w:t>
      </w:r>
      <w:r w:rsidR="00852AC0" w:rsidRPr="00CB6495">
        <w:t xml:space="preserve">apparaissent </w:t>
      </w:r>
      <w:r w:rsidR="00B66732" w:rsidRPr="00CB6495">
        <w:t xml:space="preserve">deux défis majeurs </w:t>
      </w:r>
      <w:r w:rsidR="00852AC0" w:rsidRPr="00CB6495">
        <w:t>qui</w:t>
      </w:r>
      <w:r w:rsidR="00B66732" w:rsidRPr="00CB6495">
        <w:t xml:space="preserve"> devront être pris en compte par le programme européen. Premièrement, celui de la </w:t>
      </w:r>
      <w:r w:rsidR="00852AC0" w:rsidRPr="00CB6495">
        <w:t xml:space="preserve">nationalité centrafricaine </w:t>
      </w:r>
      <w:r w:rsidR="00B66732" w:rsidRPr="00CB6495">
        <w:t>qui sous-tend la</w:t>
      </w:r>
      <w:r w:rsidR="00852AC0" w:rsidRPr="00CB6495">
        <w:t xml:space="preserve"> citoyenneté</w:t>
      </w:r>
      <w:r w:rsidR="00B66732" w:rsidRPr="00CB6495">
        <w:t>. Or, une partie de la population est souvent ostracisée et considérée comme étrangère en raison de son ascendance notamment tchadienne</w:t>
      </w:r>
      <w:r w:rsidR="00852AC0" w:rsidRPr="00CB6495">
        <w:t>, réelle ou supposée</w:t>
      </w:r>
      <w:r w:rsidR="00B66732" w:rsidRPr="00CB6495">
        <w:t>. Le programme européen veiller</w:t>
      </w:r>
      <w:r w:rsidR="00852AC0" w:rsidRPr="00CB6495">
        <w:t>a par conséquent à préserver l’</w:t>
      </w:r>
      <w:proofErr w:type="spellStart"/>
      <w:r w:rsidR="00B66732" w:rsidRPr="00CB6495">
        <w:t>inclusivité</w:t>
      </w:r>
      <w:proofErr w:type="spellEnd"/>
      <w:r w:rsidR="00852AC0" w:rsidRPr="00CB6495">
        <w:t xml:space="preserve"> </w:t>
      </w:r>
      <w:r w:rsidR="00DA5488">
        <w:t xml:space="preserve">des populations éligibles </w:t>
      </w:r>
      <w:r w:rsidR="00852AC0" w:rsidRPr="00CB6495">
        <w:t>dans chaque activité</w:t>
      </w:r>
      <w:r w:rsidR="00B66732" w:rsidRPr="00CB6495">
        <w:t xml:space="preserve">. Deuxièmement, celui </w:t>
      </w:r>
      <w:r w:rsidR="0083464B" w:rsidRPr="00CB6495">
        <w:t xml:space="preserve">de la sensibilité stratégique voire politique de chaque acte administratif. Faire effort sur les actes de décès peut permettre </w:t>
      </w:r>
      <w:r w:rsidR="00DA5488">
        <w:t xml:space="preserve">d’étudier le niveau de mortalité en RCA, d’établir des projections de population raisonnables, </w:t>
      </w:r>
      <w:r w:rsidR="0083464B" w:rsidRPr="00CB6495">
        <w:t>d’assainir les dépenses de l’</w:t>
      </w:r>
      <w:proofErr w:type="spellStart"/>
      <w:r w:rsidR="0083464B" w:rsidRPr="00CB6495">
        <w:t>Etat</w:t>
      </w:r>
      <w:proofErr w:type="spellEnd"/>
      <w:r w:rsidR="0083464B" w:rsidRPr="00CB6495">
        <w:t xml:space="preserve"> en matière de ressources humaines (pensions de retraite ou salaires versés au-delà de la disparition d’un individu) et d’assainir le fichier électoral en vue des élections</w:t>
      </w:r>
      <w:r w:rsidR="00DA5488">
        <w:rPr>
          <w:rStyle w:val="FootnoteReference"/>
        </w:rPr>
        <w:footnoteReference w:id="4"/>
      </w:r>
      <w:r w:rsidR="002B27C6">
        <w:t>. Des élections</w:t>
      </w:r>
      <w:r w:rsidR="0083464B" w:rsidRPr="00CB6495">
        <w:t xml:space="preserve"> </w:t>
      </w:r>
      <w:r w:rsidR="00DC7EDE">
        <w:t xml:space="preserve">locales </w:t>
      </w:r>
      <w:r w:rsidR="002B27C6">
        <w:t xml:space="preserve">sont d’ailleurs </w:t>
      </w:r>
      <w:r w:rsidR="00DC7EDE">
        <w:t>prévues en novembre 2021</w:t>
      </w:r>
      <w:r w:rsidR="0083464B" w:rsidRPr="00CB6495">
        <w:t xml:space="preserve">. Faire effort sur les actes de mariage peut permettre de soulager la condition de la femme centrafricaine qui, victime des unions libres ou des séparations, est souvent privée de l’aide matérielle de son ancien conjoint tout en assumant la charge de jeunes enfants. Néanmoins faire effort sur les actes de naissance s’impose comme prioritaire tant les jeunes, pourtant majoritaires dans la population, sont les </w:t>
      </w:r>
      <w:r w:rsidR="00852AC0" w:rsidRPr="00CB6495">
        <w:t>grands</w:t>
      </w:r>
      <w:r w:rsidR="0083464B" w:rsidRPr="00CB6495">
        <w:t xml:space="preserve"> exclus de l’état-civil.</w:t>
      </w:r>
      <w:r w:rsidR="00E43E49" w:rsidRPr="00CB6495">
        <w:t xml:space="preserve"> De plus, c’est bien l’acte de naissance qui est le plus utile à la vie d’un citoyen et qui de toute façon conditionne l’accès aux actes </w:t>
      </w:r>
      <w:r w:rsidR="00852AC0" w:rsidRPr="00CB6495">
        <w:t>suivants et documents qui en découlent</w:t>
      </w:r>
      <w:r w:rsidR="00E43E49" w:rsidRPr="00CB6495">
        <w:t>.</w:t>
      </w:r>
    </w:p>
    <w:p w14:paraId="22096A36" w14:textId="77777777" w:rsidR="00B66732" w:rsidRPr="00CB6495" w:rsidRDefault="00B66732" w:rsidP="001D3F75">
      <w:pPr>
        <w:widowControl w:val="0"/>
        <w:autoSpaceDE w:val="0"/>
        <w:autoSpaceDN w:val="0"/>
        <w:adjustRightInd w:val="0"/>
        <w:spacing w:after="0"/>
      </w:pPr>
    </w:p>
    <w:p w14:paraId="5E3C5329" w14:textId="02E21E58" w:rsidR="001428DA" w:rsidRPr="00CB6495" w:rsidRDefault="00E43E49" w:rsidP="001428DA">
      <w:pPr>
        <w:widowControl w:val="0"/>
        <w:autoSpaceDE w:val="0"/>
        <w:autoSpaceDN w:val="0"/>
        <w:adjustRightInd w:val="0"/>
        <w:spacing w:after="0"/>
      </w:pPr>
      <w:r w:rsidRPr="00CB6495">
        <w:t>Les scènes de pillages et de destructions de 2013 n’ont pas épargné certaines</w:t>
      </w:r>
      <w:r w:rsidR="001D3F75" w:rsidRPr="00CB6495">
        <w:t xml:space="preserve"> mairies</w:t>
      </w:r>
      <w:r w:rsidRPr="00CB6495">
        <w:t>,</w:t>
      </w:r>
      <w:r w:rsidR="00CC14A4">
        <w:t xml:space="preserve"> </w:t>
      </w:r>
      <w:r w:rsidRPr="00CB6495">
        <w:t xml:space="preserve">liquidant de </w:t>
      </w:r>
      <w:r w:rsidR="00360C4F" w:rsidRPr="00CB6495">
        <w:t>précieuses</w:t>
      </w:r>
      <w:r w:rsidRPr="00CB6495">
        <w:t xml:space="preserve"> </w:t>
      </w:r>
      <w:r w:rsidR="001D3F75" w:rsidRPr="00CB6495">
        <w:t xml:space="preserve">archives et </w:t>
      </w:r>
      <w:r w:rsidRPr="00CB6495">
        <w:t>avec elle</w:t>
      </w:r>
      <w:r w:rsidR="00852AC0" w:rsidRPr="00CB6495">
        <w:t>s</w:t>
      </w:r>
      <w:r w:rsidRPr="00CB6495">
        <w:t xml:space="preserve"> l’existence </w:t>
      </w:r>
      <w:r w:rsidR="00B35107">
        <w:t>juridique</w:t>
      </w:r>
      <w:r w:rsidR="00B35107" w:rsidRPr="00CB6495">
        <w:t xml:space="preserve"> </w:t>
      </w:r>
      <w:r w:rsidRPr="00CB6495">
        <w:t>de nombreux citoyens</w:t>
      </w:r>
      <w:r w:rsidR="001D3F75" w:rsidRPr="00CB6495">
        <w:t>.</w:t>
      </w:r>
      <w:r w:rsidR="009937E4" w:rsidRPr="00CB6495">
        <w:t xml:space="preserve"> Néanmoins, </w:t>
      </w:r>
      <w:r w:rsidR="001428DA" w:rsidRPr="00CB6495">
        <w:t>le déclin de l’état-civil a en réalité commencé bien avant, dès le régime du président Ange-Félix Patassé</w:t>
      </w:r>
      <w:r w:rsidR="001428DA" w:rsidRPr="00CB6495">
        <w:rPr>
          <w:rStyle w:val="FootnoteReference"/>
        </w:rPr>
        <w:footnoteReference w:id="5"/>
      </w:r>
      <w:r w:rsidR="001428DA" w:rsidRPr="00CB6495">
        <w:t>. Selon l’UNICEF, en 2010, 61% des enfants avaient un acte de naissance</w:t>
      </w:r>
      <w:r w:rsidR="001428DA" w:rsidRPr="00CB6495">
        <w:rPr>
          <w:rStyle w:val="FootnoteReference"/>
        </w:rPr>
        <w:footnoteReference w:id="6"/>
      </w:r>
      <w:r w:rsidR="001428DA" w:rsidRPr="00CB6495">
        <w:t xml:space="preserve">. </w:t>
      </w:r>
      <w:r w:rsidR="00E40272" w:rsidRPr="00CB6495">
        <w:t>Actuellement en 2019, il est raisonnable de penser qu’un maximum de 30% des enfants centrafricains disposent d’un acte de naissance, 40% pour les Centrafricains en général (plus on monte dans la pyramide des âges, plus la probabilité d’avoir un acte de naissance, même datant de l’Oubangui-Chari, est élevée).</w:t>
      </w:r>
    </w:p>
    <w:p w14:paraId="4B4F38EA" w14:textId="77777777" w:rsidR="00E40272" w:rsidRPr="00CB6495" w:rsidRDefault="00E40272" w:rsidP="001428DA">
      <w:pPr>
        <w:widowControl w:val="0"/>
        <w:autoSpaceDE w:val="0"/>
        <w:autoSpaceDN w:val="0"/>
        <w:adjustRightInd w:val="0"/>
        <w:spacing w:after="0"/>
      </w:pPr>
    </w:p>
    <w:p w14:paraId="39474DDD" w14:textId="37B2B8F6" w:rsidR="00FE3149" w:rsidRPr="00CB6495" w:rsidRDefault="00E40272">
      <w:pPr>
        <w:widowControl w:val="0"/>
        <w:autoSpaceDE w:val="0"/>
        <w:autoSpaceDN w:val="0"/>
        <w:adjustRightInd w:val="0"/>
        <w:spacing w:after="0"/>
      </w:pPr>
      <w:r w:rsidRPr="00CB6495">
        <w:t xml:space="preserve">Pourtant, l’acte de naissance est indispensable aux Centrafricains. Ce document est </w:t>
      </w:r>
      <w:r w:rsidR="00FE3149" w:rsidRPr="00CB6495">
        <w:t>nécessaire</w:t>
      </w:r>
      <w:r w:rsidRPr="00CB6495">
        <w:t xml:space="preserve"> pour</w:t>
      </w:r>
      <w:r w:rsidR="00FE3149" w:rsidRPr="00CB6495">
        <w:t xml:space="preserve"> (i) l’inscription des enfants à l’école, (ii) l’identification administrative et familiale d’une personne, (iii) l’obtention des documents administratifs </w:t>
      </w:r>
      <w:r w:rsidR="008F2A20" w:rsidRPr="00CB6495">
        <w:t xml:space="preserve">qui en découlent (carte d’identité, permis de conduire, passeport) </w:t>
      </w:r>
      <w:r w:rsidR="00FE3149" w:rsidRPr="00CB6495">
        <w:t xml:space="preserve">; (iv) voyager/circuler, (v) rechercher un emploi, concourir à un recrutement, (vi) faire </w:t>
      </w:r>
      <w:r w:rsidR="00FE3149" w:rsidRPr="00CB6495">
        <w:lastRenderedPageBreak/>
        <w:t>la preuve de sa nationalité centrafricaine, (vii) passer un examen (</w:t>
      </w:r>
      <w:r w:rsidR="00B35107">
        <w:t>certificat d’études primaires, brevet des collèges</w:t>
      </w:r>
      <w:r w:rsidR="00B35107" w:rsidRPr="00CB6495">
        <w:t xml:space="preserve"> </w:t>
      </w:r>
      <w:r w:rsidR="00FE3149" w:rsidRPr="00CB6495">
        <w:t xml:space="preserve">et baccalauréat), (viii) s’inscrire au registre électoral. </w:t>
      </w:r>
      <w:r w:rsidR="008F2A20" w:rsidRPr="00CB6495">
        <w:t xml:space="preserve">Les Centrafricains sont loin d’ignorer l’importance de l’acte de naissance, </w:t>
      </w:r>
      <w:r w:rsidR="00852AC0" w:rsidRPr="00CB6495">
        <w:t xml:space="preserve">ni </w:t>
      </w:r>
      <w:r w:rsidR="008F2A20" w:rsidRPr="00CB6495">
        <w:t>la procédure pourtant complexe et hétérogène pour l’obtenir</w:t>
      </w:r>
      <w:r w:rsidR="00852AC0" w:rsidRPr="00CB6495">
        <w:t xml:space="preserve">, ni </w:t>
      </w:r>
      <w:r w:rsidR="008F2A20" w:rsidRPr="00CB6495">
        <w:t>son coût</w:t>
      </w:r>
      <w:r w:rsidR="00852AC0" w:rsidRPr="00CB6495">
        <w:t xml:space="preserve"> à géométrie variable</w:t>
      </w:r>
      <w:r w:rsidR="008F2A20" w:rsidRPr="00CB6495">
        <w:t>.</w:t>
      </w:r>
    </w:p>
    <w:p w14:paraId="7F82DD7D" w14:textId="77777777" w:rsidR="00E40272" w:rsidRPr="00CB6495" w:rsidRDefault="00E40272" w:rsidP="001428DA">
      <w:pPr>
        <w:widowControl w:val="0"/>
        <w:autoSpaceDE w:val="0"/>
        <w:autoSpaceDN w:val="0"/>
        <w:adjustRightInd w:val="0"/>
        <w:spacing w:after="0"/>
      </w:pPr>
    </w:p>
    <w:p w14:paraId="5A780C2E" w14:textId="77777777" w:rsidR="001D3F75" w:rsidRPr="00CB6495" w:rsidRDefault="00FE3149" w:rsidP="00732A48">
      <w:pPr>
        <w:widowControl w:val="0"/>
        <w:autoSpaceDE w:val="0"/>
        <w:autoSpaceDN w:val="0"/>
        <w:adjustRightInd w:val="0"/>
        <w:spacing w:after="0"/>
      </w:pPr>
      <w:r w:rsidRPr="00CB6495">
        <w:t xml:space="preserve">Le coût de l’acte de naissance pour les populations est exorbitant. Il est le frein principal </w:t>
      </w:r>
      <w:r w:rsidR="004F198B" w:rsidRPr="00CB6495">
        <w:t>au développement de l’état-civil.</w:t>
      </w:r>
      <w:r w:rsidR="008F2A20" w:rsidRPr="00CB6495">
        <w:t xml:space="preserve"> Tout comme la procédure</w:t>
      </w:r>
      <w:r w:rsidR="00852AC0" w:rsidRPr="00CB6495">
        <w:t xml:space="preserve"> de délivrance</w:t>
      </w:r>
      <w:r w:rsidR="008F2A20" w:rsidRPr="00CB6495">
        <w:t>, il varie d’une municipalité à l’autre.</w:t>
      </w:r>
      <w:r w:rsidR="00676241" w:rsidRPr="00CB6495">
        <w:t xml:space="preserve"> Pour obtenir l’acte de naissance, il faudra se déplacer au moins deux fois et payer au moins deux fois. Dans le premier mois de l’enfant, il faut compter </w:t>
      </w:r>
      <w:r w:rsidR="00852AC0" w:rsidRPr="00CB6495">
        <w:t xml:space="preserve">un minimum de 2000 XAF sans compter d’éventuelles tracasseries destinées à augmenter la contribution. Découragés et déjà bien occupés à lutter pour leur survie quotidienne, bien des parents ne prennent même plus la peine de récupérer leurs déclarations de naissance qui restent ainsi </w:t>
      </w:r>
      <w:r w:rsidR="00360C4F" w:rsidRPr="00CB6495">
        <w:t xml:space="preserve">stockées </w:t>
      </w:r>
      <w:r w:rsidR="00852AC0" w:rsidRPr="00CB6495">
        <w:t>par centaines dans les hôpitaux. Au-delà du premier mois</w:t>
      </w:r>
      <w:r w:rsidR="00360C4F" w:rsidRPr="00CB6495">
        <w:t xml:space="preserve"> de l’enfant</w:t>
      </w:r>
      <w:r w:rsidR="00852AC0" w:rsidRPr="00CB6495">
        <w:t>, la procédure se complique avec l’implication d’un troisième acteur, la justice, pour obtenir un jugement supplétif, faisant grimper le coût total de l’opération aux alentours de 10 000 XAF.</w:t>
      </w:r>
    </w:p>
    <w:p w14:paraId="4A781FA5" w14:textId="77777777" w:rsidR="007C3A4A" w:rsidRPr="00CB6495" w:rsidRDefault="007C3A4A" w:rsidP="00063246">
      <w:pPr>
        <w:widowControl w:val="0"/>
        <w:autoSpaceDE w:val="0"/>
        <w:autoSpaceDN w:val="0"/>
        <w:adjustRightInd w:val="0"/>
        <w:spacing w:after="0"/>
      </w:pPr>
    </w:p>
    <w:p w14:paraId="7D62DC19" w14:textId="77777777" w:rsidR="005F22BF" w:rsidRPr="00CB6495" w:rsidRDefault="00C32B6F" w:rsidP="005F22BF">
      <w:pPr>
        <w:widowControl w:val="0"/>
        <w:autoSpaceDE w:val="0"/>
        <w:autoSpaceDN w:val="0"/>
        <w:adjustRightInd w:val="0"/>
        <w:spacing w:after="0"/>
      </w:pPr>
      <w:r w:rsidRPr="00CB6495">
        <w:t>In fine, les populations</w:t>
      </w:r>
      <w:r w:rsidR="00852AC0" w:rsidRPr="00CB6495">
        <w:t xml:space="preserve"> modestes</w:t>
      </w:r>
      <w:r w:rsidRPr="00CB6495">
        <w:t xml:space="preserve">, en particulier en milieu rural </w:t>
      </w:r>
      <w:r w:rsidR="00852AC0" w:rsidRPr="00CB6495">
        <w:t xml:space="preserve">et </w:t>
      </w:r>
      <w:r w:rsidRPr="00CB6495">
        <w:t>surtout les déplacés et les réfugiés</w:t>
      </w:r>
      <w:r w:rsidR="00852AC0" w:rsidRPr="00CB6495">
        <w:t xml:space="preserve">, </w:t>
      </w:r>
      <w:r w:rsidRPr="00CB6495">
        <w:t>souffrent d</w:t>
      </w:r>
      <w:r w:rsidR="00627A9D" w:rsidRPr="00CB6495">
        <w:t xml:space="preserve">’un </w:t>
      </w:r>
      <w:r w:rsidRPr="00CB6495">
        <w:t xml:space="preserve">isolement </w:t>
      </w:r>
      <w:r w:rsidR="00627A9D" w:rsidRPr="00CB6495">
        <w:t>qui augmente</w:t>
      </w:r>
      <w:r w:rsidR="00852AC0" w:rsidRPr="00CB6495">
        <w:t xml:space="preserve"> encore les coû</w:t>
      </w:r>
      <w:r w:rsidR="005F22BF" w:rsidRPr="00CB6495">
        <w:t xml:space="preserve">ts en raison du transport, avec la nécessité de se déplacer au moins deux fois (souvent plus). Ces populations </w:t>
      </w:r>
      <w:r w:rsidRPr="00CB6495">
        <w:t xml:space="preserve">sont </w:t>
      </w:r>
      <w:r w:rsidR="005F22BF" w:rsidRPr="00CB6495">
        <w:t xml:space="preserve">de plus en plus </w:t>
      </w:r>
      <w:r w:rsidRPr="00CB6495">
        <w:t xml:space="preserve">dépourvues </w:t>
      </w:r>
      <w:r w:rsidR="00852AC0" w:rsidRPr="00CB6495">
        <w:t xml:space="preserve">de </w:t>
      </w:r>
      <w:r w:rsidRPr="00CB6495">
        <w:t>la documentation nécessaire pour réaliser des démarches sociales ou légales.</w:t>
      </w:r>
      <w:r w:rsidR="005F22BF" w:rsidRPr="00CB6495">
        <w:t xml:space="preserve"> La RCA comptait selon OCHA, en octobre 2019, 581’000 déplacés internes dont seulement 384’000 vivants dans une famille d'accueil, les autres étant regroupés sur des sites de campement de fortune.</w:t>
      </w:r>
    </w:p>
    <w:p w14:paraId="54A29F25" w14:textId="77777777" w:rsidR="005F22BF" w:rsidRPr="00CB6495" w:rsidRDefault="005F22BF" w:rsidP="00063246">
      <w:pPr>
        <w:widowControl w:val="0"/>
        <w:autoSpaceDE w:val="0"/>
        <w:autoSpaceDN w:val="0"/>
        <w:adjustRightInd w:val="0"/>
        <w:spacing w:after="0"/>
      </w:pPr>
    </w:p>
    <w:p w14:paraId="7DC03637" w14:textId="5E6E888A" w:rsidR="00627A9D" w:rsidRPr="00CB6495" w:rsidRDefault="005F22BF" w:rsidP="00063246">
      <w:pPr>
        <w:widowControl w:val="0"/>
        <w:autoSpaceDE w:val="0"/>
        <w:autoSpaceDN w:val="0"/>
        <w:adjustRightInd w:val="0"/>
        <w:spacing w:after="0"/>
      </w:pPr>
      <w:r w:rsidRPr="00CB6495">
        <w:t xml:space="preserve">Pour prouver leur identité, les Centrafricains ont souvent recours aujourd’hui soit à la carte d’électeur 2015-16 en </w:t>
      </w:r>
      <w:r w:rsidR="00360C4F" w:rsidRPr="00CB6495">
        <w:t xml:space="preserve">dépit de sa très faible qualité, </w:t>
      </w:r>
      <w:r w:rsidRPr="00CB6495">
        <w:t xml:space="preserve">soit au récépissé d'identité. </w:t>
      </w:r>
      <w:r w:rsidR="00C32B6F" w:rsidRPr="00CB6495">
        <w:t>L'établissement d'un récépissé d'identité coûte en général 3000 XAF auprès de la police judiciaire mais n'est valable que trois mois</w:t>
      </w:r>
      <w:r w:rsidR="00B35107">
        <w:t>, et sa fiabilité est loin d’être solide</w:t>
      </w:r>
      <w:r w:rsidR="00B35107" w:rsidRPr="00CB6495">
        <w:t xml:space="preserve">. </w:t>
      </w:r>
      <w:r w:rsidR="00C641F6" w:rsidRPr="00CB6495">
        <w:t xml:space="preserve"> </w:t>
      </w:r>
    </w:p>
    <w:p w14:paraId="51ECCBC6" w14:textId="77777777" w:rsidR="00631E77" w:rsidRPr="00CB6495" w:rsidRDefault="00631E77" w:rsidP="00063246">
      <w:pPr>
        <w:spacing w:after="0"/>
        <w:rPr>
          <w:lang w:eastAsia="en-GB"/>
        </w:rPr>
      </w:pPr>
    </w:p>
    <w:p w14:paraId="04524513" w14:textId="77777777" w:rsidR="007B1B98" w:rsidRPr="00CB6495" w:rsidRDefault="007B1B98" w:rsidP="00063246">
      <w:pPr>
        <w:spacing w:after="0"/>
        <w:rPr>
          <w:b/>
          <w:bCs/>
          <w:lang w:val="fr-BE" w:eastAsia="en-GB"/>
        </w:rPr>
      </w:pPr>
      <w:r w:rsidRPr="00CB6495">
        <w:rPr>
          <w:b/>
          <w:bCs/>
          <w:lang w:val="fr-BE" w:eastAsia="en-GB"/>
        </w:rPr>
        <w:t xml:space="preserve">2. </w:t>
      </w:r>
      <w:r w:rsidR="00360C69" w:rsidRPr="00CB6495">
        <w:rPr>
          <w:b/>
          <w:bCs/>
          <w:lang w:val="fr-BE" w:eastAsia="en-GB"/>
        </w:rPr>
        <w:t>Orientations générales sur les modalités de mise en œuvre</w:t>
      </w:r>
    </w:p>
    <w:p w14:paraId="63308AB8" w14:textId="77777777" w:rsidR="007B1B98" w:rsidRPr="00CB6495" w:rsidRDefault="007B1B98" w:rsidP="00063246">
      <w:pPr>
        <w:spacing w:after="0"/>
        <w:rPr>
          <w:lang w:eastAsia="en-GB"/>
        </w:rPr>
      </w:pPr>
    </w:p>
    <w:p w14:paraId="5846A41C" w14:textId="6882815D" w:rsidR="00627A9D" w:rsidRPr="00CB6495" w:rsidRDefault="00627A9D" w:rsidP="00063246">
      <w:pPr>
        <w:spacing w:after="0"/>
      </w:pPr>
      <w:r w:rsidRPr="00CB6495">
        <w:t>Le programme européen de soutien à l’état-civil constitue le 3</w:t>
      </w:r>
      <w:r w:rsidRPr="00CB6495">
        <w:rPr>
          <w:vertAlign w:val="superscript"/>
        </w:rPr>
        <w:t>ème</w:t>
      </w:r>
      <w:r w:rsidRPr="00CB6495">
        <w:t xml:space="preserve"> volet </w:t>
      </w:r>
      <w:r w:rsidR="005F1939" w:rsidRPr="00CB6495">
        <w:t>« </w:t>
      </w:r>
      <w:r w:rsidR="00EA5455" w:rsidRPr="00CB6495">
        <w:t>État</w:t>
      </w:r>
      <w:r w:rsidR="005F1939" w:rsidRPr="00CB6495">
        <w:t xml:space="preserve"> civil » </w:t>
      </w:r>
      <w:r w:rsidRPr="00CB6495">
        <w:t xml:space="preserve">du </w:t>
      </w:r>
      <w:r w:rsidR="002443FD" w:rsidRPr="00CB6495">
        <w:t xml:space="preserve">« Programme d'appui à la réforme du secteur de la sécurité et à la gouvernance en République centrafricaine » (RSS et Gouvernance) </w:t>
      </w:r>
      <w:r w:rsidRPr="00CB6495">
        <w:t>consacré par une Convention de Financement</w:t>
      </w:r>
      <w:r w:rsidR="00997315" w:rsidRPr="00CB6495">
        <w:t xml:space="preserve"> signée en novembre 2018 entre</w:t>
      </w:r>
      <w:r w:rsidR="0049707A" w:rsidRPr="00CB6495">
        <w:t xml:space="preserve"> la Commission européenne et le Ministère centrafricain du Plan et de l’</w:t>
      </w:r>
      <w:r w:rsidR="00EA5455" w:rsidRPr="00CB6495">
        <w:t>Économie</w:t>
      </w:r>
      <w:r w:rsidR="0049707A" w:rsidRPr="00CB6495">
        <w:t>.</w:t>
      </w:r>
    </w:p>
    <w:p w14:paraId="40E86B87" w14:textId="77777777" w:rsidR="006C49D6" w:rsidRPr="00CB6495" w:rsidRDefault="006C49D6" w:rsidP="00063246">
      <w:pPr>
        <w:spacing w:after="0"/>
      </w:pPr>
    </w:p>
    <w:p w14:paraId="51F92F51" w14:textId="6767296D" w:rsidR="00A8400A" w:rsidRPr="00CB6495" w:rsidRDefault="00A8400A" w:rsidP="00063246">
      <w:pPr>
        <w:spacing w:after="0"/>
      </w:pPr>
      <w:r w:rsidRPr="00CB6495">
        <w:t xml:space="preserve">Pour la mise en œuvre des activités détaillées ci-dessous, la Délégation procédera à l’octroi d’une subvention au demandeur principal ayant formulé la proposition répondant le mieux aux critères d'attribution énoncés dans la présente </w:t>
      </w:r>
      <w:r w:rsidR="006B05C5" w:rsidRPr="00CB6495">
        <w:t xml:space="preserve">Appel à Manifestation d’Intérêt (AMI), sur la base de la pertinence de la note succincte et de la demande complète. Le demandeur principal peut agir avec des codemandeurs. L’intégration d’au moins un codemandeur national sera considérée comme un atout. </w:t>
      </w:r>
      <w:r w:rsidRPr="00CB6495">
        <w:t xml:space="preserve"> </w:t>
      </w:r>
    </w:p>
    <w:p w14:paraId="5F990DCA" w14:textId="77777777" w:rsidR="00A8400A" w:rsidRPr="00CB6495" w:rsidRDefault="00A8400A" w:rsidP="00063246">
      <w:pPr>
        <w:spacing w:after="0"/>
      </w:pPr>
    </w:p>
    <w:p w14:paraId="1267D01B" w14:textId="2A59CAA0" w:rsidR="00CD6C98" w:rsidRPr="00CB6495" w:rsidRDefault="00CD6C98">
      <w:pPr>
        <w:spacing w:after="0"/>
      </w:pPr>
      <w:r w:rsidRPr="00CB6495">
        <w:t>La Délégation de l’UE en République centrafricaine assurera le suivi opérationnel de la mise en œuvre du projet pour le compte de la Commission. Elle mettra en place un mécanisme de supervision de la mise en œuvre du projet qui assurera le suivi général des activités du programme</w:t>
      </w:r>
      <w:r w:rsidR="00EE2F32" w:rsidRPr="00CB6495">
        <w:t xml:space="preserve">. La Délégation de l’UE coordonnera les activités des trois volets du Programme RSS et Gouvernance, dont le troisième volet concerne le programme état-civil dont il est ici question, </w:t>
      </w:r>
      <w:r w:rsidR="002F4526" w:rsidRPr="00CB6495">
        <w:t xml:space="preserve">à travers un seul et unique Comité de Pilotage (COPIL). </w:t>
      </w:r>
      <w:bookmarkStart w:id="1" w:name="_Toc391999076"/>
      <w:r w:rsidR="002F4526" w:rsidRPr="00CB6495">
        <w:t>Ce COPIL</w:t>
      </w:r>
      <w:r w:rsidRPr="00CB6495">
        <w:t xml:space="preserve"> se réun</w:t>
      </w:r>
      <w:r w:rsidR="002F4526" w:rsidRPr="00CB6495">
        <w:t>it</w:t>
      </w:r>
      <w:r w:rsidRPr="00CB6495">
        <w:t xml:space="preserve"> au moins une fois par an et sera composé par les représentants des </w:t>
      </w:r>
      <w:r w:rsidR="00B35107">
        <w:t>quatre</w:t>
      </w:r>
      <w:r w:rsidR="00B35107" w:rsidRPr="00CB6495">
        <w:t xml:space="preserve"> </w:t>
      </w:r>
      <w:r w:rsidRPr="00CB6495">
        <w:t xml:space="preserve">ministères concernés, du Ministère des </w:t>
      </w:r>
      <w:r w:rsidRPr="00CB6495">
        <w:lastRenderedPageBreak/>
        <w:t xml:space="preserve">Finances, du Ministère </w:t>
      </w:r>
      <w:r w:rsidR="002F4526" w:rsidRPr="00CB6495">
        <w:t>de l’</w:t>
      </w:r>
      <w:r w:rsidR="00EA5455" w:rsidRPr="00CB6495">
        <w:t>Économie</w:t>
      </w:r>
      <w:r w:rsidR="002F4526" w:rsidRPr="00CB6495">
        <w:t xml:space="preserve"> et </w:t>
      </w:r>
      <w:r w:rsidRPr="00CB6495">
        <w:t xml:space="preserve">du Plan, </w:t>
      </w:r>
      <w:r w:rsidR="002F4526" w:rsidRPr="00CB6495">
        <w:t>du MAT</w:t>
      </w:r>
      <w:r w:rsidR="004E40F4" w:rsidRPr="00CB6495">
        <w:t>D</w:t>
      </w:r>
      <w:r w:rsidR="00B35107">
        <w:t>, du Ministère de la Justice</w:t>
      </w:r>
      <w:r w:rsidR="002F4526" w:rsidRPr="00CB6495">
        <w:t xml:space="preserve"> et </w:t>
      </w:r>
      <w:r w:rsidRPr="00CB6495">
        <w:t xml:space="preserve">de la Délégation de l’Union européenne. Le secrétariat du </w:t>
      </w:r>
      <w:r w:rsidR="002F4526" w:rsidRPr="00CB6495">
        <w:t>COPIL</w:t>
      </w:r>
      <w:r w:rsidRPr="00CB6495">
        <w:t xml:space="preserve"> sera assuré de manière tournante par l’un des chefs de </w:t>
      </w:r>
      <w:r w:rsidR="002F4526" w:rsidRPr="00CB6495">
        <w:t>projets</w:t>
      </w:r>
      <w:r w:rsidRPr="00CB6495">
        <w:t xml:space="preserve"> du programme. Selon l’ordre du jour, des représentants d’autres institutions nationales et partenaires pourront également être invités à participer aux réunions du </w:t>
      </w:r>
      <w:r w:rsidR="002F4526" w:rsidRPr="00CB6495">
        <w:t>COPIL</w:t>
      </w:r>
      <w:r w:rsidRPr="00CB6495">
        <w:t xml:space="preserve"> à l'initiative d’un des ministères concernés ou de la délégation de l’Union européenne.</w:t>
      </w:r>
    </w:p>
    <w:p w14:paraId="33A75042" w14:textId="77777777" w:rsidR="00CD6C98" w:rsidRPr="00CB6495" w:rsidRDefault="00CD6C98" w:rsidP="00063246">
      <w:pPr>
        <w:spacing w:after="0"/>
      </w:pPr>
    </w:p>
    <w:p w14:paraId="34BED383" w14:textId="28DFC684" w:rsidR="00CD6C98" w:rsidRPr="00CB6495" w:rsidRDefault="002F4526" w:rsidP="00063246">
      <w:pPr>
        <w:spacing w:after="0"/>
      </w:pPr>
      <w:r w:rsidRPr="00CB6495">
        <w:t>Par ailleurs, u</w:t>
      </w:r>
      <w:r w:rsidR="00CD6C98" w:rsidRPr="00CB6495">
        <w:t xml:space="preserve">n comité technique de suivi </w:t>
      </w:r>
      <w:r w:rsidRPr="00CB6495">
        <w:t xml:space="preserve">sera </w:t>
      </w:r>
      <w:r w:rsidR="00CD6C98" w:rsidRPr="00CB6495">
        <w:t xml:space="preserve">spécifiquement </w:t>
      </w:r>
      <w:r w:rsidRPr="00CB6495">
        <w:t xml:space="preserve">mis en place </w:t>
      </w:r>
      <w:r w:rsidR="00CD6C98" w:rsidRPr="00CB6495">
        <w:t xml:space="preserve">pour </w:t>
      </w:r>
      <w:r w:rsidRPr="00CB6495">
        <w:t xml:space="preserve">le </w:t>
      </w:r>
      <w:r w:rsidR="00CD6C98" w:rsidRPr="00CB6495">
        <w:t>pro</w:t>
      </w:r>
      <w:r w:rsidRPr="00CB6495">
        <w:t xml:space="preserve">gramme état-civil, sous le leadership de la Délégation. Il se réunira selon la fréquence décidée par la Délégation et permettra </w:t>
      </w:r>
      <w:r w:rsidR="00CD6C98" w:rsidRPr="00CB6495">
        <w:t xml:space="preserve">le suivi de la mise en œuvre du projet et </w:t>
      </w:r>
      <w:r w:rsidRPr="00CB6495">
        <w:t>la prise de</w:t>
      </w:r>
      <w:r w:rsidR="00CD6C98" w:rsidRPr="00CB6495">
        <w:t xml:space="preserve"> décisions</w:t>
      </w:r>
      <w:r w:rsidRPr="00CB6495">
        <w:t xml:space="preserve">. En particulier, ce comité technique </w:t>
      </w:r>
      <w:r w:rsidR="00B35107">
        <w:t>constitu</w:t>
      </w:r>
      <w:r w:rsidRPr="00CB6495">
        <w:t>era le cadre de la préparation du dialogue politique avec les autorités centrafricaines pour l’obtention de réformes sur la conduite, la gestion et le cadre légal de l’état-civil.</w:t>
      </w:r>
    </w:p>
    <w:bookmarkEnd w:id="1"/>
    <w:p w14:paraId="17C512C6" w14:textId="77777777" w:rsidR="00CD6C98" w:rsidRPr="00CB6495" w:rsidRDefault="00CD6C98" w:rsidP="00063246">
      <w:pPr>
        <w:spacing w:after="0"/>
        <w:rPr>
          <w:b/>
        </w:rPr>
      </w:pPr>
    </w:p>
    <w:p w14:paraId="7E6DE2A9" w14:textId="77777777" w:rsidR="00CD6C98" w:rsidRPr="00CB6495" w:rsidRDefault="00360C69" w:rsidP="00063246">
      <w:pPr>
        <w:spacing w:after="0"/>
        <w:rPr>
          <w:b/>
        </w:rPr>
      </w:pPr>
      <w:r w:rsidRPr="00CB6495">
        <w:rPr>
          <w:b/>
        </w:rPr>
        <w:t xml:space="preserve">3. </w:t>
      </w:r>
      <w:r w:rsidR="00CD6C98" w:rsidRPr="00CB6495">
        <w:rPr>
          <w:b/>
        </w:rPr>
        <w:t>Suivi des résultats et rapports</w:t>
      </w:r>
    </w:p>
    <w:p w14:paraId="589D5817" w14:textId="77777777" w:rsidR="00CD6C98" w:rsidRPr="00CB6495" w:rsidRDefault="00CD6C98" w:rsidP="00063246">
      <w:pPr>
        <w:spacing w:after="0"/>
      </w:pPr>
      <w:bookmarkStart w:id="2" w:name="_Toc391992328"/>
      <w:bookmarkStart w:id="3" w:name="_Toc391999078"/>
      <w:bookmarkStart w:id="4" w:name="_Toc391999080"/>
    </w:p>
    <w:p w14:paraId="27495D5F" w14:textId="77777777" w:rsidR="00CD6C98" w:rsidRPr="00CB6495" w:rsidRDefault="00CD6C98" w:rsidP="00063246">
      <w:pPr>
        <w:spacing w:after="0"/>
      </w:pPr>
      <w:r w:rsidRPr="00CB6495">
        <w:t xml:space="preserve">Le suivi technique et financier courant de la mise en œuvre de la présente action est un processus continu et fait partie intégrante des responsabilités du partenaire de mise en œuvre. À cette fin, </w:t>
      </w:r>
      <w:r w:rsidR="002F4526" w:rsidRPr="00CB6495">
        <w:t>celui</w:t>
      </w:r>
      <w:r w:rsidRPr="00CB6495">
        <w:t>-ci do</w:t>
      </w:r>
      <w:r w:rsidR="002F4526" w:rsidRPr="00CB6495">
        <w:t>i</w:t>
      </w:r>
      <w:r w:rsidRPr="00CB6495">
        <w:t xml:space="preserve">t établir un système de suivi interne, technique et financier permanent pour l’action et élaborer régulièrement des rapports d’avancement et des rapports finaux. </w:t>
      </w:r>
      <w:bookmarkEnd w:id="2"/>
      <w:bookmarkEnd w:id="3"/>
      <w:r w:rsidR="00C56318" w:rsidRPr="00CB6495">
        <w:t xml:space="preserve"> </w:t>
      </w:r>
      <w:r w:rsidRPr="00CB6495">
        <w:t>Chaque rapport rendra compte avec précision de la mise en œuvre de l’action, des difficultés rencontrées, des changements mis en place, ainsi que des résultats obtenus (réalisations et effets directs), mesurés par rapport aux indicateurs correspondants, en utilisant comme référence la matrice du cadre logique (pour la modalité de projet). Le rapport sera présenté de manière à permettre le suivi des moyens envisagés et employés et des modalités budgétaires de l’action. Le rapport final, narratif et financier, couvrira toute la période de mise en œuvre de l’action.</w:t>
      </w:r>
    </w:p>
    <w:p w14:paraId="448FD862" w14:textId="77777777" w:rsidR="00CD6C98" w:rsidRPr="00CB6495" w:rsidRDefault="00CD6C98" w:rsidP="00063246">
      <w:pPr>
        <w:spacing w:after="0"/>
        <w:rPr>
          <w:iCs/>
        </w:rPr>
      </w:pPr>
    </w:p>
    <w:p w14:paraId="5D6CFD65" w14:textId="77777777" w:rsidR="00CD6C98" w:rsidRPr="00CB6495" w:rsidRDefault="00CD6C98" w:rsidP="00063246">
      <w:pPr>
        <w:spacing w:after="0"/>
        <w:rPr>
          <w:iCs/>
        </w:rPr>
      </w:pPr>
      <w:r w:rsidRPr="00CB6495">
        <w:rPr>
          <w:iCs/>
        </w:rPr>
        <w:t>La Commission effectuer</w:t>
      </w:r>
      <w:r w:rsidR="002F4526" w:rsidRPr="00CB6495">
        <w:rPr>
          <w:iCs/>
        </w:rPr>
        <w:t>a</w:t>
      </w:r>
      <w:r w:rsidRPr="00CB6495">
        <w:rPr>
          <w:iCs/>
        </w:rPr>
        <w:t xml:space="preserve"> </w:t>
      </w:r>
      <w:r w:rsidR="002F4526" w:rsidRPr="00CB6495">
        <w:rPr>
          <w:iCs/>
        </w:rPr>
        <w:t xml:space="preserve">autant de </w:t>
      </w:r>
      <w:r w:rsidRPr="00CB6495">
        <w:rPr>
          <w:iCs/>
        </w:rPr>
        <w:t>visites de suivi du projet</w:t>
      </w:r>
      <w:r w:rsidR="002F4526" w:rsidRPr="00CB6495">
        <w:rPr>
          <w:iCs/>
        </w:rPr>
        <w:t xml:space="preserve"> qu’elle juge nécessaire</w:t>
      </w:r>
      <w:r w:rsidRPr="00CB6495">
        <w:rPr>
          <w:iCs/>
        </w:rPr>
        <w:t xml:space="preserve">, par l’intermédiaire de son propre personnel </w:t>
      </w:r>
      <w:r w:rsidR="002F4526" w:rsidRPr="00CB6495">
        <w:rPr>
          <w:iCs/>
        </w:rPr>
        <w:t xml:space="preserve">ou </w:t>
      </w:r>
      <w:r w:rsidRPr="00CB6495">
        <w:rPr>
          <w:iCs/>
        </w:rPr>
        <w:t xml:space="preserve">de consultants indépendants directement recrutés par la Commission pour réaliser des contrôles de suivi indépendants (ou recrutés par l’agent compétent engagé par la Commission pour mettre en œuvre ces contrôles). </w:t>
      </w:r>
    </w:p>
    <w:p w14:paraId="3941E4B5" w14:textId="77777777" w:rsidR="00CD6C98" w:rsidRPr="00CB6495" w:rsidRDefault="00CD6C98" w:rsidP="00063246">
      <w:pPr>
        <w:spacing w:after="0"/>
        <w:rPr>
          <w:b/>
        </w:rPr>
      </w:pPr>
      <w:bookmarkStart w:id="5" w:name="_Toc391022375"/>
      <w:bookmarkStart w:id="6" w:name="_Toc391537218"/>
      <w:bookmarkEnd w:id="4"/>
    </w:p>
    <w:p w14:paraId="2FEFC581" w14:textId="77777777" w:rsidR="00CD6C98" w:rsidRPr="00CB6495" w:rsidRDefault="00360C69" w:rsidP="00063246">
      <w:pPr>
        <w:spacing w:after="0"/>
        <w:rPr>
          <w:b/>
        </w:rPr>
      </w:pPr>
      <w:r w:rsidRPr="00CB6495">
        <w:rPr>
          <w:b/>
        </w:rPr>
        <w:t xml:space="preserve">4. </w:t>
      </w:r>
      <w:r w:rsidR="00CD6C98" w:rsidRPr="00CB6495">
        <w:rPr>
          <w:b/>
        </w:rPr>
        <w:t xml:space="preserve">Évaluation </w:t>
      </w:r>
      <w:bookmarkEnd w:id="5"/>
      <w:bookmarkEnd w:id="6"/>
    </w:p>
    <w:p w14:paraId="1C789FDC" w14:textId="77777777" w:rsidR="00CD6C98" w:rsidRPr="00CB6495" w:rsidRDefault="00CD6C98" w:rsidP="00063246">
      <w:pPr>
        <w:spacing w:after="0"/>
      </w:pPr>
    </w:p>
    <w:p w14:paraId="5A998506" w14:textId="77777777" w:rsidR="00CD6C98" w:rsidRPr="00CB6495" w:rsidRDefault="002F4526" w:rsidP="00063246">
      <w:pPr>
        <w:spacing w:after="0"/>
      </w:pPr>
      <w:r w:rsidRPr="00CB6495">
        <w:t>Des</w:t>
      </w:r>
      <w:r w:rsidR="00CD6C98" w:rsidRPr="00CB6495">
        <w:t xml:space="preserve"> évaluations à mi-parcours et finale de la présente action par l’intermédiaire de consultants indépendants commandés par la Commission</w:t>
      </w:r>
      <w:r w:rsidRPr="00CB6495">
        <w:t xml:space="preserve"> sont possibles.</w:t>
      </w:r>
      <w:r w:rsidR="00CD6C98" w:rsidRPr="00CB6495">
        <w:t xml:space="preserve"> </w:t>
      </w:r>
    </w:p>
    <w:p w14:paraId="4E9129AB" w14:textId="77777777" w:rsidR="00CD6C98" w:rsidRPr="00CB6495" w:rsidRDefault="00CD6C98" w:rsidP="00063246">
      <w:pPr>
        <w:spacing w:after="0"/>
      </w:pPr>
    </w:p>
    <w:p w14:paraId="31F873F1" w14:textId="77777777" w:rsidR="00CD6C98" w:rsidRPr="00CB6495" w:rsidRDefault="00CD6C98" w:rsidP="00063246">
      <w:pPr>
        <w:spacing w:after="0"/>
      </w:pPr>
      <w:r w:rsidRPr="00CB6495">
        <w:t xml:space="preserve">La Commission informera les partenaires de mise en œuvre au moins 30 jours avant les dates envisagées pour </w:t>
      </w:r>
      <w:r w:rsidR="002F4526" w:rsidRPr="00CB6495">
        <w:t>d</w:t>
      </w:r>
      <w:r w:rsidRPr="00CB6495">
        <w:t xml:space="preserve">es missions d’évaluation. Les partenaires de mise en œuvre collaboreront de manière efficace et effective avec les experts en charge de l’évaluation, notamment en leur fournissant l’ensemble des informations et documents nécessaires et en leur assurant l’accès aux locaux et activités du projet. </w:t>
      </w:r>
    </w:p>
    <w:p w14:paraId="2384B0D4" w14:textId="77777777" w:rsidR="00CD6C98" w:rsidRPr="00CB6495" w:rsidRDefault="00CD6C98" w:rsidP="00063246">
      <w:pPr>
        <w:spacing w:after="0"/>
      </w:pPr>
    </w:p>
    <w:p w14:paraId="34808B69" w14:textId="77777777" w:rsidR="00CD6C98" w:rsidRPr="00CB6495" w:rsidRDefault="00CD6C98" w:rsidP="00063246">
      <w:pPr>
        <w:spacing w:after="0"/>
      </w:pPr>
      <w:r w:rsidRPr="00CB6495">
        <w:t xml:space="preserve">Les rapports d’évaluation </w:t>
      </w:r>
      <w:r w:rsidR="002F4526" w:rsidRPr="00CB6495">
        <w:t>pour</w:t>
      </w:r>
      <w:r w:rsidRPr="00CB6495">
        <w:t>ront</w:t>
      </w:r>
      <w:r w:rsidR="002F4526" w:rsidRPr="00CB6495">
        <w:t xml:space="preserve"> être</w:t>
      </w:r>
      <w:r w:rsidRPr="00CB6495">
        <w:t xml:space="preserve"> communiqués au pays partenaire et aux parties prenantes clés. Le partenaire de mise en œuvre et la Commission analyseront les conclusions et les recommandations des évaluations et décideront d’un commun accord, le cas échéant en accord avec le pays partenaire, des actions de suivi à mener et de toute adaptation nécessaire et notamment, s’il y a lieu, de la réorientation du pro</w:t>
      </w:r>
      <w:r w:rsidR="00871D58" w:rsidRPr="00CB6495">
        <w:t>gramme</w:t>
      </w:r>
      <w:r w:rsidRPr="00CB6495">
        <w:t xml:space="preserve">. </w:t>
      </w:r>
    </w:p>
    <w:p w14:paraId="4270FF2E" w14:textId="77777777" w:rsidR="008C0F23" w:rsidRDefault="008C0F23" w:rsidP="00063246">
      <w:pPr>
        <w:spacing w:after="0"/>
        <w:rPr>
          <w:lang w:eastAsia="en-GB"/>
        </w:rPr>
      </w:pPr>
    </w:p>
    <w:p w14:paraId="03FA5EDB" w14:textId="77777777" w:rsidR="00861EC0" w:rsidRPr="00CB6495" w:rsidRDefault="00360C69" w:rsidP="00063246">
      <w:pPr>
        <w:pStyle w:val="Heading2"/>
        <w:numPr>
          <w:ilvl w:val="0"/>
          <w:numId w:val="0"/>
        </w:numPr>
        <w:spacing w:after="0"/>
      </w:pPr>
      <w:r w:rsidRPr="00CB6495">
        <w:t>5.</w:t>
      </w:r>
      <w:r w:rsidR="003435BA" w:rsidRPr="00CB6495">
        <w:t xml:space="preserve"> Objectifs</w:t>
      </w:r>
      <w:r w:rsidR="00D17C07" w:rsidRPr="00CB6495">
        <w:t xml:space="preserve"> généraux</w:t>
      </w:r>
    </w:p>
    <w:p w14:paraId="3715B48D" w14:textId="77777777" w:rsidR="00871D58" w:rsidRPr="00CB6495" w:rsidRDefault="00871D58" w:rsidP="00871D58">
      <w:pPr>
        <w:widowControl w:val="0"/>
        <w:autoSpaceDE w:val="0"/>
        <w:autoSpaceDN w:val="0"/>
        <w:adjustRightInd w:val="0"/>
        <w:spacing w:after="0"/>
      </w:pPr>
    </w:p>
    <w:p w14:paraId="56BC5984" w14:textId="77777777" w:rsidR="00871D58" w:rsidRPr="00CB6495" w:rsidRDefault="00871D58" w:rsidP="00871D58">
      <w:pPr>
        <w:widowControl w:val="0"/>
        <w:autoSpaceDE w:val="0"/>
        <w:autoSpaceDN w:val="0"/>
        <w:adjustRightInd w:val="0"/>
        <w:spacing w:after="0"/>
      </w:pPr>
      <w:r w:rsidRPr="00CB6495">
        <w:lastRenderedPageBreak/>
        <w:t>Face aux défis évoqués ci-dessus, en se concentrant sur l’acte de naissance, le programme de l’UE de soutien à l’état-civil dont le présent Appel à Manifestation d’intérêt fait l’objet poursuivra trois objectifs </w:t>
      </w:r>
      <w:r w:rsidR="00D17C07" w:rsidRPr="00CB6495">
        <w:t>généraux</w:t>
      </w:r>
      <w:r w:rsidRPr="00CB6495">
        <w:t>:</w:t>
      </w:r>
    </w:p>
    <w:p w14:paraId="0815B25D" w14:textId="77777777" w:rsidR="00902254" w:rsidRPr="00CB6495" w:rsidRDefault="00902254" w:rsidP="00871D58">
      <w:pPr>
        <w:widowControl w:val="0"/>
        <w:autoSpaceDE w:val="0"/>
        <w:autoSpaceDN w:val="0"/>
        <w:adjustRightInd w:val="0"/>
        <w:spacing w:after="0"/>
      </w:pPr>
    </w:p>
    <w:p w14:paraId="12C3040F" w14:textId="67244A81" w:rsidR="00871D58" w:rsidRPr="00CB6495" w:rsidRDefault="00936BD3" w:rsidP="00871D58">
      <w:pPr>
        <w:widowControl w:val="0"/>
        <w:autoSpaceDE w:val="0"/>
        <w:autoSpaceDN w:val="0"/>
        <w:adjustRightInd w:val="0"/>
        <w:spacing w:after="0"/>
      </w:pPr>
      <w:r>
        <w:rPr>
          <w:b/>
          <w:i/>
        </w:rPr>
        <w:t>5.</w:t>
      </w:r>
      <w:r w:rsidR="005F1939" w:rsidRPr="0064401C">
        <w:rPr>
          <w:b/>
          <w:i/>
        </w:rPr>
        <w:t>1</w:t>
      </w:r>
      <w:r>
        <w:rPr>
          <w:b/>
          <w:i/>
        </w:rPr>
        <w:t xml:space="preserve"> </w:t>
      </w:r>
      <w:r w:rsidR="005F1939" w:rsidRPr="0064401C">
        <w:rPr>
          <w:b/>
          <w:i/>
        </w:rPr>
        <w:t xml:space="preserve">- </w:t>
      </w:r>
      <w:r w:rsidR="00871D58" w:rsidRPr="0064401C">
        <w:rPr>
          <w:b/>
          <w:i/>
        </w:rPr>
        <w:t>Un objectif stratégique</w:t>
      </w:r>
      <w:r w:rsidR="00871D58" w:rsidRPr="00CB6495">
        <w:rPr>
          <w:i/>
        </w:rPr>
        <w:t> :</w:t>
      </w:r>
      <w:r w:rsidR="00871D58" w:rsidRPr="00CB6495">
        <w:t xml:space="preserve"> le programme appuiera la Délégation de l’Union européenne dans un dialogue sur les politiques avec les autorités centrafricaines. Un tel dialogue cherchera à obtenir, aux bénéfices des populations, (i) l’extension de 1 à 6 mois du délai d’obtention et de dépôt en mairie de la déclaration de naissance, repoussant ainsi la phase onéreuse du jugement supplétif ; (ii) l’harmonisation à la baisse des tarifications pratiquées avec leur affichage précis, sur chaque site de délivrance (hôpital, mairie, justice), avec une mention autocollante décourageant la perception de cadeau ; (iii) la simplification des procédures afin de limiter les déplacements des parents ; (iv) l’immédiateté de la procédure ; (v) la mise en place d’un mécanisme de contrôle qualité mesurant le volume et le temps d’attribution des actes de naissance ; (vi) tout autre mesure favorisant la conduite et la gestion de l’état-civil au bénéfice des citoyens. Il s’agira non seulement de convaincre les autorités de l’utilité de telles réformes mais aussi de les accompagner dans leur accomplissement.</w:t>
      </w:r>
    </w:p>
    <w:p w14:paraId="436857C0" w14:textId="77777777" w:rsidR="00902254" w:rsidRPr="00CB6495" w:rsidRDefault="00902254" w:rsidP="00871D58">
      <w:pPr>
        <w:widowControl w:val="0"/>
        <w:autoSpaceDE w:val="0"/>
        <w:autoSpaceDN w:val="0"/>
        <w:adjustRightInd w:val="0"/>
        <w:spacing w:after="0"/>
      </w:pPr>
    </w:p>
    <w:p w14:paraId="5E7F6487" w14:textId="5AF73DF3" w:rsidR="00871D58" w:rsidRPr="00375BFD" w:rsidRDefault="00936BD3" w:rsidP="00871D58">
      <w:pPr>
        <w:widowControl w:val="0"/>
        <w:autoSpaceDE w:val="0"/>
        <w:autoSpaceDN w:val="0"/>
        <w:adjustRightInd w:val="0"/>
        <w:spacing w:after="0"/>
      </w:pPr>
      <w:r>
        <w:rPr>
          <w:b/>
          <w:i/>
        </w:rPr>
        <w:t>5.</w:t>
      </w:r>
      <w:r w:rsidR="005F1939" w:rsidRPr="0064401C">
        <w:rPr>
          <w:b/>
          <w:i/>
        </w:rPr>
        <w:t>2</w:t>
      </w:r>
      <w:r>
        <w:rPr>
          <w:b/>
          <w:i/>
        </w:rPr>
        <w:t xml:space="preserve"> </w:t>
      </w:r>
      <w:r w:rsidR="005F1939" w:rsidRPr="0064401C">
        <w:rPr>
          <w:b/>
          <w:i/>
        </w:rPr>
        <w:t xml:space="preserve">- </w:t>
      </w:r>
      <w:r w:rsidR="00871D58" w:rsidRPr="0064401C">
        <w:rPr>
          <w:b/>
          <w:i/>
        </w:rPr>
        <w:t>Un objectif de service aux populations :</w:t>
      </w:r>
      <w:r w:rsidR="00871D58" w:rsidRPr="00CB6495">
        <w:t xml:space="preserve"> le programme constitue l’opportunité de produire un maximum d’actes de naissance au profit des enfants et des jeunes, par exemple par la technique de l’audience foraine, contre un prix très réduit donc adapté aux moyens des usagers. Le programme mesurera son impact en évaluant au préalable</w:t>
      </w:r>
      <w:r w:rsidR="00871D58" w:rsidRPr="00375BFD">
        <w:t>, aussi précisément que possible, la proportion de la population dépourvue d’acte de naissance. L’</w:t>
      </w:r>
      <w:proofErr w:type="spellStart"/>
      <w:r w:rsidR="00871D58" w:rsidRPr="00375BFD">
        <w:t>inclusivité</w:t>
      </w:r>
      <w:proofErr w:type="spellEnd"/>
      <w:r w:rsidR="00871D58" w:rsidRPr="00375BFD">
        <w:t xml:space="preserve"> sera le fil conducteur d’une telle action, en veillant à servir équitablement toutes les communautés, et des milieux ruraux autant que des milieux urbains. </w:t>
      </w:r>
      <w:r w:rsidR="00B35107" w:rsidRPr="00375BFD">
        <w:t xml:space="preserve">De plus, des mesures de sécurisation des documents établis (stockage numérique) pourront être envisagées, afin de pouvoir reconstituer les archives </w:t>
      </w:r>
      <w:r w:rsidR="0001026C" w:rsidRPr="00375BFD">
        <w:t xml:space="preserve">ou délivrer des duplicata </w:t>
      </w:r>
      <w:r w:rsidR="00B35107" w:rsidRPr="00375BFD">
        <w:t xml:space="preserve">en cas d’incident. </w:t>
      </w:r>
      <w:r w:rsidR="00871D58" w:rsidRPr="00375BFD">
        <w:t>Les femmes jeunes pourtant majoritaires dans la population, sont exclues parmi les exclus dans l’état-civil. Le programme fera donc un effort accru sur la délivrance d’actes de naissance pour les femmes</w:t>
      </w:r>
      <w:r w:rsidR="0001026C" w:rsidRPr="00375BFD">
        <w:t>. Ces dernières, disposant dès lors d’une identité, parviendront à plus facilement déclarer leurs enfants à l’état civil, voire pourront même se marier</w:t>
      </w:r>
      <w:r w:rsidR="00871D58" w:rsidRPr="00375BFD">
        <w:t xml:space="preserve">. Les ressources limitées du programme ne pourront pas couvrir </w:t>
      </w:r>
      <w:r w:rsidR="007E37B0" w:rsidRPr="00375BFD">
        <w:t>l’ensemble des</w:t>
      </w:r>
      <w:r w:rsidR="00871D58" w:rsidRPr="00375BFD">
        <w:t xml:space="preserve"> besoins attendus. Néanmoins, la Délégation de l’Union européenne veillera à obtenir un maximum d’impact avec les fonds dont elle a la responsabilité.</w:t>
      </w:r>
    </w:p>
    <w:p w14:paraId="14FB42E9" w14:textId="77777777" w:rsidR="00902254" w:rsidRPr="00375BFD" w:rsidRDefault="00902254" w:rsidP="00871D58">
      <w:pPr>
        <w:widowControl w:val="0"/>
        <w:autoSpaceDE w:val="0"/>
        <w:autoSpaceDN w:val="0"/>
        <w:adjustRightInd w:val="0"/>
        <w:spacing w:after="0"/>
      </w:pPr>
    </w:p>
    <w:p w14:paraId="584067E8" w14:textId="689A7F2C" w:rsidR="00871D58" w:rsidRPr="00CB6495" w:rsidRDefault="00936BD3" w:rsidP="00871D58">
      <w:pPr>
        <w:widowControl w:val="0"/>
        <w:autoSpaceDE w:val="0"/>
        <w:autoSpaceDN w:val="0"/>
        <w:adjustRightInd w:val="0"/>
        <w:spacing w:after="0"/>
      </w:pPr>
      <w:r w:rsidRPr="00375BFD">
        <w:rPr>
          <w:b/>
          <w:i/>
        </w:rPr>
        <w:t>5.</w:t>
      </w:r>
      <w:r w:rsidR="005F1939" w:rsidRPr="00375BFD">
        <w:rPr>
          <w:b/>
          <w:i/>
        </w:rPr>
        <w:t>3</w:t>
      </w:r>
      <w:r w:rsidRPr="00375BFD">
        <w:rPr>
          <w:b/>
          <w:i/>
        </w:rPr>
        <w:t xml:space="preserve"> </w:t>
      </w:r>
      <w:r w:rsidR="005F1939" w:rsidRPr="00375BFD">
        <w:rPr>
          <w:b/>
          <w:i/>
        </w:rPr>
        <w:t xml:space="preserve">- </w:t>
      </w:r>
      <w:r w:rsidR="00871D58" w:rsidRPr="00375BFD">
        <w:rPr>
          <w:b/>
          <w:i/>
        </w:rPr>
        <w:t>Un objectif politique :</w:t>
      </w:r>
      <w:r w:rsidR="00871D58" w:rsidRPr="00375BFD">
        <w:t xml:space="preserve"> le programme intervient à un moment où l’Accord Politique du 6 février</w:t>
      </w:r>
      <w:r w:rsidR="004E40F4" w:rsidRPr="00375BFD">
        <w:t xml:space="preserve"> 2019</w:t>
      </w:r>
      <w:r w:rsidR="00871D58" w:rsidRPr="00375BFD">
        <w:t xml:space="preserve">, pour </w:t>
      </w:r>
      <w:r w:rsidR="00EF3435" w:rsidRPr="00375BFD">
        <w:t>maintenir</w:t>
      </w:r>
      <w:r w:rsidR="00871D58" w:rsidRPr="00375BFD">
        <w:t xml:space="preserve"> l’adhésion</w:t>
      </w:r>
      <w:r w:rsidR="00EF3435" w:rsidRPr="00375BFD">
        <w:t xml:space="preserve"> et satisfaire les immenses espoirs suscités</w:t>
      </w:r>
      <w:r w:rsidR="00871D58" w:rsidRPr="00375BFD">
        <w:t>, doit s’accompagner de dividendes de la paix tangibles pour les populations</w:t>
      </w:r>
      <w:r w:rsidR="00EF3435" w:rsidRPr="00375BFD">
        <w:t xml:space="preserve"> qui ont accordé de nombreuses concessions</w:t>
      </w:r>
      <w:r w:rsidR="00871D58" w:rsidRPr="00375BFD">
        <w:t>. En répondant à ce besoin pressant pour les populations de disposer de documents d’identité, le programme contribuera à la durabilité de l’Accord</w:t>
      </w:r>
      <w:r w:rsidR="003D1DA0" w:rsidRPr="00375BFD">
        <w:t>, qui prévoit des mesures pour reconstruire un état civil sans replis identitaires ou géographiques</w:t>
      </w:r>
      <w:r w:rsidR="00871D58" w:rsidRPr="00375BFD">
        <w:t>. En matière de visibilité de l’aide, le programme devra s’assurer que l’effort de l’Union européenne n’est ignoré ni des populations centrafricaines ni des contribuables européens.</w:t>
      </w:r>
    </w:p>
    <w:p w14:paraId="7F9B7DFD" w14:textId="77777777" w:rsidR="00C9121B" w:rsidRPr="00CB6495" w:rsidRDefault="00C9121B" w:rsidP="00871D58">
      <w:pPr>
        <w:widowControl w:val="0"/>
        <w:autoSpaceDE w:val="0"/>
        <w:autoSpaceDN w:val="0"/>
        <w:adjustRightInd w:val="0"/>
        <w:spacing w:after="0"/>
      </w:pPr>
    </w:p>
    <w:p w14:paraId="3EE05FBE" w14:textId="77777777" w:rsidR="00FB48C1" w:rsidRPr="00CB6495" w:rsidRDefault="00360C69" w:rsidP="00063246">
      <w:pPr>
        <w:pStyle w:val="Heading2"/>
        <w:numPr>
          <w:ilvl w:val="0"/>
          <w:numId w:val="0"/>
        </w:numPr>
        <w:spacing w:after="0"/>
      </w:pPr>
      <w:r w:rsidRPr="00CB6495">
        <w:t>6</w:t>
      </w:r>
      <w:r w:rsidR="001A54EB" w:rsidRPr="00CB6495">
        <w:t xml:space="preserve">. </w:t>
      </w:r>
      <w:r w:rsidR="003435BA" w:rsidRPr="00CB6495">
        <w:t>Les résultats escompt</w:t>
      </w:r>
      <w:r w:rsidR="00EF3435" w:rsidRPr="00CB6495">
        <w:t>é</w:t>
      </w:r>
      <w:r w:rsidR="003435BA" w:rsidRPr="00CB6495">
        <w:t>s et principales activités</w:t>
      </w:r>
    </w:p>
    <w:p w14:paraId="40C5C561" w14:textId="77777777" w:rsidR="003236B9" w:rsidRPr="00CB6495" w:rsidRDefault="003236B9" w:rsidP="003236B9">
      <w:pPr>
        <w:pStyle w:val="Text2"/>
        <w:spacing w:after="0"/>
      </w:pPr>
    </w:p>
    <w:p w14:paraId="7E31ED68" w14:textId="005664A2" w:rsidR="001A54EB" w:rsidRPr="00CB6495" w:rsidRDefault="001A54EB" w:rsidP="00063246">
      <w:pPr>
        <w:pStyle w:val="Text2"/>
        <w:spacing w:after="0"/>
        <w:ind w:left="0"/>
      </w:pPr>
      <w:r w:rsidRPr="00CB6495">
        <w:t xml:space="preserve">Le cadre d’intervention du présent </w:t>
      </w:r>
      <w:r w:rsidR="00111203" w:rsidRPr="00CB6495">
        <w:t>AMI</w:t>
      </w:r>
      <w:r w:rsidRPr="00CB6495">
        <w:t xml:space="preserve"> s’articule</w:t>
      </w:r>
      <w:r w:rsidR="00790D8C" w:rsidRPr="00CB6495">
        <w:t>ra</w:t>
      </w:r>
      <w:r w:rsidRPr="00CB6495">
        <w:t xml:space="preserve"> </w:t>
      </w:r>
      <w:r w:rsidR="00790D8C" w:rsidRPr="00CB6495">
        <w:t>autour de</w:t>
      </w:r>
      <w:r w:rsidR="00F84C5F" w:rsidRPr="00CB6495">
        <w:t xml:space="preserve"> deux grandes composantes : </w:t>
      </w:r>
    </w:p>
    <w:p w14:paraId="5C6DA072" w14:textId="77777777" w:rsidR="00C56318" w:rsidRPr="00CB6495" w:rsidRDefault="00C56318" w:rsidP="00063246">
      <w:pPr>
        <w:pStyle w:val="Text2"/>
        <w:spacing w:after="0"/>
        <w:ind w:left="0"/>
      </w:pPr>
    </w:p>
    <w:p w14:paraId="74B12461" w14:textId="77777777" w:rsidR="00EE7073" w:rsidRPr="00CB6495" w:rsidRDefault="00EE7073" w:rsidP="001F0B6B">
      <w:pPr>
        <w:spacing w:after="0"/>
        <w:ind w:left="426"/>
        <w:rPr>
          <w:b/>
          <w:lang w:eastAsia="en-GB"/>
        </w:rPr>
      </w:pPr>
      <w:r w:rsidRPr="00A403BB">
        <w:rPr>
          <w:b/>
          <w:lang w:eastAsia="en-GB"/>
        </w:rPr>
        <w:t>1</w:t>
      </w:r>
      <w:r w:rsidR="005F1939" w:rsidRPr="00A403BB">
        <w:rPr>
          <w:b/>
          <w:lang w:eastAsia="en-GB"/>
        </w:rPr>
        <w:t>)</w:t>
      </w:r>
      <w:r w:rsidRPr="00CB6495">
        <w:rPr>
          <w:b/>
          <w:lang w:eastAsia="en-GB"/>
        </w:rPr>
        <w:t xml:space="preserve"> </w:t>
      </w:r>
      <w:r w:rsidR="00EF3435" w:rsidRPr="00CB6495">
        <w:rPr>
          <w:b/>
          <w:lang w:eastAsia="en-GB"/>
        </w:rPr>
        <w:t xml:space="preserve">Au niveau institutionnel : </w:t>
      </w:r>
      <w:r w:rsidRPr="00CB6495">
        <w:rPr>
          <w:b/>
          <w:lang w:eastAsia="en-GB"/>
        </w:rPr>
        <w:t xml:space="preserve">Améliorer </w:t>
      </w:r>
      <w:r w:rsidR="00EF3435" w:rsidRPr="00CB6495">
        <w:rPr>
          <w:b/>
          <w:lang w:eastAsia="en-GB"/>
        </w:rPr>
        <w:t>la</w:t>
      </w:r>
      <w:r w:rsidRPr="00CB6495">
        <w:rPr>
          <w:b/>
          <w:lang w:eastAsia="en-GB"/>
        </w:rPr>
        <w:t xml:space="preserve"> gouvernance de l’état</w:t>
      </w:r>
      <w:r w:rsidR="00EF3435" w:rsidRPr="00CB6495">
        <w:rPr>
          <w:b/>
          <w:lang w:eastAsia="en-GB"/>
        </w:rPr>
        <w:t>-</w:t>
      </w:r>
      <w:r w:rsidRPr="00CB6495">
        <w:rPr>
          <w:b/>
          <w:lang w:eastAsia="en-GB"/>
        </w:rPr>
        <w:t>civil</w:t>
      </w:r>
      <w:r w:rsidR="00F84C5F" w:rsidRPr="00CB6495">
        <w:rPr>
          <w:b/>
          <w:lang w:eastAsia="en-GB"/>
        </w:rPr>
        <w:t xml:space="preserve"> et son cadre </w:t>
      </w:r>
      <w:r w:rsidR="007E37B0" w:rsidRPr="00CB6495">
        <w:rPr>
          <w:b/>
          <w:lang w:eastAsia="en-GB"/>
        </w:rPr>
        <w:t>normatif</w:t>
      </w:r>
    </w:p>
    <w:p w14:paraId="4ACD9DD1" w14:textId="77777777" w:rsidR="00F84C5F" w:rsidRPr="00CB6495" w:rsidRDefault="00F84C5F" w:rsidP="00063246">
      <w:pPr>
        <w:spacing w:after="0"/>
      </w:pPr>
    </w:p>
    <w:p w14:paraId="4D2C2913" w14:textId="59E6AD5F" w:rsidR="00F84C5F" w:rsidRPr="00CB6495" w:rsidRDefault="00F84C5F" w:rsidP="00063246">
      <w:pPr>
        <w:spacing w:after="0"/>
        <w:rPr>
          <w:b/>
          <w:lang w:eastAsia="en-GB"/>
        </w:rPr>
      </w:pPr>
      <w:r w:rsidRPr="00CB6495">
        <w:lastRenderedPageBreak/>
        <w:t>La composante institutionnelle du Programme sera menée à la fois par une activité de conseil auprès des praticiens et des techniciens de l’état-civil et surtout des hauts fonctionnaires du MAT</w:t>
      </w:r>
      <w:r w:rsidR="004E40F4" w:rsidRPr="00CB6495">
        <w:t>D</w:t>
      </w:r>
      <w:r w:rsidRPr="00CB6495">
        <w:t xml:space="preserve"> et des ministères chargés de l’Enseignement, et par un appui à la Délégation de l’Union européenne dans la mise en œuvre d’un dialogue politique avec le gouvernement centrafricain pour dynamiser les nécessaires réformes.</w:t>
      </w:r>
    </w:p>
    <w:p w14:paraId="3230A90D" w14:textId="77777777" w:rsidR="007D3CC0" w:rsidRPr="00CB6495" w:rsidRDefault="007D3CC0" w:rsidP="00063246">
      <w:pPr>
        <w:spacing w:after="0"/>
      </w:pPr>
    </w:p>
    <w:p w14:paraId="61442772" w14:textId="66D2055A" w:rsidR="002B7A58" w:rsidRPr="00CB6495" w:rsidRDefault="00F84C5F" w:rsidP="00063246">
      <w:pPr>
        <w:spacing w:after="0"/>
      </w:pPr>
      <w:r w:rsidRPr="00CB6495">
        <w:t>Sous cette composante, l</w:t>
      </w:r>
      <w:r w:rsidR="007D3CC0" w:rsidRPr="00CB6495">
        <w:t>es activités proposées</w:t>
      </w:r>
      <w:r w:rsidRPr="00CB6495">
        <w:t xml:space="preserve"> (liste non exhaustive) par le partenaire de mise en œuvre chercheront à obtenir ou à réaliser</w:t>
      </w:r>
      <w:r w:rsidR="007D3CC0" w:rsidRPr="00CB6495">
        <w:t>:</w:t>
      </w:r>
      <w:r w:rsidRPr="00CB6495">
        <w:t xml:space="preserve"> </w:t>
      </w:r>
    </w:p>
    <w:p w14:paraId="0EAA341B" w14:textId="3394AA56" w:rsidR="002B7A58" w:rsidRPr="00CB6495" w:rsidRDefault="0001026C" w:rsidP="002B7A58">
      <w:pPr>
        <w:pStyle w:val="ListParagraph"/>
        <w:numPr>
          <w:ilvl w:val="0"/>
          <w:numId w:val="30"/>
        </w:numPr>
        <w:spacing w:after="0"/>
        <w:rPr>
          <w:b w:val="0"/>
          <w:sz w:val="24"/>
        </w:rPr>
      </w:pPr>
      <w:r>
        <w:rPr>
          <w:b w:val="0"/>
          <w:sz w:val="24"/>
        </w:rPr>
        <w:t xml:space="preserve">un </w:t>
      </w:r>
      <w:r w:rsidR="002B7A58" w:rsidRPr="00CB6495">
        <w:rPr>
          <w:b w:val="0"/>
          <w:sz w:val="24"/>
        </w:rPr>
        <w:t>appui au pilotage stratégique de l'état civil et à l'élaboration d'une politique nationale d'état civil et de gestion de l'identité ;</w:t>
      </w:r>
    </w:p>
    <w:p w14:paraId="1DF4698B" w14:textId="3CE45034" w:rsidR="002B7A58" w:rsidRPr="00CB6495" w:rsidRDefault="0001026C" w:rsidP="002B7A58">
      <w:pPr>
        <w:pStyle w:val="ListParagraph"/>
        <w:numPr>
          <w:ilvl w:val="0"/>
          <w:numId w:val="30"/>
        </w:numPr>
        <w:spacing w:after="0"/>
        <w:rPr>
          <w:b w:val="0"/>
          <w:sz w:val="24"/>
        </w:rPr>
      </w:pPr>
      <w:r>
        <w:rPr>
          <w:b w:val="0"/>
          <w:sz w:val="24"/>
        </w:rPr>
        <w:t xml:space="preserve">un </w:t>
      </w:r>
      <w:r w:rsidR="002B7A58" w:rsidRPr="00CB6495">
        <w:rPr>
          <w:b w:val="0"/>
          <w:sz w:val="24"/>
        </w:rPr>
        <w:t>appui à la révision des textes régissant l'état civil ;</w:t>
      </w:r>
    </w:p>
    <w:p w14:paraId="0C4E83CD" w14:textId="3CBA477F" w:rsidR="00F84C5F" w:rsidRPr="00CB6495" w:rsidRDefault="00F84C5F" w:rsidP="003236B9">
      <w:pPr>
        <w:pStyle w:val="ListParagraph"/>
        <w:numPr>
          <w:ilvl w:val="0"/>
          <w:numId w:val="26"/>
        </w:numPr>
        <w:spacing w:after="0"/>
        <w:rPr>
          <w:b w:val="0"/>
          <w:sz w:val="24"/>
        </w:rPr>
      </w:pPr>
      <w:r w:rsidRPr="00CB6495">
        <w:rPr>
          <w:b w:val="0"/>
          <w:sz w:val="24"/>
        </w:rPr>
        <w:t xml:space="preserve">la simplification des procédures afin de limiter les déplacements des </w:t>
      </w:r>
      <w:r w:rsidR="00980CE4" w:rsidRPr="00CB6495">
        <w:rPr>
          <w:b w:val="0"/>
          <w:sz w:val="24"/>
        </w:rPr>
        <w:t xml:space="preserve">parents, le coût et délai d'obtention </w:t>
      </w:r>
      <w:r w:rsidR="0086335B" w:rsidRPr="00CB6495">
        <w:rPr>
          <w:b w:val="0"/>
          <w:sz w:val="24"/>
        </w:rPr>
        <w:t>de la déclaration de naissance</w:t>
      </w:r>
      <w:r w:rsidR="0001026C">
        <w:rPr>
          <w:b w:val="0"/>
          <w:sz w:val="24"/>
        </w:rPr>
        <w:t xml:space="preserve"> puis de l’acte de naissance</w:t>
      </w:r>
      <w:r w:rsidR="0086335B" w:rsidRPr="00CB6495">
        <w:rPr>
          <w:b w:val="0"/>
          <w:sz w:val="24"/>
        </w:rPr>
        <w:t xml:space="preserve"> et toute autre démarche en relation avec l'état civil</w:t>
      </w:r>
      <w:r w:rsidRPr="00CB6495">
        <w:rPr>
          <w:b w:val="0"/>
          <w:sz w:val="24"/>
        </w:rPr>
        <w:t xml:space="preserve">; </w:t>
      </w:r>
    </w:p>
    <w:p w14:paraId="1808D4F4" w14:textId="20E339B6" w:rsidR="002B7A58" w:rsidRPr="00CB6495" w:rsidRDefault="0001026C" w:rsidP="002B7A58">
      <w:pPr>
        <w:pStyle w:val="ListParagraph"/>
        <w:numPr>
          <w:ilvl w:val="0"/>
          <w:numId w:val="26"/>
        </w:numPr>
        <w:spacing w:after="0"/>
        <w:rPr>
          <w:b w:val="0"/>
          <w:sz w:val="24"/>
        </w:rPr>
      </w:pPr>
      <w:r>
        <w:rPr>
          <w:b w:val="0"/>
          <w:sz w:val="24"/>
        </w:rPr>
        <w:t xml:space="preserve">une </w:t>
      </w:r>
      <w:r w:rsidR="002B7A58" w:rsidRPr="00CB6495">
        <w:rPr>
          <w:b w:val="0"/>
          <w:sz w:val="24"/>
        </w:rPr>
        <w:t>cartographie de l'état civil</w:t>
      </w:r>
      <w:r>
        <w:rPr>
          <w:b w:val="0"/>
          <w:sz w:val="24"/>
        </w:rPr>
        <w:t xml:space="preserve"> associées à </w:t>
      </w:r>
      <w:r w:rsidRPr="00CB6495">
        <w:rPr>
          <w:b w:val="0"/>
          <w:sz w:val="24"/>
          <w:lang w:eastAsia="en-GB"/>
        </w:rPr>
        <w:t>une démarche gouvernementale d’inventaire de l’état-civil (portant sur l’état des infrastructures et des équipements, le personnel</w:t>
      </w:r>
      <w:r w:rsidRPr="0081339C">
        <w:rPr>
          <w:b w:val="0"/>
          <w:sz w:val="24"/>
          <w:lang w:eastAsia="en-GB"/>
        </w:rPr>
        <w:t>, l’état des stocks d’archives</w:t>
      </w:r>
      <w:r w:rsidRPr="00345E87">
        <w:rPr>
          <w:b w:val="0"/>
          <w:sz w:val="24"/>
          <w:lang w:eastAsia="en-GB"/>
        </w:rPr>
        <w:t>) </w:t>
      </w:r>
      <w:r w:rsidR="002B7A58" w:rsidRPr="00CB6495">
        <w:rPr>
          <w:b w:val="0"/>
          <w:sz w:val="24"/>
        </w:rPr>
        <w:t>;</w:t>
      </w:r>
    </w:p>
    <w:p w14:paraId="3B230127" w14:textId="77777777" w:rsidR="00F84C5F" w:rsidRPr="00CB6495" w:rsidRDefault="00F84C5F" w:rsidP="003236B9">
      <w:pPr>
        <w:pStyle w:val="ListParagraph"/>
        <w:numPr>
          <w:ilvl w:val="0"/>
          <w:numId w:val="26"/>
        </w:numPr>
        <w:spacing w:after="0"/>
        <w:rPr>
          <w:b w:val="0"/>
          <w:sz w:val="24"/>
        </w:rPr>
      </w:pPr>
      <w:r w:rsidRPr="00CB6495">
        <w:rPr>
          <w:b w:val="0"/>
          <w:sz w:val="24"/>
        </w:rPr>
        <w:t xml:space="preserve">la mise en place d’un mécanisme de contrôle qualité mesurant le volume et le temps d’attribution des actes de naissance ; </w:t>
      </w:r>
    </w:p>
    <w:p w14:paraId="48EFF90E" w14:textId="69577CAE" w:rsidR="00F84C5F" w:rsidRPr="00CB6495" w:rsidRDefault="00F84C5F" w:rsidP="003236B9">
      <w:pPr>
        <w:pStyle w:val="ListParagraph"/>
        <w:numPr>
          <w:ilvl w:val="0"/>
          <w:numId w:val="26"/>
        </w:numPr>
        <w:spacing w:after="0"/>
        <w:jc w:val="left"/>
        <w:rPr>
          <w:b w:val="0"/>
          <w:sz w:val="24"/>
          <w:lang w:eastAsia="en-GB"/>
        </w:rPr>
      </w:pPr>
      <w:r w:rsidRPr="00CB6495">
        <w:rPr>
          <w:b w:val="0"/>
          <w:sz w:val="24"/>
          <w:lang w:val="fr-ML" w:eastAsia="en-GB"/>
        </w:rPr>
        <w:t xml:space="preserve">l’appui </w:t>
      </w:r>
      <w:r w:rsidR="004E40F4" w:rsidRPr="00CB6495">
        <w:rPr>
          <w:b w:val="0"/>
          <w:sz w:val="24"/>
          <w:lang w:val="fr-ML" w:eastAsia="en-GB"/>
        </w:rPr>
        <w:t xml:space="preserve">au MATD et </w:t>
      </w:r>
      <w:r w:rsidRPr="00CB6495">
        <w:rPr>
          <w:b w:val="0"/>
          <w:sz w:val="24"/>
          <w:lang w:val="fr-ML" w:eastAsia="en-GB"/>
        </w:rPr>
        <w:t xml:space="preserve">à la PPECA dans </w:t>
      </w:r>
      <w:r w:rsidR="0001026C">
        <w:rPr>
          <w:b w:val="0"/>
          <w:sz w:val="24"/>
          <w:lang w:val="fr-ML" w:eastAsia="en-GB"/>
        </w:rPr>
        <w:t>leur</w:t>
      </w:r>
      <w:r w:rsidR="0001026C" w:rsidRPr="00CB6495">
        <w:rPr>
          <w:b w:val="0"/>
          <w:sz w:val="24"/>
          <w:lang w:val="fr-ML" w:eastAsia="en-GB"/>
        </w:rPr>
        <w:t xml:space="preserve"> </w:t>
      </w:r>
      <w:r w:rsidRPr="00CB6495">
        <w:rPr>
          <w:b w:val="0"/>
          <w:sz w:val="24"/>
          <w:lang w:val="fr-ML" w:eastAsia="en-GB"/>
        </w:rPr>
        <w:t>travail de coordination des intervenants (partenaires et pouvoirs publics</w:t>
      </w:r>
      <w:r w:rsidR="00B62651" w:rsidRPr="00CB6495">
        <w:rPr>
          <w:b w:val="0"/>
          <w:sz w:val="24"/>
          <w:lang w:val="fr-ML" w:eastAsia="en-GB"/>
        </w:rPr>
        <w:t>)</w:t>
      </w:r>
      <w:r w:rsidRPr="00CB6495">
        <w:rPr>
          <w:b w:val="0"/>
          <w:sz w:val="24"/>
          <w:lang w:val="fr-ML" w:eastAsia="en-GB"/>
        </w:rPr>
        <w:t> ;</w:t>
      </w:r>
      <w:r w:rsidRPr="00CB6495">
        <w:rPr>
          <w:b w:val="0"/>
          <w:sz w:val="24"/>
          <w:lang w:eastAsia="en-GB"/>
        </w:rPr>
        <w:t xml:space="preserve"> </w:t>
      </w:r>
    </w:p>
    <w:p w14:paraId="3932574B" w14:textId="77777777" w:rsidR="00572E0F" w:rsidRPr="00CB6495" w:rsidRDefault="00572E0F" w:rsidP="003236B9">
      <w:pPr>
        <w:pStyle w:val="ListParagraph"/>
        <w:numPr>
          <w:ilvl w:val="0"/>
          <w:numId w:val="26"/>
        </w:numPr>
        <w:spacing w:after="0"/>
        <w:jc w:val="left"/>
        <w:rPr>
          <w:b w:val="0"/>
          <w:sz w:val="24"/>
          <w:lang w:eastAsia="en-GB"/>
        </w:rPr>
      </w:pPr>
      <w:r w:rsidRPr="00CB6495">
        <w:rPr>
          <w:b w:val="0"/>
          <w:sz w:val="24"/>
          <w:lang w:eastAsia="en-GB"/>
        </w:rPr>
        <w:t>une démarche gouvernementale</w:t>
      </w:r>
      <w:r w:rsidR="00F84C5F" w:rsidRPr="00CB6495">
        <w:rPr>
          <w:b w:val="0"/>
          <w:sz w:val="24"/>
          <w:lang w:eastAsia="en-GB"/>
        </w:rPr>
        <w:t xml:space="preserve"> d’identification et de régularisation des enfants scolarisés démunis d’acte de naissance</w:t>
      </w:r>
      <w:r w:rsidRPr="00CB6495">
        <w:rPr>
          <w:b w:val="0"/>
          <w:sz w:val="24"/>
          <w:lang w:eastAsia="en-GB"/>
        </w:rPr>
        <w:t xml:space="preserve"> ; </w:t>
      </w:r>
    </w:p>
    <w:p w14:paraId="5B4B9D7A" w14:textId="77777777" w:rsidR="0034147D" w:rsidRPr="00CB6495" w:rsidRDefault="00572E0F" w:rsidP="003236B9">
      <w:pPr>
        <w:pStyle w:val="ListParagraph"/>
        <w:numPr>
          <w:ilvl w:val="0"/>
          <w:numId w:val="26"/>
        </w:numPr>
        <w:spacing w:after="0"/>
        <w:jc w:val="left"/>
        <w:rPr>
          <w:b w:val="0"/>
          <w:sz w:val="24"/>
          <w:lang w:eastAsia="en-GB"/>
        </w:rPr>
      </w:pPr>
      <w:r w:rsidRPr="00CB6495">
        <w:rPr>
          <w:b w:val="0"/>
          <w:sz w:val="24"/>
          <w:lang w:eastAsia="en-GB"/>
        </w:rPr>
        <w:t>une démarche gouvernementale d’inventaire de l’état-civil (portant sur l’état des infrastructures et des équipements, le personnel</w:t>
      </w:r>
      <w:r w:rsidRPr="0064401C">
        <w:rPr>
          <w:b w:val="0"/>
          <w:sz w:val="24"/>
          <w:u w:val="single"/>
          <w:lang w:eastAsia="en-GB"/>
        </w:rPr>
        <w:t>, l’état des stocks d’archives</w:t>
      </w:r>
      <w:r w:rsidRPr="00CB6495">
        <w:rPr>
          <w:b w:val="0"/>
          <w:sz w:val="24"/>
          <w:lang w:eastAsia="en-GB"/>
        </w:rPr>
        <w:t>) ;</w:t>
      </w:r>
      <w:r w:rsidR="0034147D" w:rsidRPr="00CB6495">
        <w:rPr>
          <w:b w:val="0"/>
          <w:sz w:val="24"/>
          <w:lang w:eastAsia="en-GB"/>
        </w:rPr>
        <w:t xml:space="preserve"> </w:t>
      </w:r>
    </w:p>
    <w:p w14:paraId="7EE54B3A" w14:textId="6F4E69E6" w:rsidR="00572E0F" w:rsidRPr="00CB6495" w:rsidRDefault="0034147D" w:rsidP="003236B9">
      <w:pPr>
        <w:pStyle w:val="ListParagraph"/>
        <w:numPr>
          <w:ilvl w:val="0"/>
          <w:numId w:val="26"/>
        </w:numPr>
        <w:spacing w:after="0"/>
        <w:jc w:val="left"/>
        <w:rPr>
          <w:b w:val="0"/>
          <w:sz w:val="24"/>
          <w:lang w:eastAsia="en-GB"/>
        </w:rPr>
      </w:pPr>
      <w:r w:rsidRPr="00CB6495">
        <w:rPr>
          <w:b w:val="0"/>
          <w:sz w:val="24"/>
          <w:lang w:eastAsia="en-GB"/>
        </w:rPr>
        <w:t xml:space="preserve">si nécessaire, en accord avec la Délégation de l’Union européenne, </w:t>
      </w:r>
      <w:r w:rsidR="0086335B" w:rsidRPr="00CB6495">
        <w:rPr>
          <w:b w:val="0"/>
          <w:sz w:val="24"/>
          <w:lang w:eastAsia="en-GB"/>
        </w:rPr>
        <w:t>réalisation</w:t>
      </w:r>
      <w:r w:rsidRPr="00CB6495">
        <w:rPr>
          <w:b w:val="0"/>
          <w:sz w:val="24"/>
          <w:lang w:eastAsia="en-GB"/>
        </w:rPr>
        <w:t xml:space="preserve"> </w:t>
      </w:r>
      <w:r w:rsidR="0086335B" w:rsidRPr="00CB6495">
        <w:rPr>
          <w:b w:val="0"/>
          <w:sz w:val="24"/>
          <w:lang w:eastAsia="en-GB"/>
        </w:rPr>
        <w:t>d'</w:t>
      </w:r>
      <w:r w:rsidRPr="00CB6495">
        <w:rPr>
          <w:b w:val="0"/>
          <w:sz w:val="24"/>
          <w:lang w:eastAsia="en-GB"/>
        </w:rPr>
        <w:t>études spécifiques</w:t>
      </w:r>
      <w:r w:rsidRPr="00CB6495">
        <w:rPr>
          <w:b w:val="0"/>
          <w:sz w:val="24"/>
          <w:lang w:val="fr-ML" w:eastAsia="en-GB"/>
        </w:rPr>
        <w:t>;</w:t>
      </w:r>
      <w:r w:rsidR="0088161F">
        <w:rPr>
          <w:b w:val="0"/>
          <w:sz w:val="24"/>
          <w:lang w:val="fr-ML" w:eastAsia="en-GB"/>
        </w:rPr>
        <w:t xml:space="preserve"> ces études pourraient cibler, entre autres, les femmes,</w:t>
      </w:r>
      <w:r w:rsidR="00334072">
        <w:rPr>
          <w:b w:val="0"/>
          <w:sz w:val="24"/>
          <w:lang w:val="fr-ML" w:eastAsia="en-GB"/>
        </w:rPr>
        <w:t xml:space="preserve"> les jeunes,</w:t>
      </w:r>
      <w:r w:rsidR="0088161F">
        <w:rPr>
          <w:b w:val="0"/>
          <w:sz w:val="24"/>
          <w:lang w:val="fr-ML" w:eastAsia="en-GB"/>
        </w:rPr>
        <w:t xml:space="preserve"> les déplacés internes et les r</w:t>
      </w:r>
      <w:r w:rsidR="00334072">
        <w:rPr>
          <w:b w:val="0"/>
          <w:sz w:val="24"/>
          <w:lang w:val="fr-ML" w:eastAsia="en-GB"/>
        </w:rPr>
        <w:t>é</w:t>
      </w:r>
      <w:r w:rsidR="0088161F">
        <w:rPr>
          <w:b w:val="0"/>
          <w:sz w:val="24"/>
          <w:lang w:val="fr-ML" w:eastAsia="en-GB"/>
        </w:rPr>
        <w:t>fugiés</w:t>
      </w:r>
      <w:r w:rsidR="00C302F7">
        <w:rPr>
          <w:b w:val="0"/>
          <w:sz w:val="24"/>
          <w:lang w:val="fr-ML" w:eastAsia="en-GB"/>
        </w:rPr>
        <w:t> ;</w:t>
      </w:r>
    </w:p>
    <w:p w14:paraId="06F0BE6C" w14:textId="77777777" w:rsidR="00F84C5F" w:rsidRPr="00CB6495" w:rsidRDefault="00F84C5F" w:rsidP="003236B9">
      <w:pPr>
        <w:pStyle w:val="ListParagraph"/>
        <w:numPr>
          <w:ilvl w:val="0"/>
          <w:numId w:val="26"/>
        </w:numPr>
        <w:spacing w:after="0"/>
        <w:rPr>
          <w:b w:val="0"/>
          <w:sz w:val="24"/>
          <w:lang w:val="fr-ML" w:eastAsia="en-GB"/>
        </w:rPr>
      </w:pPr>
      <w:r w:rsidRPr="00CB6495">
        <w:rPr>
          <w:b w:val="0"/>
          <w:sz w:val="24"/>
        </w:rPr>
        <w:t>tout autre mesure favorisant la conduite et la gestion de l’état-civil au bénéfice des citoyens.</w:t>
      </w:r>
    </w:p>
    <w:p w14:paraId="5CC5F1ED" w14:textId="3B3D9C9D" w:rsidR="00EE7073" w:rsidRPr="00CB6495" w:rsidRDefault="00EE7073" w:rsidP="006C49D6">
      <w:pPr>
        <w:spacing w:after="0"/>
        <w:ind w:left="720"/>
        <w:rPr>
          <w:lang w:val="fr-ML" w:eastAsia="en-GB"/>
        </w:rPr>
      </w:pPr>
    </w:p>
    <w:p w14:paraId="73A58252" w14:textId="76035969" w:rsidR="00EE7073" w:rsidRPr="00CB6495" w:rsidRDefault="00EE7073" w:rsidP="001F0B6B">
      <w:pPr>
        <w:spacing w:after="0"/>
        <w:ind w:left="426"/>
        <w:rPr>
          <w:b/>
          <w:lang w:eastAsia="en-GB"/>
        </w:rPr>
      </w:pPr>
      <w:r w:rsidRPr="00A403BB">
        <w:rPr>
          <w:b/>
          <w:lang w:eastAsia="en-GB"/>
        </w:rPr>
        <w:t>2</w:t>
      </w:r>
      <w:r w:rsidR="005F1939" w:rsidRPr="00A403BB">
        <w:rPr>
          <w:b/>
          <w:lang w:eastAsia="en-GB"/>
        </w:rPr>
        <w:t>)</w:t>
      </w:r>
      <w:r w:rsidRPr="00CB6495">
        <w:rPr>
          <w:b/>
          <w:lang w:eastAsia="en-GB"/>
        </w:rPr>
        <w:t xml:space="preserve"> A</w:t>
      </w:r>
      <w:r w:rsidR="0034147D" w:rsidRPr="00CB6495">
        <w:rPr>
          <w:b/>
          <w:lang w:eastAsia="en-GB"/>
        </w:rPr>
        <w:t xml:space="preserve">u niveau des populations : </w:t>
      </w:r>
      <w:r w:rsidR="007E37B0" w:rsidRPr="00CB6495">
        <w:rPr>
          <w:b/>
          <w:lang w:eastAsia="en-GB"/>
        </w:rPr>
        <w:t>produire des actes de naissance pour des populations parmi les plus défavorisées ou exclues</w:t>
      </w:r>
    </w:p>
    <w:p w14:paraId="2F858019" w14:textId="77777777" w:rsidR="00934151" w:rsidRPr="00CB6495" w:rsidRDefault="00934151" w:rsidP="00063246">
      <w:pPr>
        <w:spacing w:after="0"/>
        <w:rPr>
          <w:b/>
          <w:lang w:eastAsia="en-GB"/>
        </w:rPr>
      </w:pPr>
    </w:p>
    <w:p w14:paraId="678E3584" w14:textId="77777777" w:rsidR="00234C4A" w:rsidRPr="00CB6495" w:rsidRDefault="007E37B0" w:rsidP="0064401C">
      <w:pPr>
        <w:spacing w:after="0"/>
        <w:ind w:firstLine="360"/>
      </w:pPr>
      <w:r w:rsidRPr="00CB6495">
        <w:t>Cette</w:t>
      </w:r>
      <w:r w:rsidR="0034147D" w:rsidRPr="00CB6495">
        <w:t xml:space="preserve"> </w:t>
      </w:r>
      <w:r w:rsidRPr="00CB6495">
        <w:t>composante est destinée à</w:t>
      </w:r>
      <w:r w:rsidR="00234C4A" w:rsidRPr="00CB6495">
        <w:t> :</w:t>
      </w:r>
    </w:p>
    <w:p w14:paraId="08075EE9" w14:textId="5C571E70" w:rsidR="007E37B0" w:rsidRPr="00CB6495" w:rsidRDefault="00234C4A" w:rsidP="00234C4A">
      <w:pPr>
        <w:pStyle w:val="ListParagraph"/>
        <w:numPr>
          <w:ilvl w:val="0"/>
          <w:numId w:val="31"/>
        </w:numPr>
        <w:spacing w:after="0"/>
        <w:rPr>
          <w:b w:val="0"/>
          <w:sz w:val="24"/>
        </w:rPr>
      </w:pPr>
      <w:r w:rsidRPr="00CB6495">
        <w:rPr>
          <w:b w:val="0"/>
          <w:sz w:val="24"/>
        </w:rPr>
        <w:t>C</w:t>
      </w:r>
      <w:r w:rsidR="007E37B0" w:rsidRPr="00CB6495">
        <w:rPr>
          <w:b w:val="0"/>
          <w:sz w:val="24"/>
        </w:rPr>
        <w:t>réer les conditions d’un service immédiat aux populations. La</w:t>
      </w:r>
      <w:r w:rsidR="0034147D" w:rsidRPr="00CB6495">
        <w:rPr>
          <w:b w:val="0"/>
          <w:sz w:val="24"/>
        </w:rPr>
        <w:t xml:space="preserve"> technique de l’audience foraine</w:t>
      </w:r>
      <w:r w:rsidR="007E37B0" w:rsidRPr="00CB6495">
        <w:rPr>
          <w:b w:val="0"/>
          <w:sz w:val="24"/>
        </w:rPr>
        <w:t xml:space="preserve"> </w:t>
      </w:r>
      <w:r w:rsidRPr="00CB6495">
        <w:rPr>
          <w:b w:val="0"/>
          <w:sz w:val="24"/>
        </w:rPr>
        <w:t>peut être retenue et améliorée</w:t>
      </w:r>
      <w:r w:rsidR="0056396C">
        <w:rPr>
          <w:b w:val="0"/>
          <w:sz w:val="24"/>
        </w:rPr>
        <w:t xml:space="preserve">, notamment par </w:t>
      </w:r>
      <w:r w:rsidR="0001026C">
        <w:rPr>
          <w:b w:val="0"/>
          <w:sz w:val="24"/>
        </w:rPr>
        <w:t>des mesures de protection des documents émis (enregistrement numérique des actes émis, et constitution d’une base de données)</w:t>
      </w:r>
      <w:r w:rsidRPr="00CB6495">
        <w:rPr>
          <w:b w:val="0"/>
          <w:sz w:val="24"/>
        </w:rPr>
        <w:t>. </w:t>
      </w:r>
      <w:r w:rsidR="007E37B0" w:rsidRPr="00CB6495">
        <w:rPr>
          <w:b w:val="0"/>
          <w:sz w:val="24"/>
        </w:rPr>
        <w:t>La méthodologie proposée</w:t>
      </w:r>
      <w:r w:rsidR="00815A17" w:rsidRPr="00CB6495">
        <w:rPr>
          <w:b w:val="0"/>
          <w:sz w:val="24"/>
        </w:rPr>
        <w:t xml:space="preserve"> (audiences foraines ou </w:t>
      </w:r>
      <w:r w:rsidR="0001026C">
        <w:rPr>
          <w:b w:val="0"/>
          <w:sz w:val="24"/>
        </w:rPr>
        <w:t>autre</w:t>
      </w:r>
      <w:r w:rsidR="00815A17" w:rsidRPr="00CB6495">
        <w:rPr>
          <w:b w:val="0"/>
          <w:sz w:val="24"/>
        </w:rPr>
        <w:t>)</w:t>
      </w:r>
      <w:r w:rsidR="007E37B0" w:rsidRPr="00CB6495">
        <w:rPr>
          <w:b w:val="0"/>
          <w:sz w:val="24"/>
        </w:rPr>
        <w:t xml:space="preserve"> pour délivrer un maximum d’actes de naissance à des ayants droit qui en sont privés supprimera les deux grands obstacles au développement de l’état-civil : la barrière du coût (tout en maintenant un prix ne serait-ce que symbolique par souci de développer un esprit de responsabilité) et la barrière de l’éloignement</w:t>
      </w:r>
      <w:r w:rsidR="00334072">
        <w:rPr>
          <w:b w:val="0"/>
          <w:sz w:val="24"/>
        </w:rPr>
        <w:t xml:space="preserve">. De plus, l’audience foraine </w:t>
      </w:r>
      <w:r w:rsidR="00F10FDC">
        <w:rPr>
          <w:b w:val="0"/>
          <w:sz w:val="24"/>
        </w:rPr>
        <w:t>contribue à la sensibilisation de</w:t>
      </w:r>
      <w:r w:rsidR="00334072">
        <w:rPr>
          <w:b w:val="0"/>
          <w:sz w:val="24"/>
        </w:rPr>
        <w:t>s</w:t>
      </w:r>
      <w:r w:rsidR="00F10FDC">
        <w:rPr>
          <w:b w:val="0"/>
          <w:sz w:val="24"/>
        </w:rPr>
        <w:t xml:space="preserve"> population</w:t>
      </w:r>
      <w:r w:rsidR="00334072">
        <w:rPr>
          <w:b w:val="0"/>
          <w:sz w:val="24"/>
        </w:rPr>
        <w:t>s</w:t>
      </w:r>
      <w:r w:rsidR="00F10FDC">
        <w:rPr>
          <w:b w:val="0"/>
          <w:sz w:val="24"/>
        </w:rPr>
        <w:t xml:space="preserve">, </w:t>
      </w:r>
      <w:r w:rsidR="00334072">
        <w:rPr>
          <w:b w:val="0"/>
          <w:sz w:val="24"/>
        </w:rPr>
        <w:t>notamment</w:t>
      </w:r>
      <w:r w:rsidR="00F10FDC">
        <w:rPr>
          <w:b w:val="0"/>
          <w:sz w:val="24"/>
        </w:rPr>
        <w:t xml:space="preserve"> dans les régions rurales</w:t>
      </w:r>
      <w:r w:rsidR="007E37B0" w:rsidRPr="00CB6495">
        <w:rPr>
          <w:b w:val="0"/>
          <w:sz w:val="24"/>
        </w:rPr>
        <w:t>.</w:t>
      </w:r>
      <w:r w:rsidRPr="00CB6495">
        <w:rPr>
          <w:b w:val="0"/>
          <w:sz w:val="24"/>
        </w:rPr>
        <w:t xml:space="preserve"> </w:t>
      </w:r>
      <w:r w:rsidR="0034147D" w:rsidRPr="00CB6495">
        <w:rPr>
          <w:b w:val="0"/>
          <w:sz w:val="24"/>
        </w:rPr>
        <w:t>L’</w:t>
      </w:r>
      <w:proofErr w:type="spellStart"/>
      <w:r w:rsidR="0034147D" w:rsidRPr="00CB6495">
        <w:rPr>
          <w:b w:val="0"/>
          <w:sz w:val="24"/>
        </w:rPr>
        <w:t>inclusivité</w:t>
      </w:r>
      <w:proofErr w:type="spellEnd"/>
      <w:r w:rsidR="0034147D" w:rsidRPr="00CB6495">
        <w:rPr>
          <w:b w:val="0"/>
          <w:sz w:val="24"/>
        </w:rPr>
        <w:t xml:space="preserve"> sera le fil conducteur d’une telle action, en veillant à servir équitablement toutes les communautés, et des milieux ruraux autant que des milieux urbains</w:t>
      </w:r>
      <w:r w:rsidR="007E37B0" w:rsidRPr="00CB6495">
        <w:rPr>
          <w:b w:val="0"/>
          <w:sz w:val="24"/>
        </w:rPr>
        <w:t>, en faisant effort sur les femmes</w:t>
      </w:r>
      <w:r w:rsidR="0034147D" w:rsidRPr="00CB6495">
        <w:rPr>
          <w:b w:val="0"/>
          <w:sz w:val="24"/>
        </w:rPr>
        <w:t xml:space="preserve">. </w:t>
      </w:r>
    </w:p>
    <w:p w14:paraId="1DD0D415" w14:textId="716A4182" w:rsidR="0034147D" w:rsidRPr="00CB6495" w:rsidRDefault="00234C4A" w:rsidP="00A8230D">
      <w:pPr>
        <w:pStyle w:val="ListParagraph"/>
        <w:numPr>
          <w:ilvl w:val="0"/>
          <w:numId w:val="31"/>
        </w:numPr>
        <w:spacing w:after="0"/>
        <w:ind w:left="714" w:hanging="357"/>
        <w:contextualSpacing w:val="0"/>
        <w:rPr>
          <w:b w:val="0"/>
          <w:sz w:val="24"/>
        </w:rPr>
      </w:pPr>
      <w:r w:rsidRPr="00CB6495">
        <w:rPr>
          <w:b w:val="0"/>
          <w:sz w:val="24"/>
        </w:rPr>
        <w:t>U</w:t>
      </w:r>
      <w:r w:rsidR="00815A17" w:rsidRPr="00CB6495">
        <w:rPr>
          <w:b w:val="0"/>
          <w:sz w:val="24"/>
        </w:rPr>
        <w:t>ne étude d’impact, tout en cherchant à déterminer les proportions de la population exclues de l’état</w:t>
      </w:r>
      <w:r w:rsidR="00815A17" w:rsidRPr="00CB6495">
        <w:rPr>
          <w:sz w:val="24"/>
        </w:rPr>
        <w:t>-</w:t>
      </w:r>
      <w:r w:rsidR="00815A17" w:rsidRPr="00CB6495">
        <w:rPr>
          <w:b w:val="0"/>
          <w:sz w:val="24"/>
        </w:rPr>
        <w:t>civil, par âge, par sexe et par localité desservie.</w:t>
      </w:r>
    </w:p>
    <w:p w14:paraId="0E4086EE" w14:textId="77777777" w:rsidR="00AD6826" w:rsidRPr="00CB6495" w:rsidRDefault="00AD6826" w:rsidP="00F46E9D">
      <w:pPr>
        <w:spacing w:after="0"/>
        <w:rPr>
          <w:lang w:eastAsia="en-GB"/>
        </w:rPr>
      </w:pPr>
    </w:p>
    <w:p w14:paraId="5C85038B" w14:textId="77777777" w:rsidR="00AD6826" w:rsidRPr="00CB6495" w:rsidRDefault="00360C69" w:rsidP="00063246">
      <w:pPr>
        <w:spacing w:after="0"/>
        <w:rPr>
          <w:b/>
          <w:lang w:val="fr-BE"/>
        </w:rPr>
      </w:pPr>
      <w:r w:rsidRPr="00CB6495">
        <w:rPr>
          <w:b/>
          <w:lang w:val="fr-BE"/>
        </w:rPr>
        <w:lastRenderedPageBreak/>
        <w:t>7</w:t>
      </w:r>
      <w:r w:rsidR="00AD6826" w:rsidRPr="00CB6495">
        <w:rPr>
          <w:b/>
          <w:lang w:val="fr-BE"/>
        </w:rPr>
        <w:t>. Zones d'intervention du projet</w:t>
      </w:r>
    </w:p>
    <w:p w14:paraId="75E5D657" w14:textId="77777777" w:rsidR="00AD6826" w:rsidRPr="00CB6495" w:rsidRDefault="00AD6826" w:rsidP="00063246">
      <w:pPr>
        <w:spacing w:after="0"/>
        <w:rPr>
          <w:u w:val="single"/>
          <w:lang w:val="fr-BE"/>
        </w:rPr>
      </w:pPr>
    </w:p>
    <w:p w14:paraId="0D5CC88F" w14:textId="77777777" w:rsidR="00815A17" w:rsidRPr="00CB6495" w:rsidRDefault="00815A17" w:rsidP="00063246">
      <w:pPr>
        <w:spacing w:after="0"/>
      </w:pPr>
      <w:r w:rsidRPr="00CB6495">
        <w:t>La première composante concerne le niveau institutionnel donc se déroulera principalement à Bangui, sans se priver d’effectuer des déplacements en province à chaque fois que nécessaire, notamment pour mesurer au niveau déconcentré le degré d’application des réformes décidées au niveau central.</w:t>
      </w:r>
    </w:p>
    <w:p w14:paraId="20E6A7F8" w14:textId="77777777" w:rsidR="00234C4A" w:rsidRPr="00CB6495" w:rsidRDefault="00234C4A" w:rsidP="00063246">
      <w:pPr>
        <w:spacing w:after="0"/>
      </w:pPr>
    </w:p>
    <w:p w14:paraId="4065442E" w14:textId="4E9ED4AB" w:rsidR="00AB5E2C" w:rsidRDefault="00815A17" w:rsidP="00063246">
      <w:pPr>
        <w:spacing w:after="0"/>
      </w:pPr>
      <w:r w:rsidRPr="00CB6495">
        <w:t>L</w:t>
      </w:r>
      <w:r w:rsidR="00AD6826" w:rsidRPr="00CB6495">
        <w:t xml:space="preserve">a zone d’intervention </w:t>
      </w:r>
      <w:r w:rsidRPr="00CB6495">
        <w:t xml:space="preserve">de la seconde composante concernera </w:t>
      </w:r>
      <w:r w:rsidR="00AD6826" w:rsidRPr="00CB6495">
        <w:t xml:space="preserve">une zone </w:t>
      </w:r>
      <w:r w:rsidRPr="00CB6495">
        <w:t xml:space="preserve">« capitale » </w:t>
      </w:r>
      <w:r w:rsidR="00AD6826" w:rsidRPr="00CB6495">
        <w:t xml:space="preserve">dans laquelle réside plus d’un million de personnes (communes de Bangui et ses 8 communes d’arrondissement, </w:t>
      </w:r>
      <w:proofErr w:type="spellStart"/>
      <w:r w:rsidR="00AD6826" w:rsidRPr="00CB6495">
        <w:t>Bimbo</w:t>
      </w:r>
      <w:proofErr w:type="spellEnd"/>
      <w:r w:rsidR="00AD6826" w:rsidRPr="00CB6495">
        <w:t xml:space="preserve"> et </w:t>
      </w:r>
      <w:proofErr w:type="spellStart"/>
      <w:r w:rsidR="00AD6826" w:rsidRPr="00CB6495">
        <w:t>Bégoua</w:t>
      </w:r>
      <w:proofErr w:type="spellEnd"/>
      <w:r w:rsidR="00AD6826" w:rsidRPr="00CB6495">
        <w:t xml:space="preserve">), et une zone </w:t>
      </w:r>
      <w:r w:rsidRPr="00CB6495">
        <w:t xml:space="preserve">« arrière-pays » qui </w:t>
      </w:r>
      <w:r w:rsidR="0086335B" w:rsidRPr="00CB6495">
        <w:t>sera décidée ultérieurement</w:t>
      </w:r>
      <w:r w:rsidR="00AB5E2C" w:rsidRPr="00CB6495">
        <w:t>.</w:t>
      </w:r>
    </w:p>
    <w:p w14:paraId="21F9932D" w14:textId="77777777" w:rsidR="00A8230D" w:rsidRPr="00CB6495" w:rsidRDefault="00A8230D" w:rsidP="00063246">
      <w:pPr>
        <w:spacing w:after="0"/>
      </w:pPr>
    </w:p>
    <w:p w14:paraId="07F56691" w14:textId="77777777" w:rsidR="00AB5E2C" w:rsidRPr="00CB6495" w:rsidRDefault="00063246" w:rsidP="00063246">
      <w:pPr>
        <w:spacing w:after="0"/>
        <w:rPr>
          <w:b/>
        </w:rPr>
      </w:pPr>
      <w:r w:rsidRPr="00CB6495">
        <w:rPr>
          <w:b/>
        </w:rPr>
        <w:t>8</w:t>
      </w:r>
      <w:r w:rsidR="00AB5E2C" w:rsidRPr="00CB6495">
        <w:rPr>
          <w:b/>
        </w:rPr>
        <w:t>. P</w:t>
      </w:r>
      <w:r w:rsidRPr="00CB6495">
        <w:rPr>
          <w:b/>
        </w:rPr>
        <w:t>rogramme et logique d'intervention</w:t>
      </w:r>
    </w:p>
    <w:p w14:paraId="6C6C7196" w14:textId="77777777" w:rsidR="00AB5E2C" w:rsidRPr="00CB6495" w:rsidRDefault="00AB5E2C" w:rsidP="00063246">
      <w:pPr>
        <w:spacing w:after="0"/>
      </w:pPr>
    </w:p>
    <w:p w14:paraId="174E6814" w14:textId="263C760A" w:rsidR="00AB5E2C" w:rsidRPr="00CB6495" w:rsidRDefault="00AB5E2C">
      <w:pPr>
        <w:spacing w:after="0"/>
      </w:pPr>
      <w:r w:rsidRPr="00CB6495">
        <w:t xml:space="preserve">Ce programme </w:t>
      </w:r>
      <w:r w:rsidR="00815A17" w:rsidRPr="00CB6495">
        <w:t>de soutien à l’état-civi</w:t>
      </w:r>
      <w:r w:rsidR="005620FF" w:rsidRPr="00CB6495">
        <w:t>l s’inscrit dans le plus vaste « Programme d'appui à la réforme du secteur de la sécurité et à la gouvernance en République centrafricaine » (RSS et Gouvernance)</w:t>
      </w:r>
      <w:r w:rsidR="00815A17" w:rsidRPr="00CB6495">
        <w:t>. Il est lié aux programmes d’appui à la Démoc</w:t>
      </w:r>
      <w:r w:rsidR="00C702EB" w:rsidRPr="00CB6495">
        <w:t>ratie et aux programmes de Relèv</w:t>
      </w:r>
      <w:r w:rsidR="00815A17" w:rsidRPr="00CB6495">
        <w:t xml:space="preserve">ement du fonds </w:t>
      </w:r>
      <w:proofErr w:type="spellStart"/>
      <w:r w:rsidR="00815A17" w:rsidRPr="00CB6495">
        <w:t>Bêkou</w:t>
      </w:r>
      <w:proofErr w:type="spellEnd"/>
      <w:r w:rsidR="00815A17" w:rsidRPr="00CB6495">
        <w:t>.</w:t>
      </w:r>
      <w:r w:rsidR="00C702EB" w:rsidRPr="00CB6495">
        <w:t xml:space="preserve"> La délégation de l’Union européenne produira du leadership et de la coordination, en lien avec les autorités nationales, entre les différents metteurs en œuvre des différents programmes.</w:t>
      </w:r>
    </w:p>
    <w:p w14:paraId="0FC78852" w14:textId="77777777" w:rsidR="007C5322" w:rsidRPr="00CB6495" w:rsidRDefault="007C5322" w:rsidP="00063246">
      <w:pPr>
        <w:spacing w:after="0"/>
      </w:pPr>
    </w:p>
    <w:p w14:paraId="0C69D3A5" w14:textId="77777777" w:rsidR="00AB5E2C" w:rsidRPr="00CB6495" w:rsidRDefault="00AB5E2C" w:rsidP="00063246">
      <w:pPr>
        <w:spacing w:after="0"/>
      </w:pPr>
      <w:r w:rsidRPr="00CB6495">
        <w:t>L</w:t>
      </w:r>
      <w:r w:rsidR="00C702EB" w:rsidRPr="00CB6495">
        <w:t xml:space="preserve">e maintien </w:t>
      </w:r>
      <w:r w:rsidRPr="00CB6495">
        <w:t xml:space="preserve">d'une cohérence </w:t>
      </w:r>
      <w:r w:rsidR="00C702EB" w:rsidRPr="00CB6495">
        <w:t xml:space="preserve">de l’approche stratégique de l’Union européenne </w:t>
      </w:r>
      <w:r w:rsidRPr="00CB6495">
        <w:t>avec le partenaire retenu à l'issue de l'étape de la note</w:t>
      </w:r>
      <w:r w:rsidR="00045752" w:rsidRPr="00CB6495">
        <w:t xml:space="preserve"> </w:t>
      </w:r>
      <w:r w:rsidRPr="00CB6495">
        <w:t>succincte, lors de la 2</w:t>
      </w:r>
      <w:r w:rsidRPr="00CB6495">
        <w:rPr>
          <w:vertAlign w:val="superscript"/>
        </w:rPr>
        <w:t>ème</w:t>
      </w:r>
      <w:r w:rsidR="00C702EB" w:rsidRPr="00CB6495">
        <w:t xml:space="preserve"> </w:t>
      </w:r>
      <w:r w:rsidRPr="00CB6495">
        <w:t>phase, se basera sur les aspects ci-dessous :</w:t>
      </w:r>
    </w:p>
    <w:p w14:paraId="52E92666" w14:textId="4FF31D04" w:rsidR="00AB5E2C" w:rsidRPr="00A403BB" w:rsidRDefault="00AB5E2C" w:rsidP="00A403BB">
      <w:pPr>
        <w:pStyle w:val="ListParagraph"/>
        <w:numPr>
          <w:ilvl w:val="1"/>
          <w:numId w:val="34"/>
        </w:numPr>
        <w:spacing w:after="0"/>
        <w:ind w:left="567"/>
        <w:rPr>
          <w:b w:val="0"/>
          <w:sz w:val="24"/>
        </w:rPr>
      </w:pPr>
      <w:r w:rsidRPr="00A403BB">
        <w:rPr>
          <w:b w:val="0"/>
          <w:sz w:val="24"/>
        </w:rPr>
        <w:t>cadre logique commun</w:t>
      </w:r>
      <w:r w:rsidR="00A403BB">
        <w:rPr>
          <w:b w:val="0"/>
          <w:sz w:val="24"/>
        </w:rPr>
        <w:t xml:space="preserve"> </w:t>
      </w:r>
      <w:r w:rsidRPr="00A403BB">
        <w:rPr>
          <w:b w:val="0"/>
          <w:sz w:val="24"/>
        </w:rPr>
        <w:t>: cadre logique commun aux consortia incluant indicateurs SMART;</w:t>
      </w:r>
      <w:r w:rsidR="005620FF" w:rsidRPr="00A403BB">
        <w:rPr>
          <w:b w:val="0"/>
          <w:sz w:val="24"/>
        </w:rPr>
        <w:t xml:space="preserve"> </w:t>
      </w:r>
    </w:p>
    <w:p w14:paraId="5572FF81" w14:textId="3978DD29" w:rsidR="00AB5E2C" w:rsidRPr="00A403BB" w:rsidRDefault="00AB5E2C" w:rsidP="00A403BB">
      <w:pPr>
        <w:pStyle w:val="ListParagraph"/>
        <w:numPr>
          <w:ilvl w:val="1"/>
          <w:numId w:val="34"/>
        </w:numPr>
        <w:spacing w:after="0"/>
        <w:ind w:left="567"/>
        <w:rPr>
          <w:b w:val="0"/>
          <w:sz w:val="24"/>
        </w:rPr>
      </w:pPr>
      <w:r w:rsidRPr="00A403BB">
        <w:rPr>
          <w:b w:val="0"/>
          <w:sz w:val="24"/>
        </w:rPr>
        <w:t>système de suivi évaluation harmonisé et robuste : Outils de suivi et d’évaluation de qualité</w:t>
      </w:r>
      <w:r w:rsidR="00045752" w:rsidRPr="00A403BB">
        <w:rPr>
          <w:b w:val="0"/>
          <w:sz w:val="24"/>
        </w:rPr>
        <w:t xml:space="preserve"> </w:t>
      </w:r>
      <w:r w:rsidRPr="00A403BB">
        <w:rPr>
          <w:b w:val="0"/>
          <w:sz w:val="24"/>
        </w:rPr>
        <w:t>assortis d'indicateurs SMART et</w:t>
      </w:r>
      <w:r w:rsidR="00A403BB">
        <w:rPr>
          <w:b w:val="0"/>
          <w:sz w:val="24"/>
        </w:rPr>
        <w:t xml:space="preserve"> de cibles précises à atteindre</w:t>
      </w:r>
      <w:r w:rsidRPr="00A403BB">
        <w:rPr>
          <w:b w:val="0"/>
          <w:sz w:val="24"/>
        </w:rPr>
        <w:t xml:space="preserve">; moyens pratiques mis en </w:t>
      </w:r>
      <w:r w:rsidR="00045752" w:rsidRPr="00A403BB">
        <w:rPr>
          <w:b w:val="0"/>
          <w:sz w:val="24"/>
        </w:rPr>
        <w:t xml:space="preserve">œuvre </w:t>
      </w:r>
      <w:r w:rsidRPr="00A403BB">
        <w:rPr>
          <w:b w:val="0"/>
          <w:sz w:val="24"/>
        </w:rPr>
        <w:t>pour suivre l'action avec notamment la mise en place d'une étude de référence et la possibilité de</w:t>
      </w:r>
      <w:r w:rsidR="00045752" w:rsidRPr="00A403BB">
        <w:rPr>
          <w:b w:val="0"/>
          <w:sz w:val="24"/>
        </w:rPr>
        <w:t xml:space="preserve"> </w:t>
      </w:r>
      <w:r w:rsidRPr="00A403BB">
        <w:rPr>
          <w:b w:val="0"/>
          <w:sz w:val="24"/>
        </w:rPr>
        <w:t>mener de la recherche opérationnelle;</w:t>
      </w:r>
      <w:r w:rsidR="005620FF" w:rsidRPr="00A403BB">
        <w:rPr>
          <w:b w:val="0"/>
          <w:sz w:val="24"/>
        </w:rPr>
        <w:t xml:space="preserve"> ségrégation des données par sexe</w:t>
      </w:r>
      <w:r w:rsidR="00A403BB">
        <w:rPr>
          <w:b w:val="0"/>
          <w:sz w:val="24"/>
        </w:rPr>
        <w:t>;</w:t>
      </w:r>
    </w:p>
    <w:p w14:paraId="37C0D9A5" w14:textId="37584205" w:rsidR="00AB5E2C" w:rsidRPr="00A403BB" w:rsidRDefault="00AB5E2C" w:rsidP="00A403BB">
      <w:pPr>
        <w:pStyle w:val="ListParagraph"/>
        <w:numPr>
          <w:ilvl w:val="1"/>
          <w:numId w:val="34"/>
        </w:numPr>
        <w:spacing w:after="0"/>
        <w:ind w:left="567"/>
        <w:rPr>
          <w:b w:val="0"/>
          <w:sz w:val="24"/>
        </w:rPr>
      </w:pPr>
      <w:r w:rsidRPr="00A403BB">
        <w:rPr>
          <w:b w:val="0"/>
          <w:sz w:val="24"/>
        </w:rPr>
        <w:t>plan de</w:t>
      </w:r>
      <w:r w:rsidR="00A8230D" w:rsidRPr="00A403BB">
        <w:rPr>
          <w:b w:val="0"/>
          <w:sz w:val="24"/>
        </w:rPr>
        <w:t xml:space="preserve"> communication et visibilité : é</w:t>
      </w:r>
      <w:r w:rsidRPr="00A403BB">
        <w:rPr>
          <w:b w:val="0"/>
          <w:sz w:val="24"/>
        </w:rPr>
        <w:t>léments de visibilité des projets selon les lignes</w:t>
      </w:r>
      <w:r w:rsidR="00045752" w:rsidRPr="00A403BB">
        <w:rPr>
          <w:b w:val="0"/>
          <w:sz w:val="24"/>
        </w:rPr>
        <w:t xml:space="preserve"> </w:t>
      </w:r>
      <w:r w:rsidRPr="00A403BB">
        <w:rPr>
          <w:b w:val="0"/>
          <w:sz w:val="24"/>
        </w:rPr>
        <w:t>directrices de l’Union Européenne (</w:t>
      </w:r>
      <w:hyperlink r:id="rId11" w:history="1">
        <w:r w:rsidR="00A403BB" w:rsidRPr="00DB34C2">
          <w:rPr>
            <w:rStyle w:val="Hyperlink"/>
            <w:b w:val="0"/>
            <w:sz w:val="24"/>
          </w:rPr>
          <w:t>https://ec.europa.eu/europeaid/manuel-de-comm-unicationet-de-visibilite-pour-les-actions-exterieures-de-lunion-europeenne_fr</w:t>
        </w:r>
      </w:hyperlink>
      <w:r w:rsidR="00A8230D" w:rsidRPr="00A403BB">
        <w:rPr>
          <w:b w:val="0"/>
          <w:sz w:val="24"/>
        </w:rPr>
        <w:t>)</w:t>
      </w:r>
      <w:r w:rsidRPr="00A403BB">
        <w:rPr>
          <w:b w:val="0"/>
          <w:sz w:val="24"/>
        </w:rPr>
        <w:t>;</w:t>
      </w:r>
    </w:p>
    <w:p w14:paraId="7C6A6A5A" w14:textId="1E9E82EA" w:rsidR="00AB5E2C" w:rsidRPr="00A403BB" w:rsidRDefault="00A403BB" w:rsidP="00A403BB">
      <w:pPr>
        <w:pStyle w:val="ListParagraph"/>
        <w:numPr>
          <w:ilvl w:val="1"/>
          <w:numId w:val="34"/>
        </w:numPr>
        <w:spacing w:after="0"/>
        <w:ind w:left="567"/>
        <w:rPr>
          <w:b w:val="0"/>
          <w:sz w:val="24"/>
        </w:rPr>
      </w:pPr>
      <w:r>
        <w:rPr>
          <w:b w:val="0"/>
          <w:sz w:val="24"/>
        </w:rPr>
        <w:t>évaluation et audit ;</w:t>
      </w:r>
    </w:p>
    <w:p w14:paraId="197EEF9D" w14:textId="439E7D70" w:rsidR="00AB5E2C" w:rsidRPr="00A403BB" w:rsidRDefault="00AB5E2C" w:rsidP="00A403BB">
      <w:pPr>
        <w:pStyle w:val="ListParagraph"/>
        <w:numPr>
          <w:ilvl w:val="1"/>
          <w:numId w:val="34"/>
        </w:numPr>
        <w:spacing w:after="0"/>
        <w:ind w:left="567"/>
        <w:rPr>
          <w:b w:val="0"/>
          <w:sz w:val="24"/>
        </w:rPr>
      </w:pPr>
      <w:r w:rsidRPr="00A403BB">
        <w:rPr>
          <w:b w:val="0"/>
          <w:sz w:val="24"/>
        </w:rPr>
        <w:t xml:space="preserve">harmonisation des procédures, outils et modalités de mise en </w:t>
      </w:r>
      <w:r w:rsidR="00045752" w:rsidRPr="00A403BB">
        <w:rPr>
          <w:b w:val="0"/>
          <w:sz w:val="24"/>
        </w:rPr>
        <w:t>œuvre</w:t>
      </w:r>
      <w:r w:rsidR="00C702EB" w:rsidRPr="00A403BB">
        <w:rPr>
          <w:b w:val="0"/>
          <w:sz w:val="24"/>
        </w:rPr>
        <w:t>.</w:t>
      </w:r>
    </w:p>
    <w:p w14:paraId="443B0F96" w14:textId="77777777" w:rsidR="00A8230D" w:rsidRPr="00CB6495" w:rsidRDefault="00A8230D" w:rsidP="00063246">
      <w:pPr>
        <w:autoSpaceDE w:val="0"/>
        <w:autoSpaceDN w:val="0"/>
        <w:adjustRightInd w:val="0"/>
        <w:spacing w:after="0"/>
        <w:rPr>
          <w:b/>
          <w:bCs/>
          <w:lang w:eastAsia="fr-FR"/>
        </w:rPr>
      </w:pPr>
    </w:p>
    <w:p w14:paraId="683AFBA2" w14:textId="0D3BA03D" w:rsidR="00A83FD2" w:rsidRPr="00CB6495" w:rsidRDefault="00C202AF" w:rsidP="00063246">
      <w:pPr>
        <w:autoSpaceDE w:val="0"/>
        <w:autoSpaceDN w:val="0"/>
        <w:adjustRightInd w:val="0"/>
        <w:spacing w:after="0"/>
        <w:rPr>
          <w:b/>
          <w:bCs/>
          <w:lang w:eastAsia="fr-FR"/>
        </w:rPr>
      </w:pPr>
      <w:r w:rsidRPr="00CB6495">
        <w:rPr>
          <w:b/>
          <w:bCs/>
          <w:lang w:eastAsia="fr-FR"/>
        </w:rPr>
        <w:t>9</w:t>
      </w:r>
      <w:r w:rsidR="00A83FD2" w:rsidRPr="00CB6495">
        <w:rPr>
          <w:b/>
          <w:bCs/>
          <w:lang w:eastAsia="fr-FR"/>
        </w:rPr>
        <w:t xml:space="preserve">. </w:t>
      </w:r>
      <w:r w:rsidR="00AD6826" w:rsidRPr="00CB6495">
        <w:rPr>
          <w:b/>
          <w:bCs/>
          <w:lang w:eastAsia="fr-FR"/>
        </w:rPr>
        <w:t>Budget</w:t>
      </w:r>
    </w:p>
    <w:p w14:paraId="39D4669F" w14:textId="77777777" w:rsidR="00A83FD2" w:rsidRPr="00CB6495" w:rsidRDefault="00A83FD2" w:rsidP="00063246">
      <w:pPr>
        <w:autoSpaceDE w:val="0"/>
        <w:autoSpaceDN w:val="0"/>
        <w:adjustRightInd w:val="0"/>
        <w:spacing w:after="0"/>
        <w:rPr>
          <w:lang w:eastAsia="fr-FR"/>
        </w:rPr>
      </w:pPr>
    </w:p>
    <w:p w14:paraId="41AFF01B" w14:textId="17B8240F" w:rsidR="00BD5927" w:rsidRPr="00CB6495" w:rsidRDefault="007C5322" w:rsidP="00063246">
      <w:pPr>
        <w:spacing w:after="0"/>
        <w:rPr>
          <w:b/>
          <w:lang w:val="fr-BE"/>
        </w:rPr>
      </w:pPr>
      <w:r w:rsidRPr="00CB6495">
        <w:rPr>
          <w:lang w:val="fr-BE"/>
        </w:rPr>
        <w:t>Le montant indicatif global mis à disposition au titre du présent AMI s'élève à 4.5 millions d’euros</w:t>
      </w:r>
      <w:r w:rsidR="00AD6826" w:rsidRPr="00CB6495">
        <w:rPr>
          <w:lang w:val="fr-BE"/>
        </w:rPr>
        <w:t xml:space="preserve">. </w:t>
      </w:r>
      <w:r w:rsidR="00DD7868" w:rsidRPr="00CB6495">
        <w:rPr>
          <w:lang w:val="fr-BE"/>
        </w:rPr>
        <w:t xml:space="preserve">Une </w:t>
      </w:r>
      <w:r w:rsidR="00DD7868" w:rsidRPr="00CB6495">
        <w:rPr>
          <w:b/>
          <w:lang w:val="fr-BE"/>
        </w:rPr>
        <w:t>seule proposition</w:t>
      </w:r>
      <w:r w:rsidR="00DD7868" w:rsidRPr="00CB6495">
        <w:rPr>
          <w:lang w:val="fr-BE"/>
        </w:rPr>
        <w:t xml:space="preserve"> pourra être financée avec </w:t>
      </w:r>
      <w:r w:rsidR="00DD7868" w:rsidRPr="00CB6495">
        <w:rPr>
          <w:u w:val="single"/>
          <w:lang w:val="fr-BE"/>
        </w:rPr>
        <w:t>une contribution de l'UE</w:t>
      </w:r>
      <w:r w:rsidR="00DD7868" w:rsidRPr="00CB6495">
        <w:rPr>
          <w:lang w:val="fr-BE"/>
        </w:rPr>
        <w:t xml:space="preserve"> d'un </w:t>
      </w:r>
      <w:r w:rsidR="00DD7868" w:rsidRPr="00CB6495">
        <w:rPr>
          <w:b/>
          <w:lang w:val="fr-BE"/>
        </w:rPr>
        <w:t xml:space="preserve">montant </w:t>
      </w:r>
      <w:r w:rsidR="004E40F4" w:rsidRPr="00CB6495">
        <w:rPr>
          <w:b/>
          <w:lang w:val="fr-BE"/>
        </w:rPr>
        <w:t>égal à</w:t>
      </w:r>
      <w:r w:rsidR="00DD7868" w:rsidRPr="00CB6495">
        <w:rPr>
          <w:lang w:val="fr-BE"/>
        </w:rPr>
        <w:t xml:space="preserve"> 4</w:t>
      </w:r>
      <w:r w:rsidR="006F713F" w:rsidRPr="00CB6495">
        <w:rPr>
          <w:lang w:val="fr-BE"/>
        </w:rPr>
        <w:t>.5</w:t>
      </w:r>
      <w:r w:rsidR="00DD7868" w:rsidRPr="00CB6495">
        <w:rPr>
          <w:lang w:val="fr-BE"/>
        </w:rPr>
        <w:t xml:space="preserve"> millions d’euros</w:t>
      </w:r>
      <w:r w:rsidR="00DD7868" w:rsidRPr="00CB6495">
        <w:rPr>
          <w:b/>
          <w:lang w:val="fr-BE"/>
        </w:rPr>
        <w:t>.</w:t>
      </w:r>
    </w:p>
    <w:p w14:paraId="6F99487B" w14:textId="77777777" w:rsidR="00A8230D" w:rsidRPr="00CB6495" w:rsidRDefault="00A8230D" w:rsidP="00063246">
      <w:pPr>
        <w:spacing w:after="0"/>
        <w:rPr>
          <w:b/>
          <w:lang w:val="fr-BE"/>
        </w:rPr>
      </w:pPr>
    </w:p>
    <w:p w14:paraId="76F9B13C" w14:textId="37BE46B1" w:rsidR="00DD7868" w:rsidRPr="00CB6495" w:rsidRDefault="005F1939" w:rsidP="00063246">
      <w:pPr>
        <w:spacing w:after="0"/>
        <w:rPr>
          <w:b/>
          <w:lang w:val="fr-BE"/>
        </w:rPr>
      </w:pPr>
      <w:r w:rsidRPr="00CB6495">
        <w:rPr>
          <w:b/>
          <w:lang w:val="fr-BE"/>
        </w:rPr>
        <w:t>10.</w:t>
      </w:r>
      <w:r w:rsidR="002569CF" w:rsidRPr="00CB6495">
        <w:rPr>
          <w:b/>
          <w:lang w:val="fr-BE"/>
        </w:rPr>
        <w:t xml:space="preserve"> </w:t>
      </w:r>
      <w:r w:rsidR="00DD7868" w:rsidRPr="00CB6495">
        <w:rPr>
          <w:b/>
          <w:lang w:val="fr-BE"/>
        </w:rPr>
        <w:t>Durée de l’action</w:t>
      </w:r>
    </w:p>
    <w:p w14:paraId="64114FCB" w14:textId="77777777" w:rsidR="00DD7868" w:rsidRPr="00CB6495" w:rsidRDefault="00DD7868" w:rsidP="00063246">
      <w:pPr>
        <w:spacing w:after="0"/>
        <w:rPr>
          <w:lang w:val="fr-BE"/>
        </w:rPr>
      </w:pPr>
    </w:p>
    <w:p w14:paraId="072F0879" w14:textId="77777777" w:rsidR="00DD7868" w:rsidRPr="00CB6495" w:rsidRDefault="00DD7868" w:rsidP="00063246">
      <w:pPr>
        <w:spacing w:after="0"/>
        <w:rPr>
          <w:lang w:val="fr-BE"/>
        </w:rPr>
      </w:pPr>
      <w:r w:rsidRPr="00CB6495">
        <w:rPr>
          <w:lang w:val="fr-BE"/>
        </w:rPr>
        <w:t xml:space="preserve">La période </w:t>
      </w:r>
      <w:r w:rsidR="002569CF" w:rsidRPr="00CB6495">
        <w:rPr>
          <w:lang w:val="fr-BE"/>
        </w:rPr>
        <w:t xml:space="preserve">indicative </w:t>
      </w:r>
      <w:r w:rsidRPr="00CB6495">
        <w:rPr>
          <w:lang w:val="fr-BE"/>
        </w:rPr>
        <w:t xml:space="preserve">de la mise en œuvre opérationnelle </w:t>
      </w:r>
      <w:r w:rsidR="002569CF" w:rsidRPr="00CB6495">
        <w:rPr>
          <w:lang w:val="fr-BE"/>
        </w:rPr>
        <w:t xml:space="preserve">de l’action </w:t>
      </w:r>
      <w:r w:rsidRPr="00CB6495">
        <w:rPr>
          <w:lang w:val="fr-BE"/>
        </w:rPr>
        <w:t>est de 3</w:t>
      </w:r>
      <w:r w:rsidR="00C702EB" w:rsidRPr="00CB6495">
        <w:rPr>
          <w:lang w:val="fr-BE"/>
        </w:rPr>
        <w:t>6</w:t>
      </w:r>
      <w:r w:rsidRPr="00CB6495">
        <w:rPr>
          <w:lang w:val="fr-BE"/>
        </w:rPr>
        <w:t xml:space="preserve"> mois à compter de la date d’entrée en vigueur du contrat</w:t>
      </w:r>
      <w:r w:rsidRPr="00CB6495">
        <w:rPr>
          <w:b/>
          <w:lang w:val="fr-BE"/>
        </w:rPr>
        <w:t>.</w:t>
      </w:r>
    </w:p>
    <w:p w14:paraId="53341C57" w14:textId="411F2CFE" w:rsidR="0056396C" w:rsidRPr="00CB6495" w:rsidRDefault="0056396C" w:rsidP="00063246">
      <w:pPr>
        <w:autoSpaceDE w:val="0"/>
        <w:autoSpaceDN w:val="0"/>
        <w:adjustRightInd w:val="0"/>
        <w:spacing w:after="0"/>
        <w:rPr>
          <w:lang w:eastAsia="fr-FR"/>
        </w:rPr>
      </w:pPr>
    </w:p>
    <w:p w14:paraId="5F762977" w14:textId="103FBE7C" w:rsidR="00E15DC3" w:rsidRPr="00CB6495" w:rsidRDefault="00C202AF" w:rsidP="00063246">
      <w:pPr>
        <w:autoSpaceDE w:val="0"/>
        <w:autoSpaceDN w:val="0"/>
        <w:adjustRightInd w:val="0"/>
        <w:spacing w:after="0"/>
        <w:rPr>
          <w:b/>
          <w:bCs/>
          <w:lang w:eastAsia="fr-FR"/>
        </w:rPr>
      </w:pPr>
      <w:r w:rsidRPr="00CB6495">
        <w:rPr>
          <w:b/>
          <w:bCs/>
          <w:lang w:eastAsia="fr-FR"/>
        </w:rPr>
        <w:t>1</w:t>
      </w:r>
      <w:r w:rsidR="005F1939" w:rsidRPr="00CB6495">
        <w:rPr>
          <w:b/>
          <w:bCs/>
          <w:lang w:eastAsia="fr-FR"/>
        </w:rPr>
        <w:t>1</w:t>
      </w:r>
      <w:r w:rsidR="00A83FD2" w:rsidRPr="00CB6495">
        <w:rPr>
          <w:b/>
          <w:bCs/>
          <w:lang w:eastAsia="fr-FR"/>
        </w:rPr>
        <w:t>. C</w:t>
      </w:r>
      <w:r w:rsidR="00360C69" w:rsidRPr="00CB6495">
        <w:rPr>
          <w:b/>
          <w:bCs/>
          <w:lang w:eastAsia="fr-FR"/>
        </w:rPr>
        <w:t>ritère d’éligibilité</w:t>
      </w:r>
      <w:r w:rsidR="00FA61DD" w:rsidRPr="00CB6495">
        <w:rPr>
          <w:b/>
          <w:bCs/>
          <w:lang w:eastAsia="fr-FR"/>
        </w:rPr>
        <w:t xml:space="preserve"> des demandeurs</w:t>
      </w:r>
    </w:p>
    <w:p w14:paraId="574741D6" w14:textId="77777777" w:rsidR="000B5095" w:rsidRPr="00CB6495" w:rsidRDefault="000B5095" w:rsidP="00063246">
      <w:pPr>
        <w:autoSpaceDE w:val="0"/>
        <w:autoSpaceDN w:val="0"/>
        <w:adjustRightInd w:val="0"/>
        <w:spacing w:after="0"/>
        <w:rPr>
          <w:b/>
          <w:bCs/>
          <w:lang w:eastAsia="fr-FR"/>
        </w:rPr>
      </w:pPr>
    </w:p>
    <w:p w14:paraId="4EA3F563" w14:textId="13EE7E5C" w:rsidR="00E15DC3" w:rsidRPr="00CB6495" w:rsidRDefault="00E15DC3" w:rsidP="0078309B">
      <w:pPr>
        <w:spacing w:after="0"/>
        <w:rPr>
          <w:lang w:eastAsia="fr-FR"/>
        </w:rPr>
      </w:pPr>
      <w:r w:rsidRPr="00CB6495">
        <w:rPr>
          <w:lang w:eastAsia="fr-FR"/>
        </w:rPr>
        <w:t xml:space="preserve">Pour être éligible, </w:t>
      </w:r>
      <w:r w:rsidRPr="00CB6495">
        <w:rPr>
          <w:u w:val="single"/>
          <w:lang w:eastAsia="fr-FR"/>
        </w:rPr>
        <w:t xml:space="preserve">le demandeur </w:t>
      </w:r>
      <w:r w:rsidR="006575E1" w:rsidRPr="00CB6495">
        <w:rPr>
          <w:u w:val="single"/>
          <w:lang w:eastAsia="fr-FR"/>
        </w:rPr>
        <w:t>principal</w:t>
      </w:r>
      <w:r w:rsidR="00AF2C85" w:rsidRPr="00CB6495">
        <w:rPr>
          <w:u w:val="single"/>
          <w:lang w:eastAsia="fr-FR"/>
        </w:rPr>
        <w:t xml:space="preserve"> </w:t>
      </w:r>
      <w:r w:rsidR="00AF2C85" w:rsidRPr="00CB6495">
        <w:rPr>
          <w:lang w:eastAsia="fr-FR"/>
        </w:rPr>
        <w:t>devra</w:t>
      </w:r>
      <w:r w:rsidRPr="00CB6495">
        <w:rPr>
          <w:lang w:eastAsia="fr-FR"/>
        </w:rPr>
        <w:t xml:space="preserve"> remplir </w:t>
      </w:r>
      <w:r w:rsidR="0086335B" w:rsidRPr="00CB6495">
        <w:rPr>
          <w:lang w:eastAsia="fr-FR"/>
        </w:rPr>
        <w:t>les</w:t>
      </w:r>
      <w:r w:rsidRPr="00CB6495">
        <w:rPr>
          <w:lang w:eastAsia="fr-FR"/>
        </w:rPr>
        <w:t xml:space="preserve"> critères suivants:</w:t>
      </w:r>
    </w:p>
    <w:p w14:paraId="0309A80B" w14:textId="77777777" w:rsidR="00E15DC3" w:rsidRPr="00CB6495" w:rsidRDefault="00E15DC3" w:rsidP="0078309B">
      <w:pPr>
        <w:spacing w:after="0"/>
        <w:rPr>
          <w:lang w:eastAsia="fr-FR"/>
        </w:rPr>
      </w:pPr>
    </w:p>
    <w:p w14:paraId="5B789543" w14:textId="7B72FE63" w:rsidR="007B1C71" w:rsidRPr="00CB6495" w:rsidRDefault="007B1C71" w:rsidP="00E95090">
      <w:pPr>
        <w:spacing w:after="0"/>
        <w:rPr>
          <w:b/>
          <w:lang w:eastAsia="fr-FR"/>
        </w:rPr>
      </w:pPr>
      <w:r w:rsidRPr="00CB6495">
        <w:rPr>
          <w:lang w:eastAsia="fr-FR"/>
        </w:rPr>
        <w:t>-</w:t>
      </w:r>
      <w:r w:rsidR="00B44848" w:rsidRPr="00CB6495">
        <w:rPr>
          <w:lang w:eastAsia="fr-FR"/>
        </w:rPr>
        <w:t xml:space="preserve"> </w:t>
      </w:r>
      <w:r w:rsidRPr="00CB6495">
        <w:rPr>
          <w:lang w:eastAsia="fr-FR"/>
        </w:rPr>
        <w:t>être une personne morale</w:t>
      </w:r>
      <w:r w:rsidR="00C119F1" w:rsidRPr="00CB6495">
        <w:rPr>
          <w:lang w:eastAsia="fr-FR"/>
        </w:rPr>
        <w:t xml:space="preserve"> </w:t>
      </w:r>
      <w:r w:rsidR="00C119F1" w:rsidRPr="00CB6495">
        <w:rPr>
          <w:b/>
          <w:lang w:eastAsia="fr-FR"/>
        </w:rPr>
        <w:t>et</w:t>
      </w:r>
    </w:p>
    <w:p w14:paraId="4E2B17E3" w14:textId="77777777" w:rsidR="00C24862" w:rsidRPr="00CB6495" w:rsidRDefault="00C24862" w:rsidP="00E95090">
      <w:pPr>
        <w:spacing w:after="0"/>
        <w:rPr>
          <w:b/>
          <w:lang w:eastAsia="fr-FR"/>
        </w:rPr>
      </w:pPr>
    </w:p>
    <w:p w14:paraId="66404EBB" w14:textId="5DBD5689" w:rsidR="00C24862" w:rsidRPr="00CB6495" w:rsidRDefault="00B44848" w:rsidP="00E95090">
      <w:pPr>
        <w:spacing w:after="0"/>
        <w:rPr>
          <w:b/>
          <w:lang w:eastAsia="fr-FR"/>
        </w:rPr>
      </w:pPr>
      <w:r w:rsidRPr="00CB6495">
        <w:rPr>
          <w:lang w:eastAsia="fr-FR"/>
        </w:rPr>
        <w:lastRenderedPageBreak/>
        <w:t>-</w:t>
      </w:r>
      <w:r w:rsidRPr="00CB6495">
        <w:rPr>
          <w:b/>
          <w:lang w:eastAsia="fr-FR"/>
        </w:rPr>
        <w:t xml:space="preserve"> </w:t>
      </w:r>
      <w:r w:rsidR="00C24862" w:rsidRPr="00CB6495">
        <w:rPr>
          <w:lang w:eastAsia="fr-FR"/>
        </w:rPr>
        <w:t xml:space="preserve">être directement chargé de la préparation et de la gestion de l’action avec le ou les codemandeurs et l'entité ou les entités affiliées, et non agir en tant qu’intermédiaire </w:t>
      </w:r>
      <w:r w:rsidR="00C24862" w:rsidRPr="00CB6495">
        <w:rPr>
          <w:b/>
          <w:lang w:eastAsia="fr-FR"/>
        </w:rPr>
        <w:t>et</w:t>
      </w:r>
    </w:p>
    <w:p w14:paraId="1D8F65BA" w14:textId="77777777" w:rsidR="00FA61DD" w:rsidRPr="00CB6495" w:rsidRDefault="00FA61DD" w:rsidP="00E95090">
      <w:pPr>
        <w:spacing w:after="0"/>
        <w:rPr>
          <w:lang w:eastAsia="fr-FR"/>
        </w:rPr>
      </w:pPr>
    </w:p>
    <w:p w14:paraId="0750ADE7" w14:textId="6141A102" w:rsidR="0091693F" w:rsidRPr="00CB6495" w:rsidRDefault="00C702EB" w:rsidP="00E95090">
      <w:pPr>
        <w:spacing w:after="0"/>
        <w:rPr>
          <w:lang w:eastAsia="fr-FR"/>
        </w:rPr>
      </w:pPr>
      <w:r w:rsidRPr="00CB6495">
        <w:rPr>
          <w:lang w:eastAsia="fr-FR"/>
        </w:rPr>
        <w:t xml:space="preserve">- </w:t>
      </w:r>
      <w:r w:rsidR="00E15DC3" w:rsidRPr="00CB6495">
        <w:rPr>
          <w:lang w:eastAsia="fr-FR"/>
        </w:rPr>
        <w:t>être une organisation non gouvernementale dont la nationalité respecte la nationalité</w:t>
      </w:r>
      <w:r w:rsidR="007B1C71" w:rsidRPr="00CB6495">
        <w:rPr>
          <w:lang w:eastAsia="fr-FR"/>
        </w:rPr>
        <w:t xml:space="preserve"> telle que précisée en annexe </w:t>
      </w:r>
      <w:r w:rsidR="003D5FE5">
        <w:rPr>
          <w:lang w:eastAsia="fr-FR"/>
        </w:rPr>
        <w:t>3</w:t>
      </w:r>
      <w:r w:rsidRPr="00CB6495">
        <w:rPr>
          <w:lang w:eastAsia="fr-FR"/>
        </w:rPr>
        <w:t>;</w:t>
      </w:r>
      <w:r w:rsidR="004303BE" w:rsidRPr="00CB6495">
        <w:rPr>
          <w:lang w:eastAsia="fr-FR"/>
        </w:rPr>
        <w:t xml:space="preserve"> </w:t>
      </w:r>
      <w:r w:rsidR="0091693F" w:rsidRPr="00CB6495">
        <w:rPr>
          <w:b/>
          <w:lang w:eastAsia="fr-FR"/>
        </w:rPr>
        <w:t>ou</w:t>
      </w:r>
    </w:p>
    <w:p w14:paraId="1F8F1329" w14:textId="77777777" w:rsidR="00A87DCA" w:rsidRPr="00CB6495" w:rsidRDefault="00A87DCA" w:rsidP="00E95090">
      <w:pPr>
        <w:spacing w:after="0"/>
        <w:rPr>
          <w:lang w:eastAsia="fr-FR"/>
        </w:rPr>
      </w:pPr>
    </w:p>
    <w:p w14:paraId="4E109300" w14:textId="08ADD882" w:rsidR="0086335B" w:rsidRPr="00CB6495" w:rsidRDefault="00C702EB" w:rsidP="00E95090">
      <w:pPr>
        <w:spacing w:after="0"/>
        <w:rPr>
          <w:lang w:eastAsia="fr-FR"/>
        </w:rPr>
      </w:pPr>
      <w:r w:rsidRPr="00CB6495">
        <w:rPr>
          <w:lang w:eastAsia="fr-FR"/>
        </w:rPr>
        <w:t>- être une agence de coopération d’état membre de l’Union européenne, avec un statut public</w:t>
      </w:r>
      <w:r w:rsidR="00FA61DD" w:rsidRPr="00CB6495">
        <w:rPr>
          <w:lang w:eastAsia="fr-FR"/>
        </w:rPr>
        <w:t xml:space="preserve"> ou</w:t>
      </w:r>
      <w:r w:rsidRPr="00CB6495">
        <w:rPr>
          <w:lang w:eastAsia="fr-FR"/>
        </w:rPr>
        <w:t>, parapublic;</w:t>
      </w:r>
      <w:r w:rsidR="004303BE" w:rsidRPr="00CB6495">
        <w:rPr>
          <w:lang w:eastAsia="fr-FR"/>
        </w:rPr>
        <w:t xml:space="preserve"> </w:t>
      </w:r>
      <w:r w:rsidR="0086335B" w:rsidRPr="00CB6495">
        <w:rPr>
          <w:b/>
          <w:lang w:eastAsia="fr-FR"/>
        </w:rPr>
        <w:t>ou</w:t>
      </w:r>
    </w:p>
    <w:p w14:paraId="561226A2" w14:textId="77777777" w:rsidR="00A87DCA" w:rsidRPr="00CB6495" w:rsidRDefault="00A87DCA" w:rsidP="00E95090">
      <w:pPr>
        <w:spacing w:after="0"/>
        <w:rPr>
          <w:lang w:eastAsia="fr-FR"/>
        </w:rPr>
      </w:pPr>
    </w:p>
    <w:p w14:paraId="6CE45418" w14:textId="0E4C1AD2" w:rsidR="00E15DC3" w:rsidRPr="00CB6495" w:rsidRDefault="00C702EB" w:rsidP="00E95090">
      <w:pPr>
        <w:spacing w:after="0"/>
        <w:rPr>
          <w:lang w:eastAsia="fr-FR"/>
        </w:rPr>
      </w:pPr>
      <w:r w:rsidRPr="00CB6495">
        <w:rPr>
          <w:lang w:eastAsia="fr-FR"/>
        </w:rPr>
        <w:t>- être une entreprise privée</w:t>
      </w:r>
      <w:r w:rsidR="004E40F4" w:rsidRPr="00CB6495">
        <w:rPr>
          <w:lang w:eastAsia="fr-FR"/>
        </w:rPr>
        <w:t xml:space="preserve"> </w:t>
      </w:r>
      <w:r w:rsidR="00F10FDC">
        <w:rPr>
          <w:lang w:eastAsia="fr-FR"/>
        </w:rPr>
        <w:t xml:space="preserve">(y compris des entités privées </w:t>
      </w:r>
      <w:r w:rsidR="004E40F4" w:rsidRPr="00CB6495">
        <w:rPr>
          <w:lang w:eastAsia="fr-FR"/>
        </w:rPr>
        <w:t>d’intérêt public</w:t>
      </w:r>
      <w:r w:rsidR="00F10FDC">
        <w:rPr>
          <w:lang w:eastAsia="fr-FR"/>
        </w:rPr>
        <w:t>)</w:t>
      </w:r>
      <w:r w:rsidRPr="00CB6495">
        <w:rPr>
          <w:lang w:eastAsia="fr-FR"/>
        </w:rPr>
        <w:t xml:space="preserve"> </w:t>
      </w:r>
      <w:r w:rsidR="007333FA" w:rsidRPr="00CB6495">
        <w:rPr>
          <w:lang w:eastAsia="fr-FR"/>
        </w:rPr>
        <w:t xml:space="preserve">dont la nationalité respecte la nationalité telle que précisée en annexe </w:t>
      </w:r>
      <w:r w:rsidR="004E40F4" w:rsidRPr="00CB6495">
        <w:rPr>
          <w:lang w:eastAsia="fr-FR"/>
        </w:rPr>
        <w:t>3</w:t>
      </w:r>
      <w:r w:rsidRPr="00CB6495">
        <w:rPr>
          <w:lang w:eastAsia="fr-FR"/>
        </w:rPr>
        <w:t>;</w:t>
      </w:r>
      <w:r w:rsidR="004303BE" w:rsidRPr="00CB6495">
        <w:rPr>
          <w:lang w:eastAsia="fr-FR"/>
        </w:rPr>
        <w:t xml:space="preserve"> </w:t>
      </w:r>
    </w:p>
    <w:p w14:paraId="5F1B01DD" w14:textId="58C85F1D" w:rsidR="004303BE" w:rsidRPr="002F3AD6" w:rsidRDefault="00C87368" w:rsidP="00E95090">
      <w:pPr>
        <w:spacing w:before="120" w:after="0"/>
        <w:rPr>
          <w:b/>
          <w:sz w:val="20"/>
          <w:szCs w:val="20"/>
          <w:lang w:eastAsia="fr-FR"/>
        </w:rPr>
      </w:pPr>
      <w:r w:rsidRPr="002F3AD6">
        <w:rPr>
          <w:b/>
          <w:sz w:val="20"/>
          <w:szCs w:val="20"/>
          <w:lang w:eastAsia="fr-FR"/>
        </w:rPr>
        <w:t>(</w:t>
      </w:r>
      <w:r w:rsidR="004303BE" w:rsidRPr="002F3AD6">
        <w:rPr>
          <w:b/>
          <w:sz w:val="20"/>
          <w:szCs w:val="20"/>
          <w:lang w:eastAsia="fr-FR"/>
        </w:rPr>
        <w:t>Les statuts ou actes constitutifs du demandeur</w:t>
      </w:r>
      <w:r w:rsidR="00F10FDC">
        <w:rPr>
          <w:b/>
          <w:sz w:val="20"/>
          <w:szCs w:val="20"/>
          <w:lang w:eastAsia="fr-FR"/>
        </w:rPr>
        <w:t xml:space="preserve"> et, le cas échéant, des codemandeurs et entités affilié</w:t>
      </w:r>
      <w:r w:rsidR="007960E2">
        <w:rPr>
          <w:b/>
          <w:sz w:val="20"/>
          <w:szCs w:val="20"/>
          <w:lang w:eastAsia="fr-FR"/>
        </w:rPr>
        <w:t>e</w:t>
      </w:r>
      <w:r w:rsidR="00F10FDC">
        <w:rPr>
          <w:b/>
          <w:sz w:val="20"/>
          <w:szCs w:val="20"/>
          <w:lang w:eastAsia="fr-FR"/>
        </w:rPr>
        <w:t xml:space="preserve">s, </w:t>
      </w:r>
      <w:r w:rsidR="00111203" w:rsidRPr="002F3AD6">
        <w:rPr>
          <w:b/>
          <w:sz w:val="20"/>
          <w:szCs w:val="20"/>
          <w:lang w:eastAsia="fr-FR"/>
        </w:rPr>
        <w:t xml:space="preserve"> </w:t>
      </w:r>
      <w:r w:rsidR="004303BE" w:rsidRPr="002F3AD6">
        <w:rPr>
          <w:b/>
          <w:sz w:val="20"/>
          <w:szCs w:val="20"/>
          <w:lang w:eastAsia="fr-FR"/>
        </w:rPr>
        <w:t xml:space="preserve">doivent être </w:t>
      </w:r>
      <w:r w:rsidR="007333FA" w:rsidRPr="002F3AD6">
        <w:rPr>
          <w:b/>
          <w:sz w:val="20"/>
          <w:szCs w:val="20"/>
          <w:lang w:eastAsia="fr-FR"/>
        </w:rPr>
        <w:t>soumis</w:t>
      </w:r>
      <w:r w:rsidR="004303BE" w:rsidRPr="002F3AD6">
        <w:rPr>
          <w:b/>
          <w:sz w:val="20"/>
          <w:szCs w:val="20"/>
          <w:lang w:eastAsia="fr-FR"/>
        </w:rPr>
        <w:t xml:space="preserve"> de manière à permettre à l'administration contractante de vérifier son éligibilité d’après </w:t>
      </w:r>
      <w:r w:rsidR="005620FF" w:rsidRPr="002F3AD6">
        <w:rPr>
          <w:b/>
          <w:sz w:val="20"/>
          <w:szCs w:val="20"/>
          <w:lang w:eastAsia="fr-FR"/>
        </w:rPr>
        <w:t xml:space="preserve">les critères </w:t>
      </w:r>
      <w:r w:rsidR="003549EF" w:rsidRPr="002F3AD6">
        <w:rPr>
          <w:b/>
          <w:sz w:val="20"/>
          <w:szCs w:val="20"/>
          <w:lang w:eastAsia="fr-FR"/>
        </w:rPr>
        <w:t>ci-dessus</w:t>
      </w:r>
      <w:r w:rsidRPr="002F3AD6">
        <w:rPr>
          <w:b/>
          <w:sz w:val="20"/>
          <w:szCs w:val="20"/>
          <w:lang w:eastAsia="fr-FR"/>
        </w:rPr>
        <w:t>)</w:t>
      </w:r>
    </w:p>
    <w:p w14:paraId="1F1867AA" w14:textId="77777777" w:rsidR="00F5402A" w:rsidRPr="00CB6495" w:rsidRDefault="00F5402A" w:rsidP="00E95090">
      <w:pPr>
        <w:spacing w:after="0"/>
        <w:rPr>
          <w:b/>
          <w:lang w:eastAsia="fr-FR"/>
        </w:rPr>
      </w:pPr>
    </w:p>
    <w:p w14:paraId="0E7B088B" w14:textId="613BD852" w:rsidR="0086335B" w:rsidRPr="00CB6495" w:rsidRDefault="00C24862" w:rsidP="00E95090">
      <w:pPr>
        <w:spacing w:after="0"/>
        <w:rPr>
          <w:b/>
          <w:lang w:eastAsia="fr-FR"/>
        </w:rPr>
      </w:pPr>
      <w:r w:rsidRPr="00CB6495">
        <w:rPr>
          <w:b/>
          <w:lang w:eastAsia="fr-FR"/>
        </w:rPr>
        <w:t>e</w:t>
      </w:r>
      <w:r w:rsidR="0086335B" w:rsidRPr="00CB6495">
        <w:rPr>
          <w:b/>
          <w:lang w:eastAsia="fr-FR"/>
        </w:rPr>
        <w:t>t</w:t>
      </w:r>
    </w:p>
    <w:p w14:paraId="0F726078" w14:textId="18B8A47B" w:rsidR="004303BE" w:rsidRPr="00CB6495" w:rsidRDefault="00C24862" w:rsidP="00E95090">
      <w:pPr>
        <w:spacing w:after="0"/>
        <w:rPr>
          <w:lang w:eastAsia="fr-FR"/>
        </w:rPr>
      </w:pPr>
      <w:r w:rsidRPr="00CB6495">
        <w:rPr>
          <w:b/>
          <w:lang w:eastAsia="fr-FR"/>
        </w:rPr>
        <w:t>-</w:t>
      </w:r>
      <w:r w:rsidR="0091693F" w:rsidRPr="00CB6495">
        <w:rPr>
          <w:b/>
          <w:lang w:eastAsia="fr-FR"/>
        </w:rPr>
        <w:t xml:space="preserve"> </w:t>
      </w:r>
      <w:r w:rsidRPr="00CB6495">
        <w:rPr>
          <w:lang w:eastAsia="fr-FR"/>
        </w:rPr>
        <w:t xml:space="preserve">démontrer une expérience avérée </w:t>
      </w:r>
      <w:r w:rsidR="006575E1" w:rsidRPr="00CB6495">
        <w:rPr>
          <w:lang w:eastAsia="fr-FR"/>
        </w:rPr>
        <w:t xml:space="preserve">pendant les 5 années précédentes à la date de publication de cet AMI, </w:t>
      </w:r>
      <w:r w:rsidRPr="00CB6495">
        <w:rPr>
          <w:lang w:eastAsia="fr-FR"/>
        </w:rPr>
        <w:t xml:space="preserve">d’au moins </w:t>
      </w:r>
      <w:r w:rsidR="0091693F" w:rsidRPr="00CB6495">
        <w:rPr>
          <w:lang w:eastAsia="fr-FR"/>
        </w:rPr>
        <w:t>un</w:t>
      </w:r>
      <w:r w:rsidRPr="00CB6495">
        <w:rPr>
          <w:lang w:eastAsia="fr-FR"/>
        </w:rPr>
        <w:t xml:space="preserve"> </w:t>
      </w:r>
      <w:r w:rsidR="0091693F" w:rsidRPr="00CB6495">
        <w:rPr>
          <w:lang w:eastAsia="fr-FR"/>
        </w:rPr>
        <w:t>projet</w:t>
      </w:r>
      <w:r w:rsidRPr="00CB6495">
        <w:rPr>
          <w:lang w:eastAsia="fr-FR"/>
        </w:rPr>
        <w:t xml:space="preserve"> dans le domaine de l’état civil</w:t>
      </w:r>
      <w:r w:rsidR="004303BE" w:rsidRPr="00CB6495">
        <w:rPr>
          <w:lang w:eastAsia="fr-FR"/>
        </w:rPr>
        <w:t xml:space="preserve"> en Afrique Sub-Saharienne,</w:t>
      </w:r>
      <w:r w:rsidRPr="00CB6495">
        <w:rPr>
          <w:lang w:eastAsia="fr-FR"/>
        </w:rPr>
        <w:t xml:space="preserve"> et la capacité prouvée à travailler dans un contexte post-crise; l’expérience en RCA sera an atout; </w:t>
      </w:r>
      <w:r w:rsidR="00263D58" w:rsidRPr="00CB6495">
        <w:rPr>
          <w:lang w:eastAsia="fr-FR"/>
        </w:rPr>
        <w:t>le demandeur devrait aussi avoir les capacités en termes de monitoring/évaluation, plaidoyer et activités de communication.</w:t>
      </w:r>
    </w:p>
    <w:p w14:paraId="41506372" w14:textId="000EB411" w:rsidR="004303BE" w:rsidRPr="00E95090" w:rsidRDefault="00C87368" w:rsidP="00E95090">
      <w:pPr>
        <w:spacing w:before="120" w:after="0"/>
        <w:rPr>
          <w:b/>
          <w:sz w:val="20"/>
          <w:szCs w:val="20"/>
          <w:lang w:eastAsia="fr-FR"/>
        </w:rPr>
      </w:pPr>
      <w:r w:rsidRPr="00E95090">
        <w:rPr>
          <w:b/>
          <w:sz w:val="20"/>
          <w:szCs w:val="20"/>
          <w:lang w:eastAsia="fr-FR"/>
        </w:rPr>
        <w:t>(</w:t>
      </w:r>
      <w:r w:rsidR="006575E1" w:rsidRPr="00E95090">
        <w:rPr>
          <w:b/>
          <w:sz w:val="20"/>
          <w:szCs w:val="20"/>
          <w:lang w:eastAsia="fr-FR"/>
        </w:rPr>
        <w:t>L</w:t>
      </w:r>
      <w:r w:rsidR="004303BE" w:rsidRPr="00E95090">
        <w:rPr>
          <w:b/>
          <w:sz w:val="20"/>
          <w:szCs w:val="20"/>
          <w:lang w:eastAsia="fr-FR"/>
        </w:rPr>
        <w:t xml:space="preserve">e demandeur </w:t>
      </w:r>
      <w:r w:rsidR="00F10FDC">
        <w:rPr>
          <w:b/>
          <w:sz w:val="20"/>
          <w:szCs w:val="20"/>
          <w:lang w:eastAsia="fr-FR"/>
        </w:rPr>
        <w:t>et, le cas échéant, les codemandeurs et les entités affilié</w:t>
      </w:r>
      <w:r w:rsidR="007960E2">
        <w:rPr>
          <w:b/>
          <w:sz w:val="20"/>
          <w:szCs w:val="20"/>
          <w:lang w:eastAsia="fr-FR"/>
        </w:rPr>
        <w:t>e</w:t>
      </w:r>
      <w:r w:rsidR="00F10FDC">
        <w:rPr>
          <w:b/>
          <w:sz w:val="20"/>
          <w:szCs w:val="20"/>
          <w:lang w:eastAsia="fr-FR"/>
        </w:rPr>
        <w:t>s</w:t>
      </w:r>
      <w:r w:rsidR="00F10FDC" w:rsidRPr="00E95090">
        <w:rPr>
          <w:b/>
          <w:sz w:val="20"/>
          <w:szCs w:val="20"/>
          <w:lang w:eastAsia="fr-FR"/>
        </w:rPr>
        <w:t xml:space="preserve"> doi</w:t>
      </w:r>
      <w:r w:rsidR="00F10FDC">
        <w:rPr>
          <w:b/>
          <w:sz w:val="20"/>
          <w:szCs w:val="20"/>
          <w:lang w:eastAsia="fr-FR"/>
        </w:rPr>
        <w:t>vent</w:t>
      </w:r>
      <w:r w:rsidR="00F10FDC" w:rsidRPr="00E95090">
        <w:rPr>
          <w:b/>
          <w:sz w:val="20"/>
          <w:szCs w:val="20"/>
          <w:lang w:eastAsia="fr-FR"/>
        </w:rPr>
        <w:t xml:space="preserve"> </w:t>
      </w:r>
      <w:r w:rsidR="006575E1" w:rsidRPr="00E95090">
        <w:rPr>
          <w:b/>
          <w:sz w:val="20"/>
          <w:szCs w:val="20"/>
          <w:lang w:eastAsia="fr-FR"/>
        </w:rPr>
        <w:t>présenter la</w:t>
      </w:r>
      <w:r w:rsidR="004303BE" w:rsidRPr="00E95090">
        <w:rPr>
          <w:b/>
          <w:sz w:val="20"/>
          <w:szCs w:val="20"/>
          <w:lang w:eastAsia="fr-FR"/>
        </w:rPr>
        <w:t xml:space="preserve"> liste des projets réalisés avec succès dans les </w:t>
      </w:r>
      <w:r w:rsidR="00F5402A" w:rsidRPr="00E95090">
        <w:rPr>
          <w:b/>
          <w:sz w:val="20"/>
          <w:szCs w:val="20"/>
          <w:lang w:eastAsia="fr-FR"/>
        </w:rPr>
        <w:t>5</w:t>
      </w:r>
      <w:r w:rsidR="004303BE" w:rsidRPr="00E95090">
        <w:rPr>
          <w:b/>
          <w:sz w:val="20"/>
          <w:szCs w:val="20"/>
          <w:lang w:eastAsia="fr-FR"/>
        </w:rPr>
        <w:t xml:space="preserve"> dernières années</w:t>
      </w:r>
      <w:r w:rsidR="00111203" w:rsidRPr="00E95090">
        <w:rPr>
          <w:b/>
          <w:sz w:val="20"/>
          <w:szCs w:val="20"/>
          <w:lang w:eastAsia="fr-FR"/>
        </w:rPr>
        <w:t xml:space="preserve"> à la date de publication de cet AMI</w:t>
      </w:r>
      <w:r w:rsidR="004303BE" w:rsidRPr="00E95090">
        <w:rPr>
          <w:b/>
          <w:sz w:val="20"/>
          <w:szCs w:val="20"/>
          <w:lang w:eastAsia="fr-FR"/>
        </w:rPr>
        <w:t xml:space="preserve"> dans les domaines </w:t>
      </w:r>
      <w:r w:rsidR="0091693F" w:rsidRPr="00E95090">
        <w:rPr>
          <w:b/>
          <w:sz w:val="20"/>
          <w:szCs w:val="20"/>
          <w:lang w:eastAsia="fr-FR"/>
        </w:rPr>
        <w:t xml:space="preserve">gouvernance et/ou état </w:t>
      </w:r>
      <w:r w:rsidR="00111203" w:rsidRPr="00E95090">
        <w:rPr>
          <w:b/>
          <w:sz w:val="20"/>
          <w:szCs w:val="20"/>
          <w:lang w:eastAsia="fr-FR"/>
        </w:rPr>
        <w:t>civil en</w:t>
      </w:r>
      <w:r w:rsidR="004303BE" w:rsidRPr="00E95090">
        <w:rPr>
          <w:b/>
          <w:sz w:val="20"/>
          <w:szCs w:val="20"/>
          <w:lang w:eastAsia="fr-FR"/>
        </w:rPr>
        <w:t xml:space="preserve"> Afrique subsaharienne y inclus le montant du budget, la durée du projet et le nom du bailleur</w:t>
      </w:r>
      <w:r w:rsidRPr="00E95090">
        <w:rPr>
          <w:b/>
          <w:sz w:val="20"/>
          <w:szCs w:val="20"/>
          <w:lang w:eastAsia="fr-FR"/>
        </w:rPr>
        <w:t>)</w:t>
      </w:r>
      <w:r w:rsidR="00B6295A" w:rsidRPr="00E95090">
        <w:rPr>
          <w:b/>
          <w:sz w:val="20"/>
          <w:szCs w:val="20"/>
          <w:lang w:eastAsia="fr-FR"/>
        </w:rPr>
        <w:t>;</w:t>
      </w:r>
    </w:p>
    <w:p w14:paraId="4FF5D4D8" w14:textId="77777777" w:rsidR="00CB6495" w:rsidRDefault="00CB6495" w:rsidP="00E95090">
      <w:pPr>
        <w:spacing w:after="0"/>
        <w:rPr>
          <w:b/>
          <w:lang w:eastAsia="fr-FR"/>
        </w:rPr>
      </w:pPr>
    </w:p>
    <w:p w14:paraId="5572EB86" w14:textId="4FBAE526" w:rsidR="004303BE" w:rsidRPr="00CB6495" w:rsidRDefault="00111203" w:rsidP="00E95090">
      <w:pPr>
        <w:spacing w:after="0"/>
        <w:rPr>
          <w:b/>
          <w:lang w:eastAsia="fr-FR"/>
        </w:rPr>
      </w:pPr>
      <w:r w:rsidRPr="00CB6495">
        <w:rPr>
          <w:b/>
          <w:lang w:eastAsia="fr-FR"/>
        </w:rPr>
        <w:t>e</w:t>
      </w:r>
      <w:r w:rsidR="006575E1" w:rsidRPr="00CB6495">
        <w:rPr>
          <w:b/>
          <w:lang w:eastAsia="fr-FR"/>
        </w:rPr>
        <w:t>t</w:t>
      </w:r>
      <w:r w:rsidRPr="00CB6495">
        <w:rPr>
          <w:b/>
          <w:lang w:eastAsia="fr-FR"/>
        </w:rPr>
        <w:t>,</w:t>
      </w:r>
    </w:p>
    <w:p w14:paraId="34C25157" w14:textId="6BF07C5A" w:rsidR="004303BE" w:rsidRPr="00CB6495" w:rsidRDefault="006575E1" w:rsidP="00E95090">
      <w:pPr>
        <w:spacing w:after="0"/>
        <w:rPr>
          <w:lang w:eastAsia="fr-FR"/>
        </w:rPr>
      </w:pPr>
      <w:r w:rsidRPr="00CB6495">
        <w:rPr>
          <w:lang w:eastAsia="fr-FR"/>
        </w:rPr>
        <w:t>- dispose</w:t>
      </w:r>
      <w:r w:rsidR="007333FA" w:rsidRPr="00CB6495">
        <w:rPr>
          <w:lang w:eastAsia="fr-FR"/>
        </w:rPr>
        <w:t>r</w:t>
      </w:r>
      <w:r w:rsidRPr="00CB6495">
        <w:rPr>
          <w:lang w:eastAsia="fr-FR"/>
        </w:rPr>
        <w:t xml:space="preserve"> de sources de financement stables et suffisantes pour maintenir leur activité tout au long de l’action proposée et, si nécessaire, pour participer à son financement;</w:t>
      </w:r>
      <w:r w:rsidR="003549EF" w:rsidRPr="00CB6495">
        <w:rPr>
          <w:lang w:eastAsia="fr-FR"/>
        </w:rPr>
        <w:t xml:space="preserve"> comme critère visant à évaluer la capacité financière, le demandeur doit avoir une chiffre d'affaires moyenne annuel les trois dernières années d’au moins 1</w:t>
      </w:r>
      <w:r w:rsidR="009B7A72">
        <w:rPr>
          <w:lang w:eastAsia="fr-FR"/>
        </w:rPr>
        <w:t>.</w:t>
      </w:r>
      <w:r w:rsidR="003549EF" w:rsidRPr="00CB6495">
        <w:rPr>
          <w:lang w:eastAsia="fr-FR"/>
        </w:rPr>
        <w:t>5</w:t>
      </w:r>
      <w:r w:rsidR="007960E2">
        <w:rPr>
          <w:lang w:eastAsia="fr-FR"/>
        </w:rPr>
        <w:t xml:space="preserve"> </w:t>
      </w:r>
      <w:r w:rsidR="009B7A72">
        <w:rPr>
          <w:lang w:eastAsia="fr-FR"/>
        </w:rPr>
        <w:t>million d’</w:t>
      </w:r>
      <w:r w:rsidR="003549EF" w:rsidRPr="00CB6495">
        <w:rPr>
          <w:lang w:eastAsia="fr-FR"/>
        </w:rPr>
        <w:t>euros</w:t>
      </w:r>
      <w:r w:rsidR="00F10FDC">
        <w:rPr>
          <w:lang w:eastAsia="fr-FR"/>
        </w:rPr>
        <w:t>,</w:t>
      </w:r>
    </w:p>
    <w:p w14:paraId="4CD9312A" w14:textId="37862201" w:rsidR="003549EF" w:rsidRPr="00E95090" w:rsidRDefault="00C87368" w:rsidP="00E95090">
      <w:pPr>
        <w:spacing w:before="120" w:after="0"/>
        <w:rPr>
          <w:rFonts w:ascii="Times New Roman Bold" w:hAnsi="Times New Roman Bold"/>
          <w:b/>
          <w:sz w:val="20"/>
          <w:szCs w:val="20"/>
          <w:lang w:eastAsia="fr-FR"/>
        </w:rPr>
      </w:pPr>
      <w:r w:rsidRPr="00E95090">
        <w:rPr>
          <w:rFonts w:ascii="Times New Roman Bold" w:hAnsi="Times New Roman Bold"/>
          <w:b/>
          <w:sz w:val="20"/>
          <w:szCs w:val="20"/>
          <w:lang w:eastAsia="fr-FR"/>
        </w:rPr>
        <w:t>(</w:t>
      </w:r>
      <w:r w:rsidR="003549EF" w:rsidRPr="00E95090">
        <w:rPr>
          <w:rFonts w:ascii="Times New Roman Bold" w:hAnsi="Times New Roman Bold"/>
          <w:b/>
          <w:sz w:val="20"/>
          <w:szCs w:val="20"/>
          <w:lang w:eastAsia="fr-FR"/>
        </w:rPr>
        <w:t>Le demandeur</w:t>
      </w:r>
      <w:r w:rsidR="00F10FDC">
        <w:rPr>
          <w:rFonts w:ascii="Times New Roman Bold" w:hAnsi="Times New Roman Bold"/>
          <w:b/>
          <w:sz w:val="20"/>
          <w:szCs w:val="20"/>
          <w:lang w:eastAsia="fr-FR"/>
        </w:rPr>
        <w:t xml:space="preserve">, </w:t>
      </w:r>
      <w:r w:rsidR="00F10FDC">
        <w:rPr>
          <w:b/>
          <w:sz w:val="20"/>
          <w:szCs w:val="20"/>
          <w:lang w:eastAsia="fr-FR"/>
        </w:rPr>
        <w:t>et, le cas échéant, les codemandeurs et les entités affilié</w:t>
      </w:r>
      <w:r w:rsidR="007960E2">
        <w:rPr>
          <w:b/>
          <w:sz w:val="20"/>
          <w:szCs w:val="20"/>
          <w:lang w:eastAsia="fr-FR"/>
        </w:rPr>
        <w:t>e</w:t>
      </w:r>
      <w:r w:rsidR="00F10FDC">
        <w:rPr>
          <w:b/>
          <w:sz w:val="20"/>
          <w:szCs w:val="20"/>
          <w:lang w:eastAsia="fr-FR"/>
        </w:rPr>
        <w:t>s</w:t>
      </w:r>
      <w:r w:rsidR="003549EF" w:rsidRPr="00E95090">
        <w:rPr>
          <w:rFonts w:ascii="Times New Roman Bold" w:hAnsi="Times New Roman Bold"/>
          <w:b/>
          <w:sz w:val="20"/>
          <w:szCs w:val="20"/>
          <w:lang w:eastAsia="fr-FR"/>
        </w:rPr>
        <w:t xml:space="preserve"> </w:t>
      </w:r>
      <w:r w:rsidR="004C2B7E" w:rsidRPr="00E95090">
        <w:rPr>
          <w:rFonts w:ascii="Times New Roman Bold" w:hAnsi="Times New Roman Bold"/>
          <w:b/>
          <w:sz w:val="20"/>
          <w:szCs w:val="20"/>
          <w:lang w:eastAsia="fr-FR"/>
        </w:rPr>
        <w:t>doi</w:t>
      </w:r>
      <w:r w:rsidR="00F10FDC">
        <w:rPr>
          <w:rFonts w:ascii="Times New Roman Bold" w:hAnsi="Times New Roman Bold"/>
          <w:b/>
          <w:sz w:val="20"/>
          <w:szCs w:val="20"/>
          <w:lang w:eastAsia="fr-FR"/>
        </w:rPr>
        <w:t>ven</w:t>
      </w:r>
      <w:r w:rsidR="004C2B7E" w:rsidRPr="00E95090">
        <w:rPr>
          <w:rFonts w:ascii="Times New Roman Bold" w:hAnsi="Times New Roman Bold"/>
          <w:b/>
          <w:sz w:val="20"/>
          <w:szCs w:val="20"/>
          <w:lang w:eastAsia="fr-FR"/>
        </w:rPr>
        <w:t>t</w:t>
      </w:r>
      <w:r w:rsidR="003549EF" w:rsidRPr="00E95090">
        <w:rPr>
          <w:rFonts w:ascii="Times New Roman Bold" w:hAnsi="Times New Roman Bold"/>
          <w:b/>
          <w:sz w:val="20"/>
          <w:szCs w:val="20"/>
          <w:lang w:eastAsia="fr-FR"/>
        </w:rPr>
        <w:t xml:space="preserve"> </w:t>
      </w:r>
      <w:r w:rsidR="007333FA" w:rsidRPr="00E95090">
        <w:rPr>
          <w:rFonts w:ascii="Times New Roman Bold" w:hAnsi="Times New Roman Bold"/>
          <w:b/>
          <w:sz w:val="20"/>
          <w:szCs w:val="20"/>
          <w:lang w:eastAsia="fr-FR"/>
        </w:rPr>
        <w:t>soumettre</w:t>
      </w:r>
      <w:r w:rsidR="00263D58" w:rsidRPr="00E95090">
        <w:rPr>
          <w:rFonts w:ascii="Times New Roman Bold" w:hAnsi="Times New Roman Bold"/>
          <w:b/>
          <w:sz w:val="20"/>
          <w:szCs w:val="20"/>
          <w:lang w:eastAsia="fr-FR"/>
        </w:rPr>
        <w:t xml:space="preserve"> les rapports</w:t>
      </w:r>
      <w:r w:rsidR="003549EF" w:rsidRPr="00E95090">
        <w:rPr>
          <w:rFonts w:ascii="Times New Roman Bold" w:hAnsi="Times New Roman Bold"/>
          <w:b/>
          <w:sz w:val="20"/>
          <w:szCs w:val="20"/>
          <w:lang w:eastAsia="fr-FR"/>
        </w:rPr>
        <w:t xml:space="preserve"> d’audit externe produit</w:t>
      </w:r>
      <w:r w:rsidR="001F3394" w:rsidRPr="00E95090">
        <w:rPr>
          <w:rFonts w:ascii="Times New Roman Bold" w:hAnsi="Times New Roman Bold"/>
          <w:b/>
          <w:sz w:val="20"/>
          <w:szCs w:val="20"/>
          <w:lang w:eastAsia="fr-FR"/>
        </w:rPr>
        <w:t>s</w:t>
      </w:r>
      <w:r w:rsidR="003549EF" w:rsidRPr="00E95090">
        <w:rPr>
          <w:rFonts w:ascii="Times New Roman Bold" w:hAnsi="Times New Roman Bold"/>
          <w:b/>
          <w:sz w:val="20"/>
          <w:szCs w:val="20"/>
          <w:lang w:eastAsia="fr-FR"/>
        </w:rPr>
        <w:t xml:space="preserve"> par un contrôleur des comptes agréé, certifiant les comptes du demandeur relatifs </w:t>
      </w:r>
      <w:r w:rsidR="00263D58" w:rsidRPr="00E95090">
        <w:rPr>
          <w:rFonts w:ascii="Times New Roman Bold" w:hAnsi="Times New Roman Bold"/>
          <w:b/>
          <w:sz w:val="20"/>
          <w:szCs w:val="20"/>
          <w:lang w:eastAsia="fr-FR"/>
        </w:rPr>
        <w:t>aux trois derniers exercices</w:t>
      </w:r>
      <w:r w:rsidR="003549EF" w:rsidRPr="00E95090">
        <w:rPr>
          <w:rFonts w:ascii="Times New Roman Bold" w:hAnsi="Times New Roman Bold"/>
          <w:b/>
          <w:sz w:val="20"/>
          <w:szCs w:val="20"/>
          <w:lang w:eastAsia="fr-FR"/>
        </w:rPr>
        <w:t xml:space="preserve"> financier</w:t>
      </w:r>
      <w:r w:rsidR="00263D58" w:rsidRPr="00E95090">
        <w:rPr>
          <w:rFonts w:ascii="Times New Roman Bold" w:hAnsi="Times New Roman Bold"/>
          <w:b/>
          <w:sz w:val="20"/>
          <w:szCs w:val="20"/>
          <w:lang w:eastAsia="fr-FR"/>
        </w:rPr>
        <w:t>s</w:t>
      </w:r>
      <w:r w:rsidR="003549EF" w:rsidRPr="00E95090">
        <w:rPr>
          <w:rFonts w:ascii="Times New Roman Bold" w:hAnsi="Times New Roman Bold"/>
          <w:b/>
          <w:sz w:val="20"/>
          <w:szCs w:val="20"/>
          <w:lang w:eastAsia="fr-FR"/>
        </w:rPr>
        <w:t xml:space="preserve"> disponible</w:t>
      </w:r>
      <w:r w:rsidR="00B6295A" w:rsidRPr="00E95090">
        <w:rPr>
          <w:rFonts w:ascii="Times New Roman Bold" w:hAnsi="Times New Roman Bold"/>
          <w:b/>
          <w:sz w:val="20"/>
          <w:szCs w:val="20"/>
          <w:lang w:eastAsia="fr-FR"/>
        </w:rPr>
        <w:t>s</w:t>
      </w:r>
      <w:r w:rsidRPr="00E95090">
        <w:rPr>
          <w:rFonts w:ascii="Times New Roman Bold" w:hAnsi="Times New Roman Bold"/>
          <w:b/>
          <w:sz w:val="20"/>
          <w:szCs w:val="20"/>
          <w:lang w:eastAsia="fr-FR"/>
        </w:rPr>
        <w:t>)</w:t>
      </w:r>
      <w:r w:rsidR="005620FF" w:rsidRPr="00E95090">
        <w:rPr>
          <w:rFonts w:ascii="Times New Roman Bold" w:hAnsi="Times New Roman Bold"/>
          <w:b/>
          <w:sz w:val="20"/>
          <w:szCs w:val="20"/>
          <w:lang w:eastAsia="fr-FR"/>
        </w:rPr>
        <w:t>.</w:t>
      </w:r>
    </w:p>
    <w:p w14:paraId="499C112F" w14:textId="77777777" w:rsidR="00263D58" w:rsidRPr="00CB6495" w:rsidRDefault="00263D58" w:rsidP="00E95090">
      <w:pPr>
        <w:spacing w:after="0"/>
        <w:rPr>
          <w:lang w:eastAsia="fr-FR"/>
        </w:rPr>
      </w:pPr>
    </w:p>
    <w:p w14:paraId="0E9EE6F7" w14:textId="2B8FE049" w:rsidR="00263D58" w:rsidRPr="00CB6495" w:rsidRDefault="00263D58" w:rsidP="00E95090">
      <w:pPr>
        <w:spacing w:after="0"/>
        <w:rPr>
          <w:u w:val="single"/>
          <w:lang w:eastAsia="fr-FR"/>
        </w:rPr>
      </w:pPr>
      <w:r w:rsidRPr="00CB6495">
        <w:rPr>
          <w:u w:val="single"/>
          <w:lang w:eastAsia="fr-FR"/>
        </w:rPr>
        <w:t>Le demandeur principal devrait:</w:t>
      </w:r>
    </w:p>
    <w:p w14:paraId="1161077F" w14:textId="77777777" w:rsidR="00A87DCA" w:rsidRPr="00CB6495" w:rsidRDefault="00A87DCA" w:rsidP="00E95090">
      <w:pPr>
        <w:spacing w:after="0"/>
        <w:rPr>
          <w:lang w:eastAsia="fr-FR"/>
        </w:rPr>
      </w:pPr>
    </w:p>
    <w:p w14:paraId="1E1EDBC9" w14:textId="553963AA" w:rsidR="00E15DC3" w:rsidRPr="00CB6495" w:rsidRDefault="00E15DC3" w:rsidP="00E95090">
      <w:pPr>
        <w:spacing w:after="0"/>
        <w:rPr>
          <w:lang w:eastAsia="fr-FR"/>
        </w:rPr>
      </w:pPr>
      <w:r w:rsidRPr="00CB6495">
        <w:rPr>
          <w:lang w:eastAsia="fr-FR"/>
        </w:rPr>
        <w:t>- disposer d'une représentation effective en Centrafrique, avec du personnel permanent</w:t>
      </w:r>
      <w:r w:rsidR="00C702EB" w:rsidRPr="00CB6495">
        <w:rPr>
          <w:lang w:eastAsia="fr-FR"/>
        </w:rPr>
        <w:t>, ou démontrer un plan d’installa</w:t>
      </w:r>
      <w:r w:rsidR="00E32236" w:rsidRPr="00CB6495">
        <w:rPr>
          <w:lang w:eastAsia="fr-FR"/>
        </w:rPr>
        <w:t>tion d’une telle représentation.</w:t>
      </w:r>
    </w:p>
    <w:p w14:paraId="4375A8D1" w14:textId="77777777" w:rsidR="00AF2C85" w:rsidRPr="00CB6495" w:rsidRDefault="00AF2C85" w:rsidP="00E95090">
      <w:pPr>
        <w:spacing w:after="0"/>
        <w:rPr>
          <w:lang w:eastAsia="fr-FR"/>
        </w:rPr>
      </w:pPr>
    </w:p>
    <w:p w14:paraId="207FA092" w14:textId="736F39E0" w:rsidR="00AF2C85" w:rsidRPr="00CB6495" w:rsidRDefault="000371F6" w:rsidP="00E95090">
      <w:pPr>
        <w:spacing w:after="0"/>
        <w:rPr>
          <w:lang w:eastAsia="fr-FR"/>
        </w:rPr>
      </w:pPr>
      <w:r>
        <w:rPr>
          <w:lang w:eastAsia="fr-FR"/>
        </w:rPr>
        <w:t xml:space="preserve">Le demandeur principal peut participer avec des codemandeurs. </w:t>
      </w:r>
      <w:r w:rsidR="00E32236" w:rsidRPr="00CB6495">
        <w:rPr>
          <w:lang w:eastAsia="fr-FR"/>
        </w:rPr>
        <w:t>L</w:t>
      </w:r>
      <w:r w:rsidR="00AF2C85" w:rsidRPr="00CB6495">
        <w:rPr>
          <w:lang w:eastAsia="fr-FR"/>
        </w:rPr>
        <w:t>es codemandeurs participent à l’élaboration et à la mise en œuvre de l’action, et les frais qu’ils supportent sont éligibles au même titre que ceux supportés par le demandeur chef de file. Les codemandeurs doivent satisfaire aux mêmes critères d’éligibilité que ceux qui s'appliquent au demandeur chef de file lui-même.</w:t>
      </w:r>
      <w:r w:rsidR="00B72FEA" w:rsidRPr="00CB6495">
        <w:rPr>
          <w:lang w:eastAsia="fr-FR"/>
        </w:rPr>
        <w:t xml:space="preserve"> </w:t>
      </w:r>
    </w:p>
    <w:p w14:paraId="1C0F54A9" w14:textId="77777777" w:rsidR="00AF2C85" w:rsidRPr="00CB6495" w:rsidRDefault="00AF2C85" w:rsidP="00E95090">
      <w:pPr>
        <w:spacing w:after="0"/>
        <w:rPr>
          <w:lang w:eastAsia="fr-FR"/>
        </w:rPr>
      </w:pPr>
    </w:p>
    <w:p w14:paraId="132F858E" w14:textId="542F4737" w:rsidR="00AF2C85" w:rsidRPr="00CB6495" w:rsidRDefault="000371F6" w:rsidP="00E95090">
      <w:pPr>
        <w:spacing w:after="0"/>
        <w:rPr>
          <w:lang w:eastAsia="fr-FR"/>
        </w:rPr>
      </w:pPr>
      <w:r>
        <w:rPr>
          <w:lang w:eastAsia="fr-FR"/>
        </w:rPr>
        <w:t xml:space="preserve">Le demandeur principal et, le cas échéant, les codemandeurs, peuvent participer avec des </w:t>
      </w:r>
      <w:r w:rsidRPr="00CB6495">
        <w:rPr>
          <w:lang w:eastAsia="fr-FR"/>
        </w:rPr>
        <w:t>entités affiliées</w:t>
      </w:r>
      <w:r>
        <w:rPr>
          <w:lang w:eastAsia="fr-FR"/>
        </w:rPr>
        <w:t>, qui sont des entités avec un lien structurel</w:t>
      </w:r>
      <w:r w:rsidR="00BC4E77">
        <w:rPr>
          <w:lang w:eastAsia="fr-FR"/>
        </w:rPr>
        <w:t xml:space="preserve"> (</w:t>
      </w:r>
      <w:r>
        <w:rPr>
          <w:lang w:eastAsia="fr-FR"/>
        </w:rPr>
        <w:t>pas limité à la présente action</w:t>
      </w:r>
      <w:r w:rsidR="00BC4E77">
        <w:rPr>
          <w:lang w:eastAsia="fr-FR"/>
        </w:rPr>
        <w:t>)</w:t>
      </w:r>
      <w:r>
        <w:rPr>
          <w:lang w:eastAsia="fr-FR"/>
        </w:rPr>
        <w:t xml:space="preserve"> avec le demandeur ou le codemandeur.</w:t>
      </w:r>
      <w:r w:rsidR="007960E2">
        <w:rPr>
          <w:lang w:eastAsia="fr-FR"/>
        </w:rPr>
        <w:t xml:space="preserve"> </w:t>
      </w:r>
      <w:r w:rsidR="00AF2C85" w:rsidRPr="00CB6495">
        <w:rPr>
          <w:lang w:eastAsia="fr-FR"/>
        </w:rPr>
        <w:t>Les entités affiliées doivent satisfaire aux mêmes critères d’éligibilité que ceux qui s’appliquent au demandeur principal et aux codemandeurs.</w:t>
      </w:r>
    </w:p>
    <w:p w14:paraId="0850BA7F" w14:textId="77777777" w:rsidR="00AF2C85" w:rsidRPr="00CB6495" w:rsidRDefault="00AF2C85" w:rsidP="002F3AD6">
      <w:pPr>
        <w:spacing w:after="0"/>
        <w:rPr>
          <w:lang w:eastAsia="fr-FR"/>
        </w:rPr>
      </w:pPr>
    </w:p>
    <w:p w14:paraId="39F800F2" w14:textId="77777777" w:rsidR="003364AB" w:rsidRPr="00CB6495" w:rsidRDefault="003364AB" w:rsidP="002F3AD6">
      <w:pPr>
        <w:spacing w:after="0"/>
        <w:rPr>
          <w:u w:val="single"/>
          <w:lang w:eastAsia="fr-FR"/>
        </w:rPr>
      </w:pPr>
      <w:r w:rsidRPr="00CB6495">
        <w:rPr>
          <w:u w:val="single"/>
          <w:lang w:eastAsia="fr-FR"/>
        </w:rPr>
        <w:t xml:space="preserve">Conditions s'appliquant aux financements en cascade </w:t>
      </w:r>
    </w:p>
    <w:p w14:paraId="7A4914C2" w14:textId="77777777" w:rsidR="003364AB" w:rsidRPr="00CB6495" w:rsidRDefault="003364AB" w:rsidP="002F3AD6">
      <w:pPr>
        <w:spacing w:after="0"/>
        <w:rPr>
          <w:lang w:eastAsia="fr-FR"/>
        </w:rPr>
      </w:pPr>
    </w:p>
    <w:p w14:paraId="1B31C388" w14:textId="0F24DFE9" w:rsidR="003364AB" w:rsidRPr="00CB6495" w:rsidRDefault="003364AB" w:rsidP="00A23F9E">
      <w:pPr>
        <w:spacing w:after="0"/>
        <w:rPr>
          <w:lang w:eastAsia="fr-FR"/>
        </w:rPr>
      </w:pPr>
      <w:r w:rsidRPr="00CB6495">
        <w:rPr>
          <w:lang w:eastAsia="fr-FR"/>
        </w:rPr>
        <w:t xml:space="preserve">Afin de soutenir l'atteinte des objectifs de l'action, et en particulier quand la mise en œuvre de l'action proposée par le demandeur requiert un soutien financier à des tiers, le demandeur peut proposer l'attribution de subventions en cascade </w:t>
      </w:r>
      <w:r w:rsidRPr="00CB6495">
        <w:rPr>
          <w:b/>
          <w:lang w:eastAsia="fr-FR"/>
        </w:rPr>
        <w:t>au profit notamment d'acteurs locaux</w:t>
      </w:r>
      <w:r w:rsidRPr="00CB6495">
        <w:rPr>
          <w:lang w:eastAsia="fr-FR"/>
        </w:rPr>
        <w:t xml:space="preserve">. Néanmoins les subventions en cascade ne peuvent en aucun cas constituer l'activité principale de l'action et doivent être justifiées. </w:t>
      </w:r>
    </w:p>
    <w:p w14:paraId="76394BFB" w14:textId="77777777" w:rsidR="003364AB" w:rsidRPr="00CB6495" w:rsidRDefault="003364AB" w:rsidP="00A23F9E">
      <w:pPr>
        <w:spacing w:after="0"/>
        <w:rPr>
          <w:lang w:eastAsia="fr-FR"/>
        </w:rPr>
      </w:pPr>
    </w:p>
    <w:p w14:paraId="2880980B" w14:textId="53775BB4" w:rsidR="00E15DC3" w:rsidRPr="00CB6495" w:rsidRDefault="00E15DC3" w:rsidP="00A23F9E">
      <w:pPr>
        <w:spacing w:after="0"/>
        <w:rPr>
          <w:lang w:eastAsia="fr-FR"/>
        </w:rPr>
      </w:pPr>
      <w:r w:rsidRPr="00CB6495">
        <w:rPr>
          <w:lang w:eastAsia="fr-FR"/>
        </w:rPr>
        <w:t>Chaque demandeur ne peut présenter qu'une seule proposition dans le cadre de cet appel à manifestation d’intérêt. Un codemandeur ou entité affiliée peut cependant être présent sur plusieurs propositions.</w:t>
      </w:r>
    </w:p>
    <w:p w14:paraId="5ABC0E1B" w14:textId="77777777" w:rsidR="005267F9" w:rsidRPr="00CB6495" w:rsidRDefault="005267F9" w:rsidP="00A23F9E">
      <w:pPr>
        <w:spacing w:after="0"/>
        <w:rPr>
          <w:lang w:eastAsia="fr-FR"/>
        </w:rPr>
      </w:pPr>
    </w:p>
    <w:p w14:paraId="0F22F984" w14:textId="666C22F6" w:rsidR="00902254" w:rsidRPr="00CB6495" w:rsidRDefault="005267F9" w:rsidP="00A23F9E">
      <w:pPr>
        <w:spacing w:after="0"/>
        <w:rPr>
          <w:lang w:eastAsia="fr-FR"/>
        </w:rPr>
      </w:pPr>
      <w:r w:rsidRPr="00CB6495">
        <w:rPr>
          <w:lang w:eastAsia="fr-FR"/>
        </w:rPr>
        <w:t xml:space="preserve">Veuillez noter qu’un </w:t>
      </w:r>
      <w:r w:rsidR="00F5402A" w:rsidRPr="00CB6495">
        <w:rPr>
          <w:lang w:eastAsia="fr-FR"/>
        </w:rPr>
        <w:t xml:space="preserve">demandeur principal </w:t>
      </w:r>
      <w:r w:rsidRPr="00CB6495">
        <w:rPr>
          <w:lang w:eastAsia="fr-FR"/>
        </w:rPr>
        <w:t>(coordonnateur) dont les piliers ont été positivement évalués par la Commission européenne et qui se voit accorder une subvention ne signe pas le contrat type de subvention publié avec les présentes lignes directrices, mais une convention de contribution fondée sur le modèle de convention de contribution.</w:t>
      </w:r>
    </w:p>
    <w:p w14:paraId="4BCAEE7B" w14:textId="39526BE2" w:rsidR="00902254" w:rsidRDefault="00902254" w:rsidP="00A23F9E">
      <w:pPr>
        <w:spacing w:after="0"/>
        <w:rPr>
          <w:b/>
          <w:lang w:eastAsia="fr-FR"/>
        </w:rPr>
      </w:pPr>
    </w:p>
    <w:p w14:paraId="096FAD97" w14:textId="5B699D17" w:rsidR="00360C69" w:rsidRPr="00CB6495" w:rsidRDefault="00C202AF" w:rsidP="00A23F9E">
      <w:pPr>
        <w:spacing w:after="0"/>
        <w:rPr>
          <w:b/>
          <w:lang w:eastAsia="fr-FR"/>
        </w:rPr>
      </w:pPr>
      <w:r w:rsidRPr="00CB6495">
        <w:rPr>
          <w:b/>
          <w:lang w:eastAsia="fr-FR"/>
        </w:rPr>
        <w:t>1</w:t>
      </w:r>
      <w:r w:rsidR="005F1939" w:rsidRPr="00CB6495">
        <w:rPr>
          <w:b/>
          <w:lang w:eastAsia="fr-FR"/>
        </w:rPr>
        <w:t>2</w:t>
      </w:r>
      <w:r w:rsidR="00360C69" w:rsidRPr="00CB6495">
        <w:rPr>
          <w:b/>
          <w:lang w:eastAsia="fr-FR"/>
        </w:rPr>
        <w:t>. Critères d’exclusion</w:t>
      </w:r>
    </w:p>
    <w:p w14:paraId="1C632ED5" w14:textId="77777777" w:rsidR="00360C69" w:rsidRPr="00CB6495" w:rsidRDefault="00360C69" w:rsidP="00A23F9E">
      <w:pPr>
        <w:spacing w:after="0"/>
        <w:rPr>
          <w:lang w:eastAsia="fr-FR"/>
        </w:rPr>
      </w:pPr>
    </w:p>
    <w:p w14:paraId="6877327E" w14:textId="0F54F306" w:rsidR="007D7A12" w:rsidRPr="00CB6495" w:rsidRDefault="00144001" w:rsidP="00A23F9E">
      <w:pPr>
        <w:spacing w:after="0"/>
        <w:rPr>
          <w:lang w:eastAsia="fr-FR"/>
        </w:rPr>
      </w:pPr>
      <w:r w:rsidRPr="00CB6495">
        <w:rPr>
          <w:lang w:eastAsia="fr-FR"/>
        </w:rPr>
        <w:t xml:space="preserve">Le demandeur principal, </w:t>
      </w:r>
      <w:r w:rsidR="00360C69" w:rsidRPr="00CB6495">
        <w:rPr>
          <w:lang w:eastAsia="fr-FR"/>
        </w:rPr>
        <w:t xml:space="preserve">les organisations </w:t>
      </w:r>
      <w:proofErr w:type="spellStart"/>
      <w:r w:rsidR="00C702EB" w:rsidRPr="00CB6495">
        <w:rPr>
          <w:lang w:eastAsia="fr-FR"/>
        </w:rPr>
        <w:t>c</w:t>
      </w:r>
      <w:r w:rsidR="00B94F83" w:rsidRPr="00CB6495">
        <w:rPr>
          <w:lang w:eastAsia="fr-FR"/>
        </w:rPr>
        <w:t>o</w:t>
      </w:r>
      <w:proofErr w:type="spellEnd"/>
      <w:r w:rsidR="00C702EB" w:rsidRPr="00CB6495">
        <w:rPr>
          <w:lang w:eastAsia="fr-FR"/>
        </w:rPr>
        <w:t>-</w:t>
      </w:r>
      <w:r w:rsidR="00360C69" w:rsidRPr="00CB6495">
        <w:rPr>
          <w:lang w:eastAsia="fr-FR"/>
        </w:rPr>
        <w:t xml:space="preserve">demandeuses </w:t>
      </w:r>
      <w:r w:rsidR="0009355E" w:rsidRPr="00CB6495">
        <w:rPr>
          <w:lang w:eastAsia="fr-FR"/>
        </w:rPr>
        <w:t xml:space="preserve">et </w:t>
      </w:r>
      <w:r w:rsidRPr="00CB6495">
        <w:rPr>
          <w:lang w:eastAsia="fr-FR"/>
        </w:rPr>
        <w:t xml:space="preserve">les entités affiliées </w:t>
      </w:r>
      <w:r w:rsidR="00360C69" w:rsidRPr="00CB6495">
        <w:rPr>
          <w:lang w:eastAsia="fr-FR"/>
        </w:rPr>
        <w:t>doivent attester qu'elles ne se trouvent dans aucun des critères d'exclusion repris au point 2.6.10.1.1. du PRAG</w:t>
      </w:r>
      <w:r w:rsidR="00AB3359" w:rsidRPr="00CB6495">
        <w:rPr>
          <w:rStyle w:val="FootnoteReference"/>
          <w:lang w:eastAsia="fr-FR"/>
        </w:rPr>
        <w:footnoteReference w:id="7"/>
      </w:r>
      <w:r w:rsidR="00360C69" w:rsidRPr="00CB6495">
        <w:rPr>
          <w:lang w:eastAsia="fr-FR"/>
        </w:rPr>
        <w:t>.</w:t>
      </w:r>
    </w:p>
    <w:p w14:paraId="08D785C0" w14:textId="77777777" w:rsidR="001F3394" w:rsidRPr="00CB6495" w:rsidRDefault="001F3394" w:rsidP="00A23F9E">
      <w:pPr>
        <w:autoSpaceDE w:val="0"/>
        <w:autoSpaceDN w:val="0"/>
        <w:adjustRightInd w:val="0"/>
        <w:spacing w:after="0"/>
        <w:rPr>
          <w:b/>
          <w:bCs/>
          <w:color w:val="000000"/>
          <w:lang w:eastAsia="fr-FR"/>
        </w:rPr>
      </w:pPr>
    </w:p>
    <w:p w14:paraId="073A92E7" w14:textId="48FBDFD5" w:rsidR="00E15DC3" w:rsidRDefault="00C202AF" w:rsidP="00A23F9E">
      <w:pPr>
        <w:autoSpaceDE w:val="0"/>
        <w:autoSpaceDN w:val="0"/>
        <w:adjustRightInd w:val="0"/>
        <w:spacing w:after="0"/>
        <w:rPr>
          <w:b/>
          <w:bCs/>
          <w:color w:val="000000"/>
          <w:lang w:eastAsia="fr-FR"/>
        </w:rPr>
      </w:pPr>
      <w:r w:rsidRPr="00CB6495">
        <w:rPr>
          <w:b/>
          <w:bCs/>
          <w:color w:val="000000"/>
          <w:lang w:eastAsia="fr-FR"/>
        </w:rPr>
        <w:t>1</w:t>
      </w:r>
      <w:r w:rsidR="006B194F" w:rsidRPr="00CB6495">
        <w:rPr>
          <w:b/>
          <w:bCs/>
          <w:color w:val="000000"/>
          <w:lang w:eastAsia="fr-FR"/>
        </w:rPr>
        <w:t>3</w:t>
      </w:r>
      <w:r w:rsidR="00E15DC3" w:rsidRPr="00CB6495">
        <w:rPr>
          <w:b/>
          <w:bCs/>
          <w:color w:val="000000"/>
          <w:lang w:eastAsia="fr-FR"/>
        </w:rPr>
        <w:t xml:space="preserve">. </w:t>
      </w:r>
      <w:r w:rsidR="00360C69" w:rsidRPr="00CB6495">
        <w:rPr>
          <w:b/>
          <w:bCs/>
          <w:color w:val="000000"/>
          <w:lang w:eastAsia="fr-FR"/>
        </w:rPr>
        <w:t>Modalités de sélection et d'octroi des subventions</w:t>
      </w:r>
    </w:p>
    <w:p w14:paraId="01C6C021" w14:textId="77777777" w:rsidR="002F3AD6" w:rsidRPr="00CB6495" w:rsidRDefault="002F3AD6" w:rsidP="002F3AD6">
      <w:pPr>
        <w:autoSpaceDE w:val="0"/>
        <w:autoSpaceDN w:val="0"/>
        <w:adjustRightInd w:val="0"/>
        <w:spacing w:after="0"/>
        <w:rPr>
          <w:b/>
          <w:bCs/>
          <w:color w:val="000000"/>
          <w:lang w:eastAsia="fr-FR"/>
        </w:rPr>
      </w:pPr>
    </w:p>
    <w:p w14:paraId="155718EB" w14:textId="77777777" w:rsidR="000371F6" w:rsidRDefault="005F1939" w:rsidP="002F3AD6">
      <w:pPr>
        <w:spacing w:after="0"/>
        <w:rPr>
          <w:rFonts w:eastAsia="Calibri"/>
          <w:lang w:val="fr-BE" w:eastAsia="en-GB"/>
        </w:rPr>
      </w:pPr>
      <w:r w:rsidRPr="00CB6495">
        <w:rPr>
          <w:rFonts w:eastAsia="Calibri"/>
          <w:lang w:val="fr-BE" w:eastAsia="en-GB"/>
        </w:rPr>
        <w:t>Conformément aux dispositions du Règlement financier de l’Union européenne</w:t>
      </w:r>
      <w:r w:rsidRPr="00CB6495">
        <w:rPr>
          <w:rStyle w:val="FootnoteReference"/>
          <w:rFonts w:eastAsia="Calibri"/>
          <w:lang w:val="fr-BE" w:eastAsia="en-GB"/>
        </w:rPr>
        <w:footnoteReference w:id="8"/>
      </w:r>
      <w:r w:rsidRPr="00CB6495">
        <w:rPr>
          <w:rFonts w:eastAsia="Calibri"/>
          <w:lang w:val="fr-BE" w:eastAsia="en-GB"/>
        </w:rPr>
        <w:t>, le contexte de crise en RCA et la nécessité d’agir rapidement autorisent le gestionnaire à utiliser des procédures flexibles pour l’octroi des subventions nécessaires à la mise en œuvre des actions.</w:t>
      </w:r>
    </w:p>
    <w:p w14:paraId="111191FC" w14:textId="77777777" w:rsidR="000371F6" w:rsidRDefault="000371F6" w:rsidP="002F3AD6">
      <w:pPr>
        <w:spacing w:after="0"/>
        <w:rPr>
          <w:rFonts w:eastAsia="Calibri"/>
          <w:lang w:val="fr-BE" w:eastAsia="en-GB"/>
        </w:rPr>
      </w:pPr>
    </w:p>
    <w:p w14:paraId="6A1A3C72" w14:textId="78A6C6C1" w:rsidR="000371F6" w:rsidRDefault="000371F6" w:rsidP="002F3AD6">
      <w:pPr>
        <w:spacing w:after="0"/>
        <w:rPr>
          <w:rFonts w:eastAsia="Calibri"/>
          <w:lang w:val="fr-BE" w:eastAsia="en-GB"/>
        </w:rPr>
      </w:pPr>
      <w:r>
        <w:rPr>
          <w:rFonts w:eastAsia="Calibri"/>
          <w:lang w:val="fr-BE" w:eastAsia="en-GB"/>
        </w:rPr>
        <w:t>Les demandeurs intéressés d</w:t>
      </w:r>
      <w:r w:rsidR="007960E2">
        <w:rPr>
          <w:rFonts w:eastAsia="Calibri"/>
          <w:lang w:val="fr-BE" w:eastAsia="en-GB"/>
        </w:rPr>
        <w:t>o</w:t>
      </w:r>
      <w:r>
        <w:rPr>
          <w:rFonts w:eastAsia="Calibri"/>
          <w:lang w:val="fr-BE" w:eastAsia="en-GB"/>
        </w:rPr>
        <w:t>i</w:t>
      </w:r>
      <w:r w:rsidR="007960E2">
        <w:rPr>
          <w:rFonts w:eastAsia="Calibri"/>
          <w:lang w:val="fr-BE" w:eastAsia="en-GB"/>
        </w:rPr>
        <w:t>v</w:t>
      </w:r>
      <w:r>
        <w:rPr>
          <w:rFonts w:eastAsia="Calibri"/>
          <w:lang w:val="fr-BE" w:eastAsia="en-GB"/>
        </w:rPr>
        <w:t xml:space="preserve">ent </w:t>
      </w:r>
      <w:r w:rsidR="007960E2">
        <w:rPr>
          <w:rFonts w:eastAsia="Calibri"/>
          <w:lang w:val="fr-BE" w:eastAsia="en-GB"/>
        </w:rPr>
        <w:t>présent</w:t>
      </w:r>
      <w:r>
        <w:rPr>
          <w:rFonts w:eastAsia="Calibri"/>
          <w:lang w:val="fr-BE" w:eastAsia="en-GB"/>
        </w:rPr>
        <w:t>er</w:t>
      </w:r>
      <w:r w:rsidR="007960E2">
        <w:rPr>
          <w:rFonts w:eastAsia="Calibri"/>
          <w:lang w:val="fr-BE" w:eastAsia="en-GB"/>
        </w:rPr>
        <w:t xml:space="preserve"> : </w:t>
      </w:r>
      <w:r>
        <w:rPr>
          <w:rFonts w:eastAsia="Calibri"/>
          <w:lang w:val="fr-BE" w:eastAsia="en-GB"/>
        </w:rPr>
        <w:t>une note succincte (suivant les indications de l’annexe 4 de l’AMI), la déclaration de l’annexe 5 et les documents demandés dans le point 11 de l’AMI</w:t>
      </w:r>
      <w:r w:rsidR="007960E2">
        <w:rPr>
          <w:rFonts w:eastAsia="Calibri"/>
          <w:lang w:val="fr-BE" w:eastAsia="en-GB"/>
        </w:rPr>
        <w:t>.</w:t>
      </w:r>
      <w:r w:rsidR="00B8763D">
        <w:rPr>
          <w:rFonts w:eastAsia="Calibri"/>
          <w:lang w:val="fr-BE" w:eastAsia="en-GB"/>
        </w:rPr>
        <w:t xml:space="preserve"> </w:t>
      </w:r>
      <w:r w:rsidR="007960E2">
        <w:rPr>
          <w:rFonts w:eastAsia="Calibri"/>
          <w:lang w:val="fr-BE" w:eastAsia="en-GB"/>
        </w:rPr>
        <w:t>C</w:t>
      </w:r>
      <w:r w:rsidR="00B8763D">
        <w:rPr>
          <w:rFonts w:eastAsia="Calibri"/>
          <w:lang w:val="fr-BE" w:eastAsia="en-GB"/>
        </w:rPr>
        <w:t>es documents d</w:t>
      </w:r>
      <w:r w:rsidR="007960E2">
        <w:rPr>
          <w:rFonts w:eastAsia="Calibri"/>
          <w:lang w:val="fr-BE" w:eastAsia="en-GB"/>
        </w:rPr>
        <w:t>oi</w:t>
      </w:r>
      <w:r w:rsidR="00B8763D">
        <w:rPr>
          <w:rFonts w:eastAsia="Calibri"/>
          <w:lang w:val="fr-BE" w:eastAsia="en-GB"/>
        </w:rPr>
        <w:t xml:space="preserve">vent </w:t>
      </w:r>
      <w:r w:rsidR="007960E2">
        <w:rPr>
          <w:rFonts w:eastAsia="Calibri"/>
          <w:lang w:val="fr-BE" w:eastAsia="en-GB"/>
        </w:rPr>
        <w:t>é</w:t>
      </w:r>
      <w:r w:rsidR="0064401C">
        <w:rPr>
          <w:rFonts w:eastAsia="Calibri"/>
          <w:lang w:val="fr-BE" w:eastAsia="en-GB"/>
        </w:rPr>
        <w:t>ga</w:t>
      </w:r>
      <w:r w:rsidR="007960E2">
        <w:rPr>
          <w:rFonts w:eastAsia="Calibri"/>
          <w:lang w:val="fr-BE" w:eastAsia="en-GB"/>
        </w:rPr>
        <w:t xml:space="preserve">lement </w:t>
      </w:r>
      <w:r w:rsidR="00B8763D">
        <w:rPr>
          <w:rFonts w:eastAsia="Calibri"/>
          <w:lang w:val="fr-BE" w:eastAsia="en-GB"/>
        </w:rPr>
        <w:t>être envoyés, le cas échéant, par les codemandeurs et entités affilié</w:t>
      </w:r>
      <w:r w:rsidR="007960E2">
        <w:rPr>
          <w:rFonts w:eastAsia="Calibri"/>
          <w:lang w:val="fr-BE" w:eastAsia="en-GB"/>
        </w:rPr>
        <w:t>e</w:t>
      </w:r>
      <w:r w:rsidR="00B8763D">
        <w:rPr>
          <w:rFonts w:eastAsia="Calibri"/>
          <w:lang w:val="fr-BE" w:eastAsia="en-GB"/>
        </w:rPr>
        <w:t>s</w:t>
      </w:r>
      <w:r>
        <w:rPr>
          <w:rFonts w:eastAsia="Calibri"/>
          <w:lang w:val="fr-BE" w:eastAsia="en-GB"/>
        </w:rPr>
        <w:t xml:space="preserve"> (</w:t>
      </w:r>
      <w:r w:rsidR="00B8763D">
        <w:rPr>
          <w:rFonts w:eastAsia="Calibri"/>
          <w:lang w:val="fr-BE" w:eastAsia="en-GB"/>
        </w:rPr>
        <w:t>statuts, audits et liste de projets).</w:t>
      </w:r>
    </w:p>
    <w:p w14:paraId="00430C43" w14:textId="77777777" w:rsidR="00B8763D" w:rsidRDefault="00B8763D" w:rsidP="002F3AD6">
      <w:pPr>
        <w:spacing w:after="0"/>
        <w:rPr>
          <w:rFonts w:eastAsia="Calibri"/>
          <w:lang w:val="fr-BE" w:eastAsia="en-GB"/>
        </w:rPr>
      </w:pPr>
    </w:p>
    <w:p w14:paraId="7984A98A" w14:textId="7F06A083" w:rsidR="00B8763D" w:rsidRDefault="00B8763D" w:rsidP="002F3AD6">
      <w:pPr>
        <w:spacing w:after="0"/>
        <w:rPr>
          <w:rFonts w:eastAsia="Calibri"/>
          <w:lang w:val="fr-BE" w:eastAsia="en-GB"/>
        </w:rPr>
      </w:pPr>
      <w:r>
        <w:rPr>
          <w:rFonts w:eastAsia="Calibri"/>
          <w:lang w:val="fr-BE" w:eastAsia="en-GB"/>
        </w:rPr>
        <w:t>Seul le demandeur dont la note succincte a obtenu le meilleur score sera invité à envoyer une demande complète.</w:t>
      </w:r>
    </w:p>
    <w:p w14:paraId="5D181BF1" w14:textId="77777777" w:rsidR="000371F6" w:rsidRDefault="000371F6" w:rsidP="002F3AD6">
      <w:pPr>
        <w:spacing w:after="0"/>
        <w:rPr>
          <w:rFonts w:eastAsia="Calibri"/>
          <w:lang w:val="fr-BE" w:eastAsia="en-GB"/>
        </w:rPr>
      </w:pPr>
    </w:p>
    <w:p w14:paraId="6A8C4621" w14:textId="1E686408" w:rsidR="008B3D07" w:rsidRDefault="00BC4E77" w:rsidP="002F3AD6">
      <w:pPr>
        <w:spacing w:after="0"/>
        <w:rPr>
          <w:rFonts w:eastAsia="Calibri"/>
          <w:lang w:val="fr-BE" w:eastAsia="en-GB"/>
        </w:rPr>
      </w:pPr>
      <w:r>
        <w:rPr>
          <w:rFonts w:eastAsia="Calibri"/>
          <w:lang w:val="fr-BE" w:eastAsia="en-GB"/>
        </w:rPr>
        <w:t>Un seul</w:t>
      </w:r>
      <w:r w:rsidR="008B3D07">
        <w:rPr>
          <w:rFonts w:eastAsia="Calibri"/>
          <w:lang w:val="fr-BE" w:eastAsia="en-GB"/>
        </w:rPr>
        <w:t xml:space="preserve"> contrat de subvention sera signé.</w:t>
      </w:r>
    </w:p>
    <w:p w14:paraId="6D226881" w14:textId="0B8DE1B2" w:rsidR="005F1939" w:rsidRPr="00CB6495" w:rsidRDefault="005F1939" w:rsidP="002F3AD6">
      <w:pPr>
        <w:spacing w:after="0"/>
        <w:rPr>
          <w:rFonts w:eastAsia="Calibri"/>
          <w:lang w:val="fr-BE" w:eastAsia="en-GB"/>
        </w:rPr>
      </w:pPr>
      <w:r w:rsidRPr="00CB6495">
        <w:rPr>
          <w:rFonts w:eastAsia="Calibri"/>
          <w:lang w:val="fr-BE" w:eastAsia="en-GB"/>
        </w:rPr>
        <w:t xml:space="preserve"> </w:t>
      </w:r>
    </w:p>
    <w:p w14:paraId="5C100CBB" w14:textId="61B9A13C" w:rsidR="005F1939" w:rsidRPr="00CB6495" w:rsidRDefault="00201547" w:rsidP="002F3AD6">
      <w:pPr>
        <w:spacing w:after="0"/>
        <w:rPr>
          <w:rFonts w:eastAsia="Calibri"/>
          <w:lang w:val="fr-BE" w:eastAsia="en-GB"/>
        </w:rPr>
      </w:pPr>
      <w:r w:rsidRPr="00CB6495">
        <w:rPr>
          <w:rFonts w:eastAsia="Calibri"/>
          <w:lang w:val="fr-BE" w:eastAsia="en-GB"/>
        </w:rPr>
        <w:t>Cela dit, l</w:t>
      </w:r>
      <w:r w:rsidR="005F1939" w:rsidRPr="00CB6495">
        <w:rPr>
          <w:rFonts w:eastAsia="Calibri"/>
          <w:lang w:val="fr-BE" w:eastAsia="en-GB"/>
        </w:rPr>
        <w:t xml:space="preserve">'évaluation </w:t>
      </w:r>
      <w:r w:rsidR="001C5A9A" w:rsidRPr="00CB6495">
        <w:rPr>
          <w:rFonts w:eastAsia="Calibri"/>
          <w:lang w:val="fr-BE" w:eastAsia="en-GB"/>
        </w:rPr>
        <w:t xml:space="preserve">des propositions </w:t>
      </w:r>
      <w:r w:rsidR="005F1939" w:rsidRPr="00CB6495">
        <w:rPr>
          <w:rFonts w:eastAsia="Calibri"/>
          <w:lang w:val="fr-BE" w:eastAsia="en-GB"/>
        </w:rPr>
        <w:t>se déroulera de la manière suivante:</w:t>
      </w:r>
    </w:p>
    <w:p w14:paraId="6EC5431D" w14:textId="10FEAB1C" w:rsidR="005F1939" w:rsidRPr="00CB6495" w:rsidRDefault="005F1939" w:rsidP="002F3AD6">
      <w:pPr>
        <w:spacing w:before="120" w:after="0"/>
        <w:rPr>
          <w:rFonts w:eastAsia="Calibri"/>
          <w:lang w:val="fr-BE" w:eastAsia="en-GB"/>
        </w:rPr>
      </w:pPr>
      <w:r w:rsidRPr="00CB6495">
        <w:rPr>
          <w:rFonts w:eastAsia="Calibri"/>
          <w:u w:val="single"/>
          <w:lang w:val="fr-BE" w:eastAsia="en-GB"/>
        </w:rPr>
        <w:t>1</w:t>
      </w:r>
      <w:r w:rsidRPr="00B14955">
        <w:rPr>
          <w:rFonts w:eastAsia="Calibri"/>
          <w:u w:val="single"/>
          <w:vertAlign w:val="superscript"/>
          <w:lang w:val="fr-BE" w:eastAsia="en-GB"/>
        </w:rPr>
        <w:t>ère</w:t>
      </w:r>
      <w:r w:rsidR="00B14955">
        <w:rPr>
          <w:rFonts w:eastAsia="Calibri"/>
          <w:u w:val="single"/>
          <w:lang w:val="fr-BE" w:eastAsia="en-GB"/>
        </w:rPr>
        <w:t xml:space="preserve"> </w:t>
      </w:r>
      <w:r w:rsidRPr="00CB6495">
        <w:rPr>
          <w:rFonts w:eastAsia="Calibri"/>
          <w:u w:val="single"/>
          <w:lang w:val="fr-BE" w:eastAsia="en-GB"/>
        </w:rPr>
        <w:t>phase</w:t>
      </w:r>
      <w:r w:rsidR="00111203" w:rsidRPr="00CB6495">
        <w:rPr>
          <w:rFonts w:eastAsia="Calibri"/>
          <w:u w:val="single"/>
          <w:lang w:val="fr-BE" w:eastAsia="en-GB"/>
        </w:rPr>
        <w:t>-note succincte</w:t>
      </w:r>
      <w:r w:rsidRPr="00CB6495">
        <w:rPr>
          <w:rFonts w:eastAsia="Calibri"/>
          <w:lang w:val="fr-BE" w:eastAsia="en-GB"/>
        </w:rPr>
        <w:t> :</w:t>
      </w:r>
    </w:p>
    <w:p w14:paraId="20AC9FEE" w14:textId="6A43F95B" w:rsidR="005F1939" w:rsidRPr="00CB6495" w:rsidRDefault="00A90828" w:rsidP="002F3AD6">
      <w:pPr>
        <w:spacing w:before="120" w:after="0"/>
        <w:ind w:left="720"/>
        <w:rPr>
          <w:rFonts w:eastAsia="Calibri"/>
          <w:lang w:val="fr-BE" w:eastAsia="en-GB"/>
        </w:rPr>
      </w:pPr>
      <w:r w:rsidRPr="00CB6495">
        <w:rPr>
          <w:rFonts w:eastAsia="Calibri"/>
          <w:lang w:val="fr-BE" w:eastAsia="en-GB"/>
        </w:rPr>
        <w:t>Étape</w:t>
      </w:r>
      <w:r w:rsidR="005F1939" w:rsidRPr="00CB6495">
        <w:rPr>
          <w:rFonts w:eastAsia="Calibri"/>
          <w:lang w:val="fr-BE" w:eastAsia="en-GB"/>
        </w:rPr>
        <w:t xml:space="preserve"> 1 – Vérificat</w:t>
      </w:r>
      <w:r w:rsidR="005267F9" w:rsidRPr="00CB6495">
        <w:rPr>
          <w:rFonts w:eastAsia="Calibri"/>
          <w:lang w:val="fr-BE" w:eastAsia="en-GB"/>
        </w:rPr>
        <w:t xml:space="preserve">ion des critères d'éligibilité </w:t>
      </w:r>
      <w:r w:rsidR="008B3D07">
        <w:rPr>
          <w:rFonts w:eastAsia="Calibri"/>
          <w:lang w:val="fr-BE" w:eastAsia="en-GB"/>
        </w:rPr>
        <w:t xml:space="preserve">(voir point 11 et annexe 1) </w:t>
      </w:r>
      <w:r w:rsidR="005267F9" w:rsidRPr="00CB6495">
        <w:rPr>
          <w:rFonts w:eastAsia="Calibri"/>
          <w:lang w:val="fr-BE" w:eastAsia="en-GB"/>
        </w:rPr>
        <w:t xml:space="preserve">et </w:t>
      </w:r>
      <w:r w:rsidR="005F1939" w:rsidRPr="00CB6495">
        <w:rPr>
          <w:rFonts w:eastAsia="Calibri"/>
          <w:lang w:val="fr-BE" w:eastAsia="en-GB"/>
        </w:rPr>
        <w:t xml:space="preserve">d'exclusion </w:t>
      </w:r>
    </w:p>
    <w:p w14:paraId="1980329F" w14:textId="00AD5423" w:rsidR="005F1939" w:rsidRPr="00CB6495" w:rsidRDefault="00A90828" w:rsidP="002F3AD6">
      <w:pPr>
        <w:spacing w:before="120" w:after="0"/>
        <w:ind w:left="720"/>
        <w:rPr>
          <w:rFonts w:eastAsia="Calibri"/>
          <w:lang w:val="fr-BE" w:eastAsia="en-GB"/>
        </w:rPr>
      </w:pPr>
      <w:r w:rsidRPr="00CB6495">
        <w:rPr>
          <w:rFonts w:eastAsia="Calibri"/>
          <w:lang w:val="fr-BE" w:eastAsia="en-GB"/>
        </w:rPr>
        <w:t>Étape</w:t>
      </w:r>
      <w:r w:rsidR="005F1939" w:rsidRPr="00CB6495">
        <w:rPr>
          <w:rFonts w:eastAsia="Calibri"/>
          <w:lang w:val="fr-BE" w:eastAsia="en-GB"/>
        </w:rPr>
        <w:t xml:space="preserve"> 2 – Notification aux demandeurs ne remplissant pas les critères </w:t>
      </w:r>
      <w:r w:rsidR="006B194F" w:rsidRPr="00CB6495">
        <w:rPr>
          <w:rFonts w:eastAsia="Calibri"/>
          <w:lang w:val="fr-BE" w:eastAsia="en-GB"/>
        </w:rPr>
        <w:t>d'éligibilité et d'exclusion</w:t>
      </w:r>
    </w:p>
    <w:p w14:paraId="6622CA56" w14:textId="100A55D3" w:rsidR="005F1939" w:rsidRPr="00CB6495" w:rsidRDefault="00A90828" w:rsidP="002F3AD6">
      <w:pPr>
        <w:spacing w:before="120" w:after="0"/>
        <w:ind w:left="720"/>
        <w:rPr>
          <w:rFonts w:eastAsia="Calibri"/>
          <w:lang w:val="fr-BE" w:eastAsia="en-GB"/>
        </w:rPr>
      </w:pPr>
      <w:r w:rsidRPr="00CB6495">
        <w:rPr>
          <w:rFonts w:eastAsia="Calibri"/>
          <w:lang w:val="fr-BE" w:eastAsia="en-GB"/>
        </w:rPr>
        <w:t>Étape</w:t>
      </w:r>
      <w:r w:rsidR="005F1939" w:rsidRPr="00CB6495">
        <w:rPr>
          <w:rFonts w:eastAsia="Calibri"/>
          <w:lang w:val="fr-BE" w:eastAsia="en-GB"/>
        </w:rPr>
        <w:t xml:space="preserve"> 3 </w:t>
      </w:r>
      <w:r w:rsidR="001C5A9A" w:rsidRPr="00CB6495">
        <w:rPr>
          <w:rFonts w:eastAsia="Calibri"/>
          <w:lang w:val="fr-BE" w:eastAsia="en-GB"/>
        </w:rPr>
        <w:t>–</w:t>
      </w:r>
      <w:r w:rsidR="005F1939" w:rsidRPr="00CB6495">
        <w:rPr>
          <w:rFonts w:eastAsia="Calibri"/>
          <w:lang w:val="fr-BE" w:eastAsia="en-GB"/>
        </w:rPr>
        <w:t xml:space="preserve"> </w:t>
      </w:r>
      <w:r w:rsidR="005B400D" w:rsidRPr="00CB6495">
        <w:rPr>
          <w:rFonts w:eastAsia="Calibri"/>
          <w:lang w:val="fr-BE" w:eastAsia="en-GB"/>
        </w:rPr>
        <w:t>Évaluation</w:t>
      </w:r>
      <w:r w:rsidR="001C5A9A" w:rsidRPr="00CB6495">
        <w:rPr>
          <w:rFonts w:eastAsia="Calibri"/>
          <w:lang w:val="fr-BE" w:eastAsia="en-GB"/>
        </w:rPr>
        <w:t xml:space="preserve"> </w:t>
      </w:r>
      <w:r w:rsidR="005F1939" w:rsidRPr="00CB6495">
        <w:rPr>
          <w:rFonts w:eastAsia="Calibri"/>
          <w:lang w:val="fr-BE" w:eastAsia="en-GB"/>
        </w:rPr>
        <w:t xml:space="preserve">des </w:t>
      </w:r>
      <w:r w:rsidR="008B3D07">
        <w:rPr>
          <w:rFonts w:eastAsia="Calibri"/>
          <w:lang w:val="fr-BE" w:eastAsia="en-GB"/>
        </w:rPr>
        <w:t>notes succinctes</w:t>
      </w:r>
      <w:r w:rsidR="00BC4E77">
        <w:rPr>
          <w:rFonts w:eastAsia="Calibri"/>
          <w:lang w:val="fr-BE" w:eastAsia="en-GB"/>
        </w:rPr>
        <w:t xml:space="preserve"> </w:t>
      </w:r>
      <w:r w:rsidR="006B194F" w:rsidRPr="00CB6495">
        <w:rPr>
          <w:rFonts w:eastAsia="Calibri"/>
          <w:lang w:val="fr-BE" w:eastAsia="en-GB"/>
        </w:rPr>
        <w:t>(annexe 1)</w:t>
      </w:r>
    </w:p>
    <w:p w14:paraId="5FB93782" w14:textId="48B776C3" w:rsidR="005F1939" w:rsidRPr="00CB6495" w:rsidRDefault="00A90828" w:rsidP="002F3AD6">
      <w:pPr>
        <w:spacing w:before="120" w:after="0"/>
        <w:ind w:left="720"/>
        <w:rPr>
          <w:rFonts w:eastAsia="Calibri"/>
          <w:lang w:val="fr-BE" w:eastAsia="en-GB"/>
        </w:rPr>
      </w:pPr>
      <w:r w:rsidRPr="00CB6495">
        <w:rPr>
          <w:rFonts w:eastAsia="Calibri"/>
          <w:lang w:val="fr-BE" w:eastAsia="en-GB"/>
        </w:rPr>
        <w:lastRenderedPageBreak/>
        <w:t>Étape</w:t>
      </w:r>
      <w:r w:rsidR="00FE79E0" w:rsidRPr="00CB6495">
        <w:rPr>
          <w:rFonts w:eastAsia="Calibri"/>
          <w:lang w:val="fr-BE" w:eastAsia="en-GB"/>
        </w:rPr>
        <w:t xml:space="preserve"> 4 – </w:t>
      </w:r>
      <w:r w:rsidR="005F1939" w:rsidRPr="00CB6495">
        <w:rPr>
          <w:rFonts w:eastAsia="Calibri"/>
          <w:lang w:val="fr-BE" w:eastAsia="en-GB"/>
        </w:rPr>
        <w:t>Notification au</w:t>
      </w:r>
      <w:r w:rsidR="009A3E3A">
        <w:rPr>
          <w:rFonts w:eastAsia="Calibri"/>
          <w:lang w:val="fr-BE" w:eastAsia="en-GB"/>
        </w:rPr>
        <w:t>x</w:t>
      </w:r>
      <w:r w:rsidR="005F1939" w:rsidRPr="00CB6495">
        <w:rPr>
          <w:rFonts w:eastAsia="Calibri"/>
          <w:lang w:val="fr-BE" w:eastAsia="en-GB"/>
        </w:rPr>
        <w:t xml:space="preserve"> demandeur</w:t>
      </w:r>
      <w:r w:rsidR="009A3E3A">
        <w:rPr>
          <w:rFonts w:eastAsia="Calibri"/>
          <w:lang w:val="fr-BE" w:eastAsia="en-GB"/>
        </w:rPr>
        <w:t>s</w:t>
      </w:r>
      <w:r w:rsidR="005F1939" w:rsidRPr="00CB6495">
        <w:rPr>
          <w:rFonts w:eastAsia="Calibri"/>
          <w:lang w:val="fr-BE" w:eastAsia="en-GB"/>
        </w:rPr>
        <w:t xml:space="preserve"> retenu</w:t>
      </w:r>
      <w:r w:rsidR="009A3E3A">
        <w:rPr>
          <w:rFonts w:eastAsia="Calibri"/>
          <w:lang w:val="fr-BE" w:eastAsia="en-GB"/>
        </w:rPr>
        <w:t>s</w:t>
      </w:r>
      <w:r w:rsidR="005F1939" w:rsidRPr="00CB6495">
        <w:rPr>
          <w:rFonts w:eastAsia="Calibri"/>
          <w:lang w:val="fr-BE" w:eastAsia="en-GB"/>
        </w:rPr>
        <w:t xml:space="preserve"> pour la </w:t>
      </w:r>
      <w:r w:rsidR="006B194F" w:rsidRPr="00CB6495">
        <w:rPr>
          <w:rFonts w:eastAsia="Calibri"/>
          <w:lang w:val="fr-BE" w:eastAsia="en-GB"/>
        </w:rPr>
        <w:t>2</w:t>
      </w:r>
      <w:r w:rsidR="006B194F" w:rsidRPr="00B14955">
        <w:rPr>
          <w:rFonts w:eastAsia="Calibri"/>
          <w:vertAlign w:val="superscript"/>
          <w:lang w:val="fr-BE" w:eastAsia="en-GB"/>
        </w:rPr>
        <w:t>ème</w:t>
      </w:r>
      <w:r w:rsidR="00B14955">
        <w:rPr>
          <w:rFonts w:eastAsia="Calibri"/>
          <w:lang w:val="fr-BE" w:eastAsia="en-GB"/>
        </w:rPr>
        <w:t xml:space="preserve"> </w:t>
      </w:r>
      <w:r w:rsidR="006B194F" w:rsidRPr="00CB6495">
        <w:rPr>
          <w:rFonts w:eastAsia="Calibri"/>
          <w:lang w:val="fr-BE" w:eastAsia="en-GB"/>
        </w:rPr>
        <w:t xml:space="preserve">phase </w:t>
      </w:r>
      <w:r w:rsidR="009A3E3A">
        <w:rPr>
          <w:rFonts w:eastAsia="Calibri"/>
          <w:lang w:val="fr-BE" w:eastAsia="en-GB"/>
        </w:rPr>
        <w:t>et</w:t>
      </w:r>
      <w:r w:rsidR="006C3BC0" w:rsidRPr="00CB6495">
        <w:t xml:space="preserve"> </w:t>
      </w:r>
      <w:r w:rsidR="006C3BC0" w:rsidRPr="00CB6495">
        <w:rPr>
          <w:rFonts w:eastAsia="Calibri"/>
          <w:lang w:val="fr-BE" w:eastAsia="en-GB"/>
        </w:rPr>
        <w:t>notification aux demandeurs non retenus</w:t>
      </w:r>
    </w:p>
    <w:p w14:paraId="5F935024" w14:textId="4165EA71" w:rsidR="005F1939" w:rsidRPr="00CB6495" w:rsidRDefault="005F1939" w:rsidP="002F3AD6">
      <w:pPr>
        <w:spacing w:before="120" w:after="0"/>
        <w:rPr>
          <w:rFonts w:eastAsia="Calibri"/>
          <w:lang w:val="fr-BE" w:eastAsia="en-GB"/>
        </w:rPr>
      </w:pPr>
      <w:r w:rsidRPr="00CB6495">
        <w:rPr>
          <w:rFonts w:eastAsia="Calibri"/>
          <w:u w:val="single"/>
          <w:lang w:val="fr-BE" w:eastAsia="en-GB"/>
        </w:rPr>
        <w:t>2</w:t>
      </w:r>
      <w:r w:rsidRPr="00B14955">
        <w:rPr>
          <w:rFonts w:eastAsia="Calibri"/>
          <w:u w:val="single"/>
          <w:vertAlign w:val="superscript"/>
          <w:lang w:val="fr-BE" w:eastAsia="en-GB"/>
        </w:rPr>
        <w:t>ème</w:t>
      </w:r>
      <w:r w:rsidR="00B14955">
        <w:rPr>
          <w:rFonts w:eastAsia="Calibri"/>
          <w:u w:val="single"/>
          <w:lang w:val="fr-BE" w:eastAsia="en-GB"/>
        </w:rPr>
        <w:t xml:space="preserve"> </w:t>
      </w:r>
      <w:r w:rsidRPr="00CB6495">
        <w:rPr>
          <w:rFonts w:eastAsia="Calibri"/>
          <w:u w:val="single"/>
          <w:lang w:val="fr-BE" w:eastAsia="en-GB"/>
        </w:rPr>
        <w:t>phase</w:t>
      </w:r>
      <w:r w:rsidR="00111203" w:rsidRPr="00CB6495">
        <w:rPr>
          <w:rFonts w:eastAsia="Calibri"/>
          <w:u w:val="single"/>
          <w:lang w:val="fr-BE" w:eastAsia="en-GB"/>
        </w:rPr>
        <w:t>-demande complète</w:t>
      </w:r>
      <w:r w:rsidRPr="00CB6495">
        <w:rPr>
          <w:rFonts w:eastAsia="Calibri"/>
          <w:lang w:val="fr-BE" w:eastAsia="en-GB"/>
        </w:rPr>
        <w:t> :</w:t>
      </w:r>
    </w:p>
    <w:p w14:paraId="31764DB8" w14:textId="13E66A66" w:rsidR="005F1939" w:rsidRPr="00CB6495" w:rsidRDefault="00A90828" w:rsidP="002F3AD6">
      <w:pPr>
        <w:spacing w:before="120" w:after="0"/>
        <w:ind w:left="720"/>
        <w:rPr>
          <w:rFonts w:eastAsia="Calibri"/>
          <w:lang w:val="fr-BE" w:eastAsia="en-GB"/>
        </w:rPr>
      </w:pPr>
      <w:r w:rsidRPr="00CB6495">
        <w:rPr>
          <w:rFonts w:eastAsia="Calibri"/>
          <w:lang w:val="fr-BE" w:eastAsia="en-GB"/>
        </w:rPr>
        <w:t>Étape</w:t>
      </w:r>
      <w:r w:rsidR="005F1939" w:rsidRPr="00CB6495">
        <w:rPr>
          <w:rFonts w:eastAsia="Calibri"/>
          <w:lang w:val="fr-BE" w:eastAsia="en-GB"/>
        </w:rPr>
        <w:t xml:space="preserve"> 5 – </w:t>
      </w:r>
      <w:r w:rsidRPr="00CB6495">
        <w:rPr>
          <w:rFonts w:eastAsia="Calibri"/>
          <w:lang w:val="fr-BE" w:eastAsia="en-GB"/>
        </w:rPr>
        <w:t>Évaluation</w:t>
      </w:r>
      <w:r w:rsidR="006B194F" w:rsidRPr="00CB6495">
        <w:rPr>
          <w:rFonts w:eastAsia="Calibri"/>
          <w:lang w:val="fr-BE" w:eastAsia="en-GB"/>
        </w:rPr>
        <w:t xml:space="preserve"> de la demande complète</w:t>
      </w:r>
      <w:r w:rsidR="005F1939" w:rsidRPr="00CB6495">
        <w:rPr>
          <w:rFonts w:eastAsia="Calibri"/>
          <w:lang w:val="fr-BE" w:eastAsia="en-GB"/>
        </w:rPr>
        <w:t xml:space="preserve"> </w:t>
      </w:r>
      <w:r w:rsidR="006B194F" w:rsidRPr="00CB6495">
        <w:rPr>
          <w:rFonts w:eastAsia="Calibri"/>
          <w:lang w:val="fr-BE" w:eastAsia="en-GB"/>
        </w:rPr>
        <w:t>(Annexe 2)</w:t>
      </w:r>
    </w:p>
    <w:p w14:paraId="17EA6423" w14:textId="0DB0C64B" w:rsidR="005F1939" w:rsidRDefault="00A90828" w:rsidP="00A8230D">
      <w:pPr>
        <w:spacing w:before="120" w:after="0"/>
        <w:ind w:left="720"/>
        <w:rPr>
          <w:rFonts w:eastAsia="Calibri"/>
          <w:lang w:val="fr-BE" w:eastAsia="en-GB"/>
        </w:rPr>
      </w:pPr>
      <w:r w:rsidRPr="00CB6495">
        <w:rPr>
          <w:rFonts w:eastAsia="Calibri"/>
          <w:lang w:val="fr-BE" w:eastAsia="en-GB"/>
        </w:rPr>
        <w:t>Étape</w:t>
      </w:r>
      <w:r w:rsidR="005F1939" w:rsidRPr="00CB6495">
        <w:rPr>
          <w:rFonts w:eastAsia="Calibri"/>
          <w:lang w:val="fr-BE" w:eastAsia="en-GB"/>
        </w:rPr>
        <w:t xml:space="preserve"> 6 – Attribution - notification des propositions non retenues pour attribution</w:t>
      </w:r>
    </w:p>
    <w:p w14:paraId="28ADCFFE" w14:textId="77777777" w:rsidR="00A8230D" w:rsidRPr="00A8230D" w:rsidRDefault="00A8230D" w:rsidP="00A8230D">
      <w:pPr>
        <w:spacing w:before="120" w:after="0"/>
        <w:ind w:left="720"/>
        <w:rPr>
          <w:rFonts w:eastAsia="Calibri"/>
          <w:lang w:val="fr-BE" w:eastAsia="en-GB"/>
        </w:rPr>
      </w:pPr>
    </w:p>
    <w:p w14:paraId="266D05CD" w14:textId="54F6D259" w:rsidR="007960E2" w:rsidRPr="00A8230D" w:rsidRDefault="00BC4E77" w:rsidP="002F3AD6">
      <w:pPr>
        <w:autoSpaceDE w:val="0"/>
        <w:autoSpaceDN w:val="0"/>
        <w:adjustRightInd w:val="0"/>
        <w:spacing w:after="0"/>
        <w:rPr>
          <w:bCs/>
          <w:color w:val="000000"/>
          <w:lang w:val="fr-BE" w:eastAsia="fr-FR"/>
        </w:rPr>
      </w:pPr>
      <w:r w:rsidRPr="00A8230D">
        <w:rPr>
          <w:bCs/>
          <w:color w:val="000000"/>
          <w:lang w:val="fr-BE" w:eastAsia="fr-FR"/>
        </w:rPr>
        <w:t>Le d</w:t>
      </w:r>
      <w:r w:rsidR="007960E2" w:rsidRPr="00A8230D">
        <w:rPr>
          <w:bCs/>
          <w:color w:val="000000"/>
          <w:lang w:val="fr-BE" w:eastAsia="fr-FR"/>
        </w:rPr>
        <w:t>é</w:t>
      </w:r>
      <w:r w:rsidRPr="00A8230D">
        <w:rPr>
          <w:bCs/>
          <w:color w:val="000000"/>
          <w:lang w:val="fr-BE" w:eastAsia="fr-FR"/>
        </w:rPr>
        <w:t>lai pour soumettre la note succincte sera précisé dans le calendrier</w:t>
      </w:r>
      <w:r w:rsidR="007960E2" w:rsidRPr="00A8230D">
        <w:rPr>
          <w:bCs/>
          <w:color w:val="000000"/>
          <w:lang w:val="fr-BE" w:eastAsia="fr-FR"/>
        </w:rPr>
        <w:t>. L’</w:t>
      </w:r>
      <w:r w:rsidRPr="00A8230D">
        <w:rPr>
          <w:bCs/>
          <w:color w:val="000000"/>
          <w:lang w:val="fr-BE" w:eastAsia="fr-FR"/>
        </w:rPr>
        <w:t>expli</w:t>
      </w:r>
      <w:r w:rsidR="007960E2" w:rsidRPr="00A8230D">
        <w:rPr>
          <w:bCs/>
          <w:color w:val="000000"/>
          <w:lang w:val="fr-BE" w:eastAsia="fr-FR"/>
        </w:rPr>
        <w:t xml:space="preserve">cation est donnée </w:t>
      </w:r>
      <w:r w:rsidR="00B02273" w:rsidRPr="00A8230D">
        <w:rPr>
          <w:bCs/>
          <w:color w:val="000000"/>
          <w:lang w:val="fr-BE" w:eastAsia="fr-FR"/>
        </w:rPr>
        <w:t>ci-dessous</w:t>
      </w:r>
      <w:r w:rsidR="007960E2" w:rsidRPr="00A8230D">
        <w:rPr>
          <w:bCs/>
          <w:color w:val="000000"/>
          <w:lang w:val="fr-BE" w:eastAsia="fr-FR"/>
        </w:rPr>
        <w:t xml:space="preserve">, </w:t>
      </w:r>
      <w:r w:rsidRPr="00A8230D">
        <w:rPr>
          <w:bCs/>
          <w:color w:val="000000"/>
          <w:lang w:val="fr-BE" w:eastAsia="fr-FR"/>
        </w:rPr>
        <w:t xml:space="preserve">dans l’AMI pour la </w:t>
      </w:r>
      <w:r w:rsidR="00A90828">
        <w:rPr>
          <w:bCs/>
          <w:color w:val="000000"/>
          <w:lang w:val="fr-BE" w:eastAsia="fr-FR"/>
        </w:rPr>
        <w:t xml:space="preserve">soumission de la </w:t>
      </w:r>
      <w:r w:rsidRPr="00A8230D">
        <w:rPr>
          <w:bCs/>
          <w:color w:val="000000"/>
          <w:lang w:val="fr-BE" w:eastAsia="fr-FR"/>
        </w:rPr>
        <w:t>demande complète</w:t>
      </w:r>
      <w:r w:rsidR="007960E2" w:rsidRPr="00A8230D">
        <w:rPr>
          <w:bCs/>
          <w:color w:val="000000"/>
          <w:lang w:val="fr-BE" w:eastAsia="fr-FR"/>
        </w:rPr>
        <w:t>.</w:t>
      </w:r>
    </w:p>
    <w:p w14:paraId="26F99BA9" w14:textId="3F8456F3" w:rsidR="004E40F4" w:rsidRPr="00A8230D" w:rsidRDefault="00BC4E77" w:rsidP="002F3AD6">
      <w:pPr>
        <w:autoSpaceDE w:val="0"/>
        <w:autoSpaceDN w:val="0"/>
        <w:adjustRightInd w:val="0"/>
        <w:spacing w:after="0"/>
        <w:rPr>
          <w:bCs/>
          <w:color w:val="000000"/>
          <w:lang w:val="fr-BE" w:eastAsia="fr-FR"/>
        </w:rPr>
      </w:pPr>
      <w:r w:rsidRPr="00A8230D">
        <w:rPr>
          <w:bCs/>
          <w:color w:val="000000"/>
          <w:lang w:val="fr-BE" w:eastAsia="fr-FR"/>
        </w:rPr>
        <w:t xml:space="preserve"> </w:t>
      </w:r>
    </w:p>
    <w:p w14:paraId="16105AF3" w14:textId="24F34DD8" w:rsidR="00E15DC3" w:rsidRPr="00CB6495" w:rsidRDefault="005F1939" w:rsidP="002F3AD6">
      <w:pPr>
        <w:autoSpaceDE w:val="0"/>
        <w:autoSpaceDN w:val="0"/>
        <w:adjustRightInd w:val="0"/>
        <w:spacing w:after="0"/>
        <w:rPr>
          <w:b/>
          <w:bCs/>
          <w:color w:val="000000"/>
          <w:lang w:eastAsia="fr-FR"/>
        </w:rPr>
      </w:pPr>
      <w:r w:rsidRPr="00CB6495">
        <w:rPr>
          <w:b/>
          <w:bCs/>
          <w:color w:val="000000"/>
          <w:lang w:eastAsia="fr-FR"/>
        </w:rPr>
        <w:t>Première</w:t>
      </w:r>
      <w:r w:rsidR="00E15DC3" w:rsidRPr="00CB6495">
        <w:rPr>
          <w:b/>
          <w:bCs/>
          <w:color w:val="000000"/>
          <w:lang w:eastAsia="fr-FR"/>
        </w:rPr>
        <w:t xml:space="preserve"> phase ouverte – sélection sur la base des notes succinctes</w:t>
      </w:r>
    </w:p>
    <w:p w14:paraId="0C7DD3A7" w14:textId="77777777" w:rsidR="00E15DC3" w:rsidRPr="00CB6495" w:rsidRDefault="00E15DC3" w:rsidP="002F3AD6">
      <w:pPr>
        <w:autoSpaceDE w:val="0"/>
        <w:autoSpaceDN w:val="0"/>
        <w:adjustRightInd w:val="0"/>
        <w:spacing w:after="0"/>
        <w:rPr>
          <w:b/>
          <w:bCs/>
          <w:color w:val="000000"/>
          <w:lang w:eastAsia="fr-FR"/>
        </w:rPr>
      </w:pPr>
    </w:p>
    <w:p w14:paraId="65D2BCFC" w14:textId="29C15C9C" w:rsidR="0078309B" w:rsidRPr="00CB6495" w:rsidRDefault="00E15DC3" w:rsidP="002F3AD6">
      <w:pPr>
        <w:autoSpaceDE w:val="0"/>
        <w:autoSpaceDN w:val="0"/>
        <w:adjustRightInd w:val="0"/>
        <w:spacing w:after="0"/>
        <w:rPr>
          <w:color w:val="000000"/>
          <w:lang w:eastAsia="fr-FR"/>
        </w:rPr>
      </w:pPr>
      <w:r w:rsidRPr="00CB6495">
        <w:rPr>
          <w:color w:val="000000"/>
          <w:lang w:eastAsia="fr-FR"/>
        </w:rPr>
        <w:t>Les demandeurs doivent manifester leur intérêt en soumettant</w:t>
      </w:r>
      <w:r w:rsidR="00F46E9D" w:rsidRPr="00CB6495">
        <w:rPr>
          <w:color w:val="000000"/>
          <w:lang w:eastAsia="fr-FR"/>
        </w:rPr>
        <w:t xml:space="preserve"> </w:t>
      </w:r>
      <w:r w:rsidRPr="00CB6495">
        <w:rPr>
          <w:color w:val="000000"/>
          <w:lang w:eastAsia="fr-FR"/>
        </w:rPr>
        <w:t>à la</w:t>
      </w:r>
      <w:r w:rsidR="005F1939" w:rsidRPr="00CB6495">
        <w:rPr>
          <w:color w:val="000000"/>
          <w:lang w:eastAsia="fr-FR"/>
        </w:rPr>
        <w:t xml:space="preserve"> </w:t>
      </w:r>
      <w:r w:rsidRPr="00CB6495">
        <w:rPr>
          <w:color w:val="000000"/>
          <w:lang w:eastAsia="fr-FR"/>
        </w:rPr>
        <w:t>Délégation de l’Union européenne en République centrafricaine</w:t>
      </w:r>
      <w:r w:rsidR="00916F4E" w:rsidRPr="00CB6495">
        <w:rPr>
          <w:color w:val="000000"/>
          <w:lang w:eastAsia="fr-FR"/>
        </w:rPr>
        <w:t xml:space="preserve"> </w:t>
      </w:r>
      <w:r w:rsidR="00F46E9D" w:rsidRPr="00CB6495">
        <w:rPr>
          <w:color w:val="000000"/>
          <w:lang w:eastAsia="fr-FR"/>
        </w:rPr>
        <w:t>le</w:t>
      </w:r>
      <w:r w:rsidR="00936BD3">
        <w:rPr>
          <w:color w:val="000000"/>
          <w:lang w:eastAsia="fr-FR"/>
        </w:rPr>
        <w:t>ur</w:t>
      </w:r>
      <w:r w:rsidR="00F46E9D" w:rsidRPr="00CB6495">
        <w:rPr>
          <w:color w:val="000000"/>
          <w:lang w:eastAsia="fr-FR"/>
        </w:rPr>
        <w:t>s</w:t>
      </w:r>
      <w:r w:rsidR="00936BD3">
        <w:rPr>
          <w:color w:val="000000"/>
          <w:lang w:eastAsia="fr-FR"/>
        </w:rPr>
        <w:t xml:space="preserve"> </w:t>
      </w:r>
      <w:r w:rsidR="00936BD3" w:rsidRPr="00936BD3">
        <w:rPr>
          <w:color w:val="000000"/>
          <w:u w:val="single"/>
          <w:lang w:eastAsia="fr-FR"/>
        </w:rPr>
        <w:t>demandes</w:t>
      </w:r>
      <w:r w:rsidR="00936BD3">
        <w:rPr>
          <w:color w:val="000000"/>
          <w:lang w:eastAsia="fr-FR"/>
        </w:rPr>
        <w:t>, constituées des</w:t>
      </w:r>
      <w:r w:rsidR="00F46E9D" w:rsidRPr="00CB6495">
        <w:rPr>
          <w:color w:val="000000"/>
          <w:lang w:eastAsia="fr-FR"/>
        </w:rPr>
        <w:t xml:space="preserve"> documents suivants : </w:t>
      </w:r>
    </w:p>
    <w:p w14:paraId="7EF712FC" w14:textId="77777777" w:rsidR="0078309B" w:rsidRPr="00CB6495" w:rsidDel="005F1939" w:rsidRDefault="0078309B" w:rsidP="002F3AD6">
      <w:pPr>
        <w:spacing w:after="0"/>
        <w:rPr>
          <w:lang w:eastAsia="fr-FR"/>
        </w:rPr>
      </w:pPr>
    </w:p>
    <w:p w14:paraId="2D7550E2" w14:textId="3E8CABE6" w:rsidR="00F46E9D" w:rsidRPr="00CB6495" w:rsidRDefault="004E40F4" w:rsidP="0064401C">
      <w:pPr>
        <w:spacing w:after="0"/>
        <w:ind w:left="709" w:hanging="425"/>
        <w:rPr>
          <w:color w:val="000000"/>
          <w:lang w:eastAsia="fr-FR"/>
        </w:rPr>
      </w:pPr>
      <w:r w:rsidRPr="00CB6495">
        <w:rPr>
          <w:lang w:eastAsia="fr-FR"/>
        </w:rPr>
        <w:t>-</w:t>
      </w:r>
      <w:r w:rsidRPr="00CB6495">
        <w:rPr>
          <w:lang w:eastAsia="fr-FR"/>
        </w:rPr>
        <w:tab/>
      </w:r>
      <w:r w:rsidR="0078309B" w:rsidRPr="00CB6495" w:rsidDel="005F1939">
        <w:rPr>
          <w:lang w:eastAsia="fr-FR"/>
        </w:rPr>
        <w:t xml:space="preserve">note succincte selon le </w:t>
      </w:r>
      <w:r w:rsidR="0078309B" w:rsidRPr="00CB6495">
        <w:rPr>
          <w:lang w:eastAsia="fr-FR"/>
        </w:rPr>
        <w:t>formulaire</w:t>
      </w:r>
      <w:r w:rsidR="0078309B" w:rsidRPr="00CB6495" w:rsidDel="005F1939">
        <w:rPr>
          <w:lang w:eastAsia="fr-FR"/>
        </w:rPr>
        <w:t xml:space="preserve"> joint à cet </w:t>
      </w:r>
      <w:r w:rsidR="00395F6C" w:rsidRPr="00CB6495">
        <w:rPr>
          <w:lang w:eastAsia="fr-FR"/>
        </w:rPr>
        <w:t>AMI</w:t>
      </w:r>
      <w:r w:rsidR="0078309B" w:rsidRPr="00CB6495" w:rsidDel="005F1939">
        <w:rPr>
          <w:lang w:eastAsia="fr-FR"/>
        </w:rPr>
        <w:t> </w:t>
      </w:r>
      <w:r w:rsidR="0078309B" w:rsidRPr="00CB6495">
        <w:rPr>
          <w:lang w:eastAsia="fr-FR"/>
        </w:rPr>
        <w:t xml:space="preserve">en annexe </w:t>
      </w:r>
      <w:r w:rsidR="006B194F" w:rsidRPr="00CB6495">
        <w:rPr>
          <w:lang w:eastAsia="fr-FR"/>
        </w:rPr>
        <w:t>4</w:t>
      </w:r>
      <w:r w:rsidR="0078309B" w:rsidRPr="00CB6495" w:rsidDel="005F1939">
        <w:rPr>
          <w:lang w:eastAsia="fr-FR"/>
        </w:rPr>
        <w:t>;</w:t>
      </w:r>
      <w:r w:rsidR="000A3CF6" w:rsidRPr="00CB6495">
        <w:rPr>
          <w:color w:val="000000"/>
          <w:lang w:eastAsia="fr-FR"/>
        </w:rPr>
        <w:t xml:space="preserve"> </w:t>
      </w:r>
      <w:r w:rsidR="004C27F9" w:rsidRPr="00CB6495">
        <w:rPr>
          <w:color w:val="000000"/>
          <w:lang w:eastAsia="fr-FR"/>
        </w:rPr>
        <w:t xml:space="preserve">dans la note succincte de présentation, les demandeurs </w:t>
      </w:r>
      <w:r w:rsidR="00395F6C" w:rsidRPr="00CB6495">
        <w:rPr>
          <w:color w:val="000000"/>
          <w:lang w:eastAsia="fr-FR"/>
        </w:rPr>
        <w:t>principaux</w:t>
      </w:r>
      <w:r w:rsidR="004C27F9" w:rsidRPr="00CB6495">
        <w:rPr>
          <w:color w:val="000000"/>
          <w:lang w:eastAsia="fr-FR"/>
        </w:rPr>
        <w:t xml:space="preserve"> ne doivent </w:t>
      </w:r>
      <w:r w:rsidR="00B14955">
        <w:rPr>
          <w:color w:val="000000"/>
          <w:lang w:eastAsia="fr-FR"/>
        </w:rPr>
        <w:t xml:space="preserve">pas </w:t>
      </w:r>
      <w:r w:rsidR="004C27F9" w:rsidRPr="00CB6495">
        <w:rPr>
          <w:color w:val="000000"/>
          <w:lang w:eastAsia="fr-FR"/>
        </w:rPr>
        <w:t xml:space="preserve">fournir un budget détaillé de l’action.  </w:t>
      </w:r>
      <w:r w:rsidR="008F26D3" w:rsidRPr="00CB6495">
        <w:rPr>
          <w:color w:val="000000"/>
          <w:lang w:eastAsia="fr-FR"/>
        </w:rPr>
        <w:t xml:space="preserve">Un budget détaillé ne doit être présenté que par le demandeur </w:t>
      </w:r>
      <w:r w:rsidR="004D544A" w:rsidRPr="00CB6495">
        <w:rPr>
          <w:color w:val="000000"/>
          <w:lang w:eastAsia="fr-FR"/>
        </w:rPr>
        <w:t>principa</w:t>
      </w:r>
      <w:r w:rsidR="004D544A">
        <w:rPr>
          <w:color w:val="000000"/>
          <w:lang w:eastAsia="fr-FR"/>
        </w:rPr>
        <w:t>l</w:t>
      </w:r>
      <w:r w:rsidR="004D544A" w:rsidRPr="00CB6495">
        <w:rPr>
          <w:color w:val="000000"/>
          <w:lang w:eastAsia="fr-FR"/>
        </w:rPr>
        <w:t xml:space="preserve"> </w:t>
      </w:r>
      <w:r w:rsidR="008F26D3" w:rsidRPr="00CB6495">
        <w:rPr>
          <w:color w:val="000000"/>
          <w:lang w:eastAsia="fr-FR"/>
        </w:rPr>
        <w:t xml:space="preserve">invité à soumettre une demande </w:t>
      </w:r>
      <w:r w:rsidR="000A3CF6" w:rsidRPr="00CB6495">
        <w:rPr>
          <w:color w:val="000000"/>
          <w:lang w:eastAsia="fr-FR"/>
        </w:rPr>
        <w:t>complète dans la seconde phase;</w:t>
      </w:r>
    </w:p>
    <w:p w14:paraId="4415C3F7" w14:textId="291200F5" w:rsidR="000A3CF6" w:rsidRDefault="004E40F4" w:rsidP="0064401C">
      <w:pPr>
        <w:spacing w:after="0"/>
        <w:ind w:left="284"/>
        <w:rPr>
          <w:color w:val="000000"/>
          <w:lang w:eastAsia="fr-FR"/>
        </w:rPr>
      </w:pPr>
      <w:r w:rsidRPr="00CB6495">
        <w:t>-</w:t>
      </w:r>
      <w:r w:rsidRPr="00CB6495">
        <w:tab/>
      </w:r>
      <w:r w:rsidR="000A3CF6" w:rsidRPr="00CB6495">
        <w:rPr>
          <w:color w:val="000000"/>
          <w:lang w:eastAsia="fr-FR"/>
        </w:rPr>
        <w:t xml:space="preserve">déclaration signée du demandeur </w:t>
      </w:r>
      <w:r w:rsidR="00C15AA0" w:rsidRPr="00CB6495">
        <w:rPr>
          <w:color w:val="000000"/>
          <w:lang w:eastAsia="fr-FR"/>
        </w:rPr>
        <w:t>principal</w:t>
      </w:r>
      <w:r w:rsidR="000A3CF6" w:rsidRPr="00CB6495">
        <w:rPr>
          <w:color w:val="000000"/>
          <w:lang w:eastAsia="fr-FR"/>
        </w:rPr>
        <w:t xml:space="preserve"> </w:t>
      </w:r>
      <w:r w:rsidRPr="00CB6495">
        <w:rPr>
          <w:color w:val="000000"/>
          <w:lang w:eastAsia="fr-FR"/>
        </w:rPr>
        <w:t xml:space="preserve">en </w:t>
      </w:r>
      <w:r w:rsidR="00C15AA0" w:rsidRPr="00CB6495">
        <w:rPr>
          <w:color w:val="000000"/>
          <w:lang w:eastAsia="fr-FR"/>
        </w:rPr>
        <w:t xml:space="preserve">annexe 5 de </w:t>
      </w:r>
      <w:r w:rsidRPr="00CB6495">
        <w:rPr>
          <w:color w:val="000000"/>
          <w:lang w:eastAsia="fr-FR"/>
        </w:rPr>
        <w:t xml:space="preserve">cet </w:t>
      </w:r>
      <w:r w:rsidR="00C15AA0" w:rsidRPr="00CB6495">
        <w:rPr>
          <w:color w:val="000000"/>
          <w:lang w:eastAsia="fr-FR"/>
        </w:rPr>
        <w:t>AMI</w:t>
      </w:r>
      <w:r w:rsidR="00402954">
        <w:rPr>
          <w:color w:val="000000"/>
          <w:lang w:eastAsia="fr-FR"/>
        </w:rPr>
        <w:t>;</w:t>
      </w:r>
    </w:p>
    <w:p w14:paraId="6A4BB5C0" w14:textId="32BB86BB" w:rsidR="004D544A" w:rsidRPr="00CB6495" w:rsidRDefault="004D544A" w:rsidP="0064401C">
      <w:pPr>
        <w:spacing w:after="0"/>
        <w:ind w:left="284"/>
        <w:rPr>
          <w:color w:val="000000"/>
          <w:lang w:eastAsia="fr-FR"/>
        </w:rPr>
      </w:pPr>
      <w:r>
        <w:t>-</w:t>
      </w:r>
      <w:r w:rsidR="007960E2">
        <w:t xml:space="preserve"> </w:t>
      </w:r>
      <w:r w:rsidR="00402954">
        <w:tab/>
      </w:r>
      <w:r>
        <w:rPr>
          <w:color w:val="000000"/>
          <w:lang w:eastAsia="fr-FR"/>
        </w:rPr>
        <w:t xml:space="preserve">documents </w:t>
      </w:r>
      <w:r w:rsidR="00B02273">
        <w:rPr>
          <w:color w:val="000000"/>
          <w:lang w:eastAsia="fr-FR"/>
        </w:rPr>
        <w:t xml:space="preserve">pour évaluer l’éligibilité </w:t>
      </w:r>
      <w:r>
        <w:rPr>
          <w:color w:val="000000"/>
          <w:lang w:eastAsia="fr-FR"/>
        </w:rPr>
        <w:t>demandé</w:t>
      </w:r>
      <w:r w:rsidR="007960E2">
        <w:rPr>
          <w:color w:val="000000"/>
          <w:lang w:eastAsia="fr-FR"/>
        </w:rPr>
        <w:t>e</w:t>
      </w:r>
      <w:r>
        <w:rPr>
          <w:color w:val="000000"/>
          <w:lang w:eastAsia="fr-FR"/>
        </w:rPr>
        <w:t xml:space="preserve"> dans le point 11 de l’AMI</w:t>
      </w:r>
      <w:r w:rsidR="00402954">
        <w:rPr>
          <w:color w:val="000000"/>
          <w:lang w:eastAsia="fr-FR"/>
        </w:rPr>
        <w:t>.</w:t>
      </w:r>
      <w:r w:rsidR="00B02273">
        <w:rPr>
          <w:color w:val="000000"/>
          <w:lang w:eastAsia="fr-FR"/>
        </w:rPr>
        <w:t xml:space="preserve"> </w:t>
      </w:r>
    </w:p>
    <w:p w14:paraId="18472132" w14:textId="77777777" w:rsidR="004C27F9" w:rsidRPr="00CB6495" w:rsidRDefault="004C27F9" w:rsidP="002F3AD6">
      <w:pPr>
        <w:spacing w:after="0"/>
        <w:rPr>
          <w:color w:val="000000"/>
          <w:lang w:eastAsia="fr-FR"/>
        </w:rPr>
      </w:pPr>
    </w:p>
    <w:p w14:paraId="52845CEA" w14:textId="4DE261C8" w:rsidR="00E15DC3" w:rsidRDefault="00E15DC3" w:rsidP="002F3AD6">
      <w:pPr>
        <w:autoSpaceDE w:val="0"/>
        <w:autoSpaceDN w:val="0"/>
        <w:adjustRightInd w:val="0"/>
        <w:spacing w:after="0"/>
      </w:pPr>
      <w:r w:rsidRPr="00CB6495">
        <w:rPr>
          <w:lang w:eastAsia="fr-FR"/>
        </w:rPr>
        <w:t xml:space="preserve">Les </w:t>
      </w:r>
      <w:r w:rsidRPr="00936BD3">
        <w:rPr>
          <w:u w:val="single"/>
        </w:rPr>
        <w:t>demandes</w:t>
      </w:r>
      <w:r w:rsidRPr="00CB6495">
        <w:t xml:space="preserve"> doivent être soumises en français, conformément aux instructions relatives à la note succincte de présentation </w:t>
      </w:r>
      <w:r w:rsidR="005F1939" w:rsidRPr="00CB6495">
        <w:t>(</w:t>
      </w:r>
      <w:r w:rsidR="00A23F9E" w:rsidRPr="00CB6495">
        <w:t>réf.</w:t>
      </w:r>
      <w:r w:rsidR="001C5A9A" w:rsidRPr="00CB6495">
        <w:t xml:space="preserve"> </w:t>
      </w:r>
      <w:r w:rsidRPr="00CB6495">
        <w:t>annex</w:t>
      </w:r>
      <w:r w:rsidR="005F1939" w:rsidRPr="00CB6495">
        <w:t xml:space="preserve">e </w:t>
      </w:r>
      <w:r w:rsidR="006B194F" w:rsidRPr="00CB6495">
        <w:t>4</w:t>
      </w:r>
      <w:r w:rsidR="005F1939" w:rsidRPr="00CB6495">
        <w:t>)</w:t>
      </w:r>
      <w:r w:rsidRPr="00CB6495">
        <w:t>. Les notes succinctes manuscrites ne seront pas acceptées.</w:t>
      </w:r>
    </w:p>
    <w:p w14:paraId="463428EC" w14:textId="77777777" w:rsidR="004D544A" w:rsidRDefault="004D544A" w:rsidP="002F3AD6">
      <w:pPr>
        <w:autoSpaceDE w:val="0"/>
        <w:autoSpaceDN w:val="0"/>
        <w:adjustRightInd w:val="0"/>
        <w:spacing w:after="0"/>
      </w:pPr>
    </w:p>
    <w:p w14:paraId="5A12D0E1" w14:textId="05B959B8" w:rsidR="004D544A" w:rsidRDefault="004D544A" w:rsidP="002F3AD6">
      <w:pPr>
        <w:autoSpaceDE w:val="0"/>
        <w:autoSpaceDN w:val="0"/>
        <w:adjustRightInd w:val="0"/>
        <w:spacing w:after="0"/>
      </w:pPr>
      <w:r>
        <w:t>La déclaration de l’annexe 5 doit être envoyée en français.</w:t>
      </w:r>
    </w:p>
    <w:p w14:paraId="32B3ABBB" w14:textId="77777777" w:rsidR="004D544A" w:rsidRDefault="004D544A" w:rsidP="002F3AD6">
      <w:pPr>
        <w:autoSpaceDE w:val="0"/>
        <w:autoSpaceDN w:val="0"/>
        <w:adjustRightInd w:val="0"/>
        <w:spacing w:after="0"/>
      </w:pPr>
    </w:p>
    <w:p w14:paraId="31CFEE24" w14:textId="21C98473" w:rsidR="004D544A" w:rsidRDefault="004D544A" w:rsidP="002F3AD6">
      <w:pPr>
        <w:autoSpaceDE w:val="0"/>
        <w:autoSpaceDN w:val="0"/>
        <w:adjustRightInd w:val="0"/>
        <w:spacing w:after="0"/>
      </w:pPr>
      <w:r>
        <w:t xml:space="preserve">Si les documents demandés dans le point 11 ne sont pas </w:t>
      </w:r>
      <w:r w:rsidR="00F90CFE">
        <w:t>rédigés</w:t>
      </w:r>
      <w:r>
        <w:t xml:space="preserve"> en français, les parties pertinentes des dits documents d</w:t>
      </w:r>
      <w:r w:rsidR="007960E2">
        <w:t>oi</w:t>
      </w:r>
      <w:r>
        <w:t xml:space="preserve">vent être traduites </w:t>
      </w:r>
      <w:r w:rsidR="007960E2">
        <w:t>en</w:t>
      </w:r>
      <w:r>
        <w:t xml:space="preserve"> français pour faciliter l’évaluation.</w:t>
      </w:r>
    </w:p>
    <w:p w14:paraId="5F606B67" w14:textId="77777777" w:rsidR="00B02273" w:rsidRDefault="00B02273" w:rsidP="002F3AD6">
      <w:pPr>
        <w:autoSpaceDE w:val="0"/>
        <w:autoSpaceDN w:val="0"/>
        <w:adjustRightInd w:val="0"/>
        <w:spacing w:after="0"/>
      </w:pPr>
    </w:p>
    <w:p w14:paraId="0F7E6B4A" w14:textId="4AEAE43A" w:rsidR="00B02273" w:rsidRDefault="00B02273" w:rsidP="00B02273">
      <w:pPr>
        <w:autoSpaceDE w:val="0"/>
        <w:autoSpaceDN w:val="0"/>
        <w:adjustRightInd w:val="0"/>
        <w:spacing w:after="0"/>
      </w:pPr>
      <w:r>
        <w:t xml:space="preserve">Le </w:t>
      </w:r>
      <w:r w:rsidRPr="00A73299">
        <w:rPr>
          <w:u w:val="single"/>
        </w:rPr>
        <w:t>demandeur principal</w:t>
      </w:r>
      <w:r>
        <w:t xml:space="preserve"> est le responsable de l’envoi de tous les documents susmentionnés.</w:t>
      </w:r>
    </w:p>
    <w:p w14:paraId="3329CAEE" w14:textId="77777777" w:rsidR="003325B0" w:rsidRPr="00CB6495" w:rsidRDefault="003325B0" w:rsidP="002F3AD6">
      <w:pPr>
        <w:autoSpaceDE w:val="0"/>
        <w:autoSpaceDN w:val="0"/>
        <w:adjustRightInd w:val="0"/>
        <w:spacing w:after="0"/>
      </w:pPr>
    </w:p>
    <w:p w14:paraId="655AE6E6" w14:textId="6081357D" w:rsidR="003325B0" w:rsidRPr="00CB6495" w:rsidRDefault="003325B0" w:rsidP="002F3AD6">
      <w:pPr>
        <w:autoSpaceDE w:val="0"/>
        <w:autoSpaceDN w:val="0"/>
        <w:adjustRightInd w:val="0"/>
        <w:spacing w:after="0"/>
      </w:pPr>
      <w:r w:rsidRPr="00CB6495">
        <w:t>Seule la note succincte de présentation sera évaluée</w:t>
      </w:r>
      <w:r w:rsidR="004E40F4" w:rsidRPr="00CB6495">
        <w:t xml:space="preserve"> (annexe 4)</w:t>
      </w:r>
      <w:r w:rsidRPr="00CB6495">
        <w:t xml:space="preserve">. Il est par conséquent très important que ce document contienne TOUTES les informations pertinentes concernant l’action. </w:t>
      </w:r>
    </w:p>
    <w:p w14:paraId="3AED5174" w14:textId="77777777" w:rsidR="00E15DC3" w:rsidRPr="00CB6495" w:rsidRDefault="00E15DC3" w:rsidP="002F3AD6">
      <w:pPr>
        <w:autoSpaceDE w:val="0"/>
        <w:autoSpaceDN w:val="0"/>
        <w:adjustRightInd w:val="0"/>
        <w:spacing w:after="0"/>
      </w:pPr>
    </w:p>
    <w:p w14:paraId="435580D8" w14:textId="4BC33A71" w:rsidR="001D6BC5" w:rsidRPr="00CB6495" w:rsidRDefault="001D6BC5" w:rsidP="002F3AD6">
      <w:pPr>
        <w:autoSpaceDE w:val="0"/>
        <w:autoSpaceDN w:val="0"/>
        <w:adjustRightInd w:val="0"/>
        <w:spacing w:after="0"/>
      </w:pPr>
      <w:r w:rsidRPr="00CB6495">
        <w:t>L</w:t>
      </w:r>
      <w:r w:rsidR="00E15DC3" w:rsidRPr="00CB6495">
        <w:t>es demandes doivent être soumises</w:t>
      </w:r>
      <w:r w:rsidRPr="00CB6495">
        <w:t xml:space="preserve"> par courrier électronique à</w:t>
      </w:r>
      <w:r w:rsidR="00E15DC3" w:rsidRPr="00CB6495">
        <w:t xml:space="preserve"> </w:t>
      </w:r>
      <w:r w:rsidR="00840093" w:rsidRPr="00CB6495">
        <w:t xml:space="preserve">: </w:t>
      </w:r>
    </w:p>
    <w:p w14:paraId="109D82A8" w14:textId="77777777" w:rsidR="001D6BC5" w:rsidRPr="00CB6495" w:rsidRDefault="001D6BC5" w:rsidP="002F3AD6">
      <w:pPr>
        <w:autoSpaceDE w:val="0"/>
        <w:autoSpaceDN w:val="0"/>
        <w:adjustRightInd w:val="0"/>
        <w:spacing w:after="0"/>
      </w:pPr>
    </w:p>
    <w:p w14:paraId="2CBFAB78" w14:textId="77777777" w:rsidR="005B400D" w:rsidRDefault="000B0F60" w:rsidP="005B400D">
      <w:pPr>
        <w:spacing w:after="0"/>
        <w:jc w:val="left"/>
      </w:pPr>
      <w:hyperlink r:id="rId12" w:tgtFrame="_blank" w:history="1">
        <w:r w:rsidR="005B400D">
          <w:rPr>
            <w:rStyle w:val="Hyperlink"/>
            <w:rFonts w:ascii="Calibri" w:hAnsi="Calibri" w:cs="Calibri"/>
            <w:sz w:val="22"/>
            <w:szCs w:val="22"/>
          </w:rPr>
          <w:t>delegation-central-african-rep-fcs@eeas.europa.eu</w:t>
        </w:r>
      </w:hyperlink>
    </w:p>
    <w:p w14:paraId="2507ECEB" w14:textId="77777777" w:rsidR="005B400D" w:rsidRDefault="005B400D" w:rsidP="00A90828">
      <w:pPr>
        <w:spacing w:after="0"/>
      </w:pPr>
    </w:p>
    <w:p w14:paraId="7857231E" w14:textId="56D42E7A" w:rsidR="00A90828" w:rsidRDefault="00A90828" w:rsidP="00A90828">
      <w:pPr>
        <w:spacing w:after="0"/>
      </w:pPr>
      <w:r>
        <w:t xml:space="preserve">et en copie : </w:t>
      </w:r>
      <w:hyperlink r:id="rId13" w:history="1">
        <w:r w:rsidRPr="003B05EF">
          <w:rPr>
            <w:rStyle w:val="Hyperlink"/>
          </w:rPr>
          <w:t>carlos.abaitua-zarza@eeas.europa.eu</w:t>
        </w:r>
      </w:hyperlink>
    </w:p>
    <w:p w14:paraId="1BA5CE4E" w14:textId="77777777" w:rsidR="001D6BC5" w:rsidRPr="00CB6495" w:rsidRDefault="001D6BC5" w:rsidP="00080F04">
      <w:pPr>
        <w:autoSpaceDE w:val="0"/>
        <w:autoSpaceDN w:val="0"/>
        <w:adjustRightInd w:val="0"/>
        <w:spacing w:after="0"/>
      </w:pPr>
    </w:p>
    <w:p w14:paraId="2AF499B3" w14:textId="78A1B07F" w:rsidR="001D6BC5" w:rsidRPr="00CB6495" w:rsidRDefault="001D6BC5" w:rsidP="002F3AD6">
      <w:pPr>
        <w:autoSpaceDE w:val="0"/>
        <w:autoSpaceDN w:val="0"/>
        <w:adjustRightInd w:val="0"/>
        <w:spacing w:after="0"/>
        <w:rPr>
          <w:lang w:eastAsia="fr-FR"/>
        </w:rPr>
      </w:pPr>
      <w:r w:rsidRPr="00CB6495">
        <w:rPr>
          <w:lang w:eastAsia="fr-FR"/>
        </w:rPr>
        <w:t xml:space="preserve">en indiquant dans le sujet du message : </w:t>
      </w:r>
    </w:p>
    <w:p w14:paraId="4D6689C4" w14:textId="77777777" w:rsidR="001D6BC5" w:rsidRPr="00CB6495" w:rsidRDefault="001D6BC5" w:rsidP="002F3AD6">
      <w:pPr>
        <w:autoSpaceDE w:val="0"/>
        <w:autoSpaceDN w:val="0"/>
        <w:adjustRightInd w:val="0"/>
        <w:spacing w:after="0"/>
        <w:rPr>
          <w:lang w:eastAsia="fr-FR"/>
        </w:rPr>
      </w:pPr>
    </w:p>
    <w:p w14:paraId="7E52618E" w14:textId="57EDF8F1" w:rsidR="00840093" w:rsidRPr="00CB6495" w:rsidRDefault="001D6BC5" w:rsidP="00402954">
      <w:pPr>
        <w:autoSpaceDE w:val="0"/>
        <w:autoSpaceDN w:val="0"/>
        <w:adjustRightInd w:val="0"/>
        <w:spacing w:after="0"/>
        <w:jc w:val="center"/>
        <w:rPr>
          <w:lang w:eastAsia="fr-FR"/>
        </w:rPr>
      </w:pPr>
      <w:r w:rsidRPr="00CB6495">
        <w:rPr>
          <w:lang w:eastAsia="fr-FR"/>
        </w:rPr>
        <w:t>APPEL A MANIFESTATION D’INTERET-</w:t>
      </w:r>
      <w:r w:rsidRPr="00CB6495">
        <w:t xml:space="preserve"> </w:t>
      </w:r>
      <w:r w:rsidRPr="00CB6495">
        <w:rPr>
          <w:lang w:eastAsia="fr-FR"/>
        </w:rPr>
        <w:t>Programme d’appui à la réforme du secteur de la sécurité et à la gouvernance</w:t>
      </w:r>
      <w:r w:rsidR="00402954">
        <w:rPr>
          <w:lang w:eastAsia="fr-FR"/>
        </w:rPr>
        <w:t xml:space="preserve"> </w:t>
      </w:r>
      <w:r w:rsidRPr="00CB6495">
        <w:rPr>
          <w:lang w:eastAsia="fr-FR"/>
        </w:rPr>
        <w:t>en République Centrafricaine – Volet 3 état</w:t>
      </w:r>
      <w:r w:rsidR="004E40F4" w:rsidRPr="00CB6495">
        <w:rPr>
          <w:lang w:eastAsia="fr-FR"/>
        </w:rPr>
        <w:t xml:space="preserve"> </w:t>
      </w:r>
      <w:r w:rsidRPr="00CB6495">
        <w:rPr>
          <w:lang w:eastAsia="fr-FR"/>
        </w:rPr>
        <w:t>civil</w:t>
      </w:r>
    </w:p>
    <w:p w14:paraId="030B6CE4" w14:textId="77777777" w:rsidR="001D6BC5" w:rsidRPr="00CB6495" w:rsidRDefault="001D6BC5" w:rsidP="002F3AD6">
      <w:pPr>
        <w:autoSpaceDE w:val="0"/>
        <w:autoSpaceDN w:val="0"/>
        <w:adjustRightInd w:val="0"/>
        <w:spacing w:after="0"/>
        <w:rPr>
          <w:lang w:eastAsia="fr-FR"/>
        </w:rPr>
      </w:pPr>
    </w:p>
    <w:p w14:paraId="39758D1B" w14:textId="77777777" w:rsidR="00840093" w:rsidRPr="00CB6495" w:rsidRDefault="00840093" w:rsidP="002F3AD6">
      <w:pPr>
        <w:autoSpaceDE w:val="0"/>
        <w:autoSpaceDN w:val="0"/>
        <w:adjustRightInd w:val="0"/>
        <w:spacing w:after="0"/>
        <w:rPr>
          <w:color w:val="000000"/>
          <w:lang w:eastAsia="fr-FR"/>
        </w:rPr>
      </w:pPr>
      <w:r w:rsidRPr="00CB6495">
        <w:rPr>
          <w:color w:val="000000"/>
          <w:lang w:eastAsia="fr-FR"/>
        </w:rPr>
        <w:t>Les demandeurs peuvent envoyer leurs questions par courrier électronique au plus tard 21 jours avant la date limite de soumission des notes succinctes de présentation, à l'/aux adresse(s) figurant ci-après, en indiquant clairement la référence de l’appel à manifestation:</w:t>
      </w:r>
    </w:p>
    <w:p w14:paraId="6C46578F" w14:textId="77777777" w:rsidR="00A90828" w:rsidRDefault="00A90828" w:rsidP="00A90828">
      <w:pPr>
        <w:spacing w:after="0"/>
        <w:jc w:val="left"/>
        <w:rPr>
          <w:bCs/>
        </w:rPr>
      </w:pPr>
    </w:p>
    <w:p w14:paraId="30150378" w14:textId="3E1112FA" w:rsidR="00A90828" w:rsidRDefault="00840093" w:rsidP="00A90828">
      <w:pPr>
        <w:spacing w:after="0"/>
        <w:jc w:val="left"/>
      </w:pPr>
      <w:r w:rsidRPr="00CB6495">
        <w:rPr>
          <w:bCs/>
        </w:rPr>
        <w:lastRenderedPageBreak/>
        <w:t xml:space="preserve">Email : </w:t>
      </w:r>
      <w:hyperlink r:id="rId14" w:tgtFrame="_blank" w:history="1">
        <w:r w:rsidR="005B400D">
          <w:rPr>
            <w:rStyle w:val="Hyperlink"/>
            <w:rFonts w:ascii="Calibri" w:hAnsi="Calibri" w:cs="Calibri"/>
            <w:sz w:val="22"/>
            <w:szCs w:val="22"/>
          </w:rPr>
          <w:t>delegation-central-african-rep-fcs@eeas.europa.eu</w:t>
        </w:r>
      </w:hyperlink>
    </w:p>
    <w:p w14:paraId="6DFCF7E3" w14:textId="77777777" w:rsidR="001D6BC5" w:rsidRPr="00CB6495" w:rsidRDefault="001D6BC5" w:rsidP="00080F04">
      <w:pPr>
        <w:spacing w:after="0"/>
        <w:rPr>
          <w:bCs/>
        </w:rPr>
      </w:pPr>
    </w:p>
    <w:p w14:paraId="264EBFB8" w14:textId="082F0A1B" w:rsidR="00840093" w:rsidRDefault="002F3AD6" w:rsidP="002F3AD6">
      <w:pPr>
        <w:autoSpaceDE w:val="0"/>
        <w:autoSpaceDN w:val="0"/>
        <w:adjustRightInd w:val="0"/>
        <w:spacing w:after="0"/>
        <w:rPr>
          <w:color w:val="000000"/>
          <w:lang w:eastAsia="fr-FR"/>
        </w:rPr>
      </w:pPr>
      <w:r>
        <w:rPr>
          <w:color w:val="000000"/>
          <w:lang w:eastAsia="fr-FR"/>
        </w:rPr>
        <w:t>e</w:t>
      </w:r>
      <w:r w:rsidR="00840093" w:rsidRPr="00CB6495">
        <w:rPr>
          <w:color w:val="000000"/>
          <w:lang w:eastAsia="fr-FR"/>
        </w:rPr>
        <w:t xml:space="preserve">t copie à </w:t>
      </w:r>
      <w:hyperlink r:id="rId15" w:history="1">
        <w:r w:rsidR="00C9147D" w:rsidRPr="00CB6495">
          <w:rPr>
            <w:rStyle w:val="Hyperlink"/>
            <w:lang w:eastAsia="fr-FR"/>
          </w:rPr>
          <w:t>carlos.abaitua-zarza@eeas.europa.eu</w:t>
        </w:r>
      </w:hyperlink>
      <w:r w:rsidR="00431BAF" w:rsidRPr="00CB6495">
        <w:rPr>
          <w:color w:val="0000FF"/>
          <w:lang w:eastAsia="fr-FR"/>
        </w:rPr>
        <w:t xml:space="preserve"> </w:t>
      </w:r>
      <w:r w:rsidR="00840093" w:rsidRPr="00CB6495">
        <w:rPr>
          <w:color w:val="0000FF"/>
          <w:lang w:eastAsia="fr-FR"/>
        </w:rPr>
        <w:t xml:space="preserve"> </w:t>
      </w:r>
    </w:p>
    <w:p w14:paraId="5E268E54" w14:textId="77777777" w:rsidR="00A90828" w:rsidRPr="00CB6495" w:rsidRDefault="00A90828" w:rsidP="002F3AD6">
      <w:pPr>
        <w:autoSpaceDE w:val="0"/>
        <w:autoSpaceDN w:val="0"/>
        <w:adjustRightInd w:val="0"/>
        <w:spacing w:after="0"/>
        <w:rPr>
          <w:color w:val="000000"/>
          <w:lang w:eastAsia="fr-FR"/>
        </w:rPr>
      </w:pPr>
    </w:p>
    <w:p w14:paraId="361DC14C" w14:textId="77777777" w:rsidR="00840093" w:rsidRPr="00CB6495" w:rsidRDefault="00840093" w:rsidP="002F3AD6">
      <w:pPr>
        <w:autoSpaceDE w:val="0"/>
        <w:autoSpaceDN w:val="0"/>
        <w:adjustRightInd w:val="0"/>
        <w:spacing w:after="0"/>
        <w:rPr>
          <w:color w:val="000000"/>
          <w:lang w:eastAsia="fr-FR"/>
        </w:rPr>
      </w:pPr>
      <w:r w:rsidRPr="00CB6495">
        <w:rPr>
          <w:color w:val="000000"/>
          <w:lang w:eastAsia="fr-FR"/>
        </w:rPr>
        <w:t>L'administration contractante n'a pas l'obligation de fournir des éclaircissements sur des questions reçues après cette date.</w:t>
      </w:r>
    </w:p>
    <w:p w14:paraId="2E8D5714" w14:textId="77777777" w:rsidR="00840093" w:rsidRPr="00CB6495" w:rsidRDefault="00840093" w:rsidP="002F3AD6">
      <w:pPr>
        <w:autoSpaceDE w:val="0"/>
        <w:autoSpaceDN w:val="0"/>
        <w:adjustRightInd w:val="0"/>
        <w:spacing w:after="0"/>
        <w:rPr>
          <w:color w:val="000000"/>
          <w:lang w:eastAsia="fr-FR"/>
        </w:rPr>
      </w:pPr>
    </w:p>
    <w:p w14:paraId="7F526544" w14:textId="77777777" w:rsidR="00840093" w:rsidRPr="00CB6495" w:rsidRDefault="00840093" w:rsidP="002F3AD6">
      <w:pPr>
        <w:autoSpaceDE w:val="0"/>
        <w:autoSpaceDN w:val="0"/>
        <w:adjustRightInd w:val="0"/>
        <w:spacing w:after="0"/>
        <w:rPr>
          <w:color w:val="000000"/>
          <w:lang w:eastAsia="fr-FR"/>
        </w:rPr>
      </w:pPr>
      <w:r w:rsidRPr="00CB6495">
        <w:rPr>
          <w:color w:val="000000"/>
          <w:lang w:eastAsia="fr-FR"/>
        </w:rPr>
        <w:t>Les questions/réponses les plus fréquentes et utiles à l’ensemble des partenaires y seront publiées au plus tard 11 jours avant la date limite de dépôt des notes succinctes de présentation</w:t>
      </w:r>
      <w:r w:rsidR="00C9147D" w:rsidRPr="00CB6495">
        <w:rPr>
          <w:color w:val="000000"/>
          <w:lang w:eastAsia="fr-FR"/>
        </w:rPr>
        <w:t>.</w:t>
      </w:r>
    </w:p>
    <w:p w14:paraId="1703DB17" w14:textId="77777777" w:rsidR="00840093" w:rsidRPr="00CB6495" w:rsidRDefault="00840093" w:rsidP="002F3AD6">
      <w:pPr>
        <w:autoSpaceDE w:val="0"/>
        <w:autoSpaceDN w:val="0"/>
        <w:adjustRightInd w:val="0"/>
        <w:spacing w:after="0"/>
        <w:rPr>
          <w:color w:val="000000"/>
          <w:lang w:eastAsia="fr-FR"/>
        </w:rPr>
      </w:pPr>
    </w:p>
    <w:p w14:paraId="09F8BEBA" w14:textId="77777777" w:rsidR="00840093" w:rsidRPr="00CB6495" w:rsidRDefault="00840093" w:rsidP="002F3AD6">
      <w:pPr>
        <w:autoSpaceDE w:val="0"/>
        <w:autoSpaceDN w:val="0"/>
        <w:adjustRightInd w:val="0"/>
        <w:spacing w:after="0"/>
        <w:rPr>
          <w:color w:val="000000"/>
          <w:lang w:eastAsia="fr-FR"/>
        </w:rPr>
      </w:pPr>
      <w:r w:rsidRPr="00CB6495">
        <w:rPr>
          <w:color w:val="000000"/>
          <w:lang w:eastAsia="fr-FR"/>
        </w:rPr>
        <w:t xml:space="preserve">Les informations relatives au présent appel à manifestation d’intérêt seront publiées sur le site de </w:t>
      </w:r>
    </w:p>
    <w:p w14:paraId="26B98FFB" w14:textId="77777777" w:rsidR="00C56318" w:rsidRPr="00CB6495" w:rsidRDefault="00840093" w:rsidP="002F3AD6">
      <w:pPr>
        <w:spacing w:after="0"/>
      </w:pPr>
      <w:r w:rsidRPr="00CB6495">
        <w:rPr>
          <w:color w:val="000000"/>
          <w:lang w:eastAsia="fr-FR"/>
        </w:rPr>
        <w:t xml:space="preserve">la Délégation de l’UE en République centrafricaine : </w:t>
      </w:r>
      <w:hyperlink r:id="rId16" w:history="1">
        <w:r w:rsidR="00360C69" w:rsidRPr="00CB6495">
          <w:rPr>
            <w:rStyle w:val="Hyperlink"/>
          </w:rPr>
          <w:t>https://eeas.europa.eu/delegations/central-african-republic_fr</w:t>
        </w:r>
      </w:hyperlink>
    </w:p>
    <w:p w14:paraId="1143D173" w14:textId="77777777" w:rsidR="00936BD3" w:rsidRPr="00CB6495" w:rsidRDefault="00936BD3" w:rsidP="00936BD3">
      <w:pPr>
        <w:autoSpaceDE w:val="0"/>
        <w:autoSpaceDN w:val="0"/>
        <w:adjustRightInd w:val="0"/>
        <w:spacing w:after="0"/>
        <w:rPr>
          <w:color w:val="000000"/>
          <w:lang w:eastAsia="fr-FR"/>
        </w:rPr>
      </w:pPr>
    </w:p>
    <w:p w14:paraId="71C6E072" w14:textId="77777777" w:rsidR="00936BD3" w:rsidRPr="00CB6495" w:rsidRDefault="00936BD3" w:rsidP="00936BD3">
      <w:pPr>
        <w:autoSpaceDE w:val="0"/>
        <w:autoSpaceDN w:val="0"/>
        <w:adjustRightInd w:val="0"/>
        <w:spacing w:after="0"/>
        <w:rPr>
          <w:color w:val="000000"/>
          <w:lang w:eastAsia="fr-FR"/>
        </w:rPr>
      </w:pPr>
      <w:r w:rsidRPr="00CB6495">
        <w:rPr>
          <w:color w:val="000000"/>
          <w:lang w:eastAsia="fr-FR"/>
        </w:rPr>
        <w:t>Les demandes qui ne respectent pas la date limite seront automatiquement rejetées.</w:t>
      </w:r>
    </w:p>
    <w:p w14:paraId="37D562AE" w14:textId="77777777" w:rsidR="00C56318" w:rsidRPr="00CB6495" w:rsidRDefault="00C56318" w:rsidP="002F3AD6">
      <w:pPr>
        <w:spacing w:after="0"/>
      </w:pPr>
    </w:p>
    <w:p w14:paraId="3D30B04D" w14:textId="08794AB8" w:rsidR="00840093" w:rsidRPr="00CB6495" w:rsidRDefault="00840093" w:rsidP="00AE2FCC">
      <w:pPr>
        <w:spacing w:after="0"/>
        <w:rPr>
          <w:color w:val="000000"/>
          <w:lang w:eastAsia="fr-FR"/>
        </w:rPr>
      </w:pPr>
      <w:r w:rsidRPr="00CB6495">
        <w:rPr>
          <w:color w:val="000000"/>
          <w:lang w:eastAsia="fr-FR"/>
        </w:rPr>
        <w:t>Une fois toutes les notes succinctes de présentation évaluées, une liste sera établie, classant les</w:t>
      </w:r>
      <w:r w:rsidR="00AE2FCC">
        <w:rPr>
          <w:color w:val="000000"/>
          <w:lang w:eastAsia="fr-FR"/>
        </w:rPr>
        <w:t xml:space="preserve"> </w:t>
      </w:r>
      <w:r w:rsidRPr="00CB6495">
        <w:rPr>
          <w:color w:val="000000"/>
          <w:lang w:eastAsia="fr-FR"/>
        </w:rPr>
        <w:t>propositions selon leur score total.</w:t>
      </w:r>
    </w:p>
    <w:p w14:paraId="0FE849D9" w14:textId="77777777" w:rsidR="00840093" w:rsidRPr="00CB6495" w:rsidRDefault="00840093" w:rsidP="002F3AD6">
      <w:pPr>
        <w:autoSpaceDE w:val="0"/>
        <w:autoSpaceDN w:val="0"/>
        <w:adjustRightInd w:val="0"/>
        <w:spacing w:after="0"/>
        <w:rPr>
          <w:color w:val="000000"/>
          <w:lang w:eastAsia="fr-FR"/>
        </w:rPr>
      </w:pPr>
    </w:p>
    <w:p w14:paraId="5D65D56F" w14:textId="185F2163" w:rsidR="00840093" w:rsidRPr="00CB6495" w:rsidRDefault="00840093" w:rsidP="002F3AD6">
      <w:pPr>
        <w:autoSpaceDE w:val="0"/>
        <w:autoSpaceDN w:val="0"/>
        <w:adjustRightInd w:val="0"/>
        <w:spacing w:after="0"/>
        <w:rPr>
          <w:color w:val="000000"/>
          <w:lang w:eastAsia="fr-FR"/>
        </w:rPr>
      </w:pPr>
      <w:r w:rsidRPr="00CB6495">
        <w:rPr>
          <w:color w:val="000000"/>
          <w:lang w:eastAsia="fr-FR"/>
        </w:rPr>
        <w:t xml:space="preserve">En premier lieu, seules les notes succinctes de présentation ayant atteint un score d'au moins </w:t>
      </w:r>
      <w:r w:rsidR="001845BA" w:rsidRPr="00CB6495">
        <w:rPr>
          <w:color w:val="000000"/>
          <w:lang w:eastAsia="fr-FR"/>
        </w:rPr>
        <w:t>75</w:t>
      </w:r>
      <w:r w:rsidRPr="00CB6495">
        <w:rPr>
          <w:color w:val="000000"/>
          <w:lang w:eastAsia="fr-FR"/>
        </w:rPr>
        <w:t xml:space="preserve"> points seront prises en compte pour la présélection.</w:t>
      </w:r>
    </w:p>
    <w:p w14:paraId="26B9E7BB" w14:textId="77777777" w:rsidR="00840093" w:rsidRPr="00CB6495" w:rsidRDefault="00840093" w:rsidP="002F3AD6">
      <w:pPr>
        <w:autoSpaceDE w:val="0"/>
        <w:autoSpaceDN w:val="0"/>
        <w:adjustRightInd w:val="0"/>
        <w:spacing w:after="0"/>
        <w:rPr>
          <w:color w:val="000000"/>
          <w:lang w:eastAsia="fr-FR"/>
        </w:rPr>
      </w:pPr>
    </w:p>
    <w:p w14:paraId="44FBB3B2" w14:textId="4E5A50D1" w:rsidR="00840093" w:rsidRDefault="00840093" w:rsidP="002F3AD6">
      <w:pPr>
        <w:autoSpaceDE w:val="0"/>
        <w:autoSpaceDN w:val="0"/>
        <w:adjustRightInd w:val="0"/>
        <w:spacing w:after="0"/>
        <w:rPr>
          <w:color w:val="000000"/>
          <w:lang w:eastAsia="fr-FR"/>
        </w:rPr>
      </w:pPr>
      <w:r w:rsidRPr="00CB6495">
        <w:rPr>
          <w:color w:val="000000"/>
          <w:lang w:eastAsia="fr-FR"/>
        </w:rPr>
        <w:t>Chaque demandeur sera informé par écrit.</w:t>
      </w:r>
    </w:p>
    <w:p w14:paraId="79DB4308" w14:textId="77777777" w:rsidR="00402954" w:rsidRDefault="00402954" w:rsidP="002F3AD6">
      <w:pPr>
        <w:autoSpaceDE w:val="0"/>
        <w:autoSpaceDN w:val="0"/>
        <w:adjustRightInd w:val="0"/>
        <w:spacing w:after="0"/>
        <w:rPr>
          <w:color w:val="000000"/>
          <w:lang w:eastAsia="fr-FR"/>
        </w:rPr>
      </w:pPr>
    </w:p>
    <w:p w14:paraId="05168DC3" w14:textId="508C2FE5" w:rsidR="004D43AA" w:rsidRDefault="00402954" w:rsidP="002F3AD6">
      <w:pPr>
        <w:autoSpaceDE w:val="0"/>
        <w:autoSpaceDN w:val="0"/>
        <w:adjustRightInd w:val="0"/>
        <w:spacing w:after="0"/>
        <w:rPr>
          <w:color w:val="000000"/>
          <w:lang w:eastAsia="fr-FR"/>
        </w:rPr>
      </w:pPr>
      <w:r>
        <w:rPr>
          <w:color w:val="000000"/>
          <w:lang w:eastAsia="fr-FR"/>
        </w:rPr>
        <w:t>S</w:t>
      </w:r>
      <w:r w:rsidR="004D43AA">
        <w:rPr>
          <w:color w:val="000000"/>
          <w:lang w:eastAsia="fr-FR"/>
        </w:rPr>
        <w:t>eu</w:t>
      </w:r>
      <w:r w:rsidR="007960E2">
        <w:rPr>
          <w:color w:val="000000"/>
          <w:lang w:eastAsia="fr-FR"/>
        </w:rPr>
        <w:t>l</w:t>
      </w:r>
      <w:r w:rsidR="004D43AA">
        <w:rPr>
          <w:color w:val="000000"/>
          <w:lang w:eastAsia="fr-FR"/>
        </w:rPr>
        <w:t xml:space="preserve"> le demandeur dont la note succincte a obtenu le meilleur</w:t>
      </w:r>
      <w:r w:rsidR="007960E2">
        <w:rPr>
          <w:color w:val="000000"/>
          <w:lang w:eastAsia="fr-FR"/>
        </w:rPr>
        <w:t xml:space="preserve"> </w:t>
      </w:r>
      <w:r w:rsidR="004D43AA">
        <w:rPr>
          <w:color w:val="000000"/>
          <w:lang w:eastAsia="fr-FR"/>
        </w:rPr>
        <w:t>score sera invité à soumettre une demande complète.</w:t>
      </w:r>
    </w:p>
    <w:p w14:paraId="5D06FEB5" w14:textId="77777777" w:rsidR="004D43AA" w:rsidRDefault="004D43AA" w:rsidP="002F3AD6">
      <w:pPr>
        <w:autoSpaceDE w:val="0"/>
        <w:autoSpaceDN w:val="0"/>
        <w:adjustRightInd w:val="0"/>
        <w:spacing w:after="0"/>
        <w:rPr>
          <w:color w:val="000000"/>
          <w:lang w:eastAsia="fr-FR"/>
        </w:rPr>
      </w:pPr>
    </w:p>
    <w:p w14:paraId="70664942" w14:textId="28880ADD" w:rsidR="004D43AA" w:rsidRPr="00CB6495" w:rsidRDefault="004D43AA" w:rsidP="002F3AD6">
      <w:pPr>
        <w:autoSpaceDE w:val="0"/>
        <w:autoSpaceDN w:val="0"/>
        <w:adjustRightInd w:val="0"/>
        <w:spacing w:after="0"/>
        <w:rPr>
          <w:color w:val="000000"/>
          <w:lang w:eastAsia="fr-FR"/>
        </w:rPr>
      </w:pPr>
      <w:r>
        <w:rPr>
          <w:color w:val="000000"/>
          <w:lang w:eastAsia="fr-FR"/>
        </w:rPr>
        <w:t>Les demandeurs dont les notes succinctes ont obtenu au moins 75 points seront inclus dans une liste de réserve, arrangé</w:t>
      </w:r>
      <w:r w:rsidR="007960E2">
        <w:rPr>
          <w:color w:val="000000"/>
          <w:lang w:eastAsia="fr-FR"/>
        </w:rPr>
        <w:t>e</w:t>
      </w:r>
      <w:r>
        <w:rPr>
          <w:color w:val="000000"/>
          <w:lang w:eastAsia="fr-FR"/>
        </w:rPr>
        <w:t xml:space="preserve"> par score, qui sera utilisée </w:t>
      </w:r>
      <w:r w:rsidR="007960E2">
        <w:rPr>
          <w:color w:val="000000"/>
          <w:lang w:eastAsia="fr-FR"/>
        </w:rPr>
        <w:t>si</w:t>
      </w:r>
      <w:r>
        <w:rPr>
          <w:color w:val="000000"/>
          <w:lang w:eastAsia="fr-FR"/>
        </w:rPr>
        <w:t xml:space="preserve"> l</w:t>
      </w:r>
      <w:r w:rsidR="007960E2">
        <w:rPr>
          <w:color w:val="000000"/>
          <w:lang w:eastAsia="fr-FR"/>
        </w:rPr>
        <w:t xml:space="preserve">e premier </w:t>
      </w:r>
      <w:r>
        <w:rPr>
          <w:color w:val="000000"/>
          <w:lang w:eastAsia="fr-FR"/>
        </w:rPr>
        <w:t xml:space="preserve">attributaire ne </w:t>
      </w:r>
      <w:r w:rsidR="007960E2">
        <w:rPr>
          <w:color w:val="000000"/>
          <w:lang w:eastAsia="fr-FR"/>
        </w:rPr>
        <w:t>peut</w:t>
      </w:r>
      <w:r>
        <w:rPr>
          <w:color w:val="000000"/>
          <w:lang w:eastAsia="fr-FR"/>
        </w:rPr>
        <w:t xml:space="preserve"> pas signer le contrat. </w:t>
      </w:r>
    </w:p>
    <w:p w14:paraId="0E6715DB" w14:textId="77777777" w:rsidR="003325B0" w:rsidRPr="00CB6495" w:rsidRDefault="003325B0" w:rsidP="002F3AD6">
      <w:pPr>
        <w:autoSpaceDE w:val="0"/>
        <w:autoSpaceDN w:val="0"/>
        <w:adjustRightInd w:val="0"/>
        <w:spacing w:after="0"/>
        <w:rPr>
          <w:b/>
          <w:bCs/>
          <w:color w:val="000000"/>
          <w:lang w:eastAsia="fr-FR"/>
        </w:rPr>
      </w:pPr>
    </w:p>
    <w:p w14:paraId="5F3D8A02" w14:textId="6B3CC19F" w:rsidR="00840093" w:rsidRPr="00CB6495" w:rsidRDefault="00360C69" w:rsidP="002F3AD6">
      <w:pPr>
        <w:autoSpaceDE w:val="0"/>
        <w:autoSpaceDN w:val="0"/>
        <w:adjustRightInd w:val="0"/>
        <w:spacing w:after="0"/>
        <w:rPr>
          <w:b/>
          <w:bCs/>
          <w:color w:val="000000"/>
          <w:lang w:eastAsia="fr-FR"/>
        </w:rPr>
      </w:pPr>
      <w:r w:rsidRPr="00CB6495">
        <w:rPr>
          <w:b/>
          <w:bCs/>
          <w:color w:val="000000"/>
          <w:lang w:eastAsia="fr-FR"/>
        </w:rPr>
        <w:t xml:space="preserve">Deuxième </w:t>
      </w:r>
      <w:r w:rsidR="00840093" w:rsidRPr="00CB6495">
        <w:rPr>
          <w:b/>
          <w:bCs/>
          <w:color w:val="000000"/>
          <w:lang w:eastAsia="fr-FR"/>
        </w:rPr>
        <w:t xml:space="preserve">phase – </w:t>
      </w:r>
      <w:r w:rsidR="00080F04" w:rsidRPr="00CB6495">
        <w:rPr>
          <w:b/>
          <w:bCs/>
          <w:color w:val="000000"/>
          <w:lang w:eastAsia="fr-FR"/>
        </w:rPr>
        <w:t>Évaluation</w:t>
      </w:r>
      <w:r w:rsidR="006B194F" w:rsidRPr="00CB6495">
        <w:rPr>
          <w:b/>
          <w:bCs/>
          <w:color w:val="000000"/>
          <w:lang w:eastAsia="fr-FR"/>
        </w:rPr>
        <w:t xml:space="preserve"> de la demande complète et </w:t>
      </w:r>
      <w:r w:rsidR="001C5A9A" w:rsidRPr="00CB6495">
        <w:rPr>
          <w:b/>
          <w:bCs/>
          <w:color w:val="000000"/>
          <w:lang w:eastAsia="fr-FR"/>
        </w:rPr>
        <w:t>attribution</w:t>
      </w:r>
    </w:p>
    <w:p w14:paraId="09C7765B" w14:textId="77777777" w:rsidR="005A6A04" w:rsidRPr="00CB6495" w:rsidRDefault="005A6A04" w:rsidP="002F3AD6">
      <w:pPr>
        <w:autoSpaceDE w:val="0"/>
        <w:autoSpaceDN w:val="0"/>
        <w:adjustRightInd w:val="0"/>
        <w:spacing w:after="0"/>
        <w:rPr>
          <w:color w:val="000000"/>
          <w:lang w:eastAsia="fr-FR"/>
        </w:rPr>
      </w:pPr>
    </w:p>
    <w:p w14:paraId="23613846" w14:textId="23CC639F" w:rsidR="004D43AA" w:rsidRDefault="00840093" w:rsidP="002F3AD6">
      <w:pPr>
        <w:autoSpaceDE w:val="0"/>
        <w:autoSpaceDN w:val="0"/>
        <w:adjustRightInd w:val="0"/>
        <w:spacing w:after="0"/>
        <w:rPr>
          <w:color w:val="000000"/>
          <w:lang w:eastAsia="fr-FR"/>
        </w:rPr>
      </w:pPr>
      <w:r w:rsidRPr="00CB6495">
        <w:rPr>
          <w:color w:val="000000"/>
          <w:lang w:eastAsia="fr-FR"/>
        </w:rPr>
        <w:t>Le demandeur provisoirement sélectionn</w:t>
      </w:r>
      <w:r w:rsidR="007960E2">
        <w:rPr>
          <w:color w:val="000000"/>
          <w:lang w:eastAsia="fr-FR"/>
        </w:rPr>
        <w:t>é</w:t>
      </w:r>
      <w:r w:rsidRPr="00CB6495">
        <w:rPr>
          <w:color w:val="000000"/>
          <w:lang w:eastAsia="fr-FR"/>
        </w:rPr>
        <w:t xml:space="preserve"> </w:t>
      </w:r>
      <w:r w:rsidR="004D43AA">
        <w:rPr>
          <w:color w:val="000000"/>
          <w:lang w:eastAsia="fr-FR"/>
        </w:rPr>
        <w:t>sera invité</w:t>
      </w:r>
      <w:r w:rsidRPr="00CB6495">
        <w:rPr>
          <w:color w:val="000000"/>
          <w:lang w:eastAsia="fr-FR"/>
        </w:rPr>
        <w:t xml:space="preserve"> à élaborer </w:t>
      </w:r>
      <w:r w:rsidR="00AB3359" w:rsidRPr="00CB6495">
        <w:rPr>
          <w:color w:val="000000"/>
          <w:lang w:eastAsia="fr-FR"/>
        </w:rPr>
        <w:t>une proposition complète</w:t>
      </w:r>
      <w:r w:rsidRPr="00CB6495">
        <w:rPr>
          <w:color w:val="000000"/>
          <w:lang w:eastAsia="fr-FR"/>
        </w:rPr>
        <w:t>,</w:t>
      </w:r>
      <w:r w:rsidR="00763390" w:rsidRPr="00CB6495">
        <w:rPr>
          <w:color w:val="000000"/>
          <w:lang w:eastAsia="fr-FR"/>
        </w:rPr>
        <w:t xml:space="preserve"> sur la base des annexes standards des contrats de subvention du PRAG (</w:t>
      </w:r>
      <w:r w:rsidR="00C15AA0" w:rsidRPr="00CB6495">
        <w:rPr>
          <w:color w:val="000000"/>
          <w:lang w:eastAsia="fr-FR"/>
        </w:rPr>
        <w:t>a</w:t>
      </w:r>
      <w:r w:rsidR="00763390" w:rsidRPr="00CB6495">
        <w:rPr>
          <w:color w:val="000000"/>
          <w:lang w:eastAsia="fr-FR"/>
        </w:rPr>
        <w:t xml:space="preserve">nnexe </w:t>
      </w:r>
      <w:r w:rsidR="00C15AA0" w:rsidRPr="00CB6495">
        <w:rPr>
          <w:color w:val="000000"/>
          <w:lang w:eastAsia="fr-FR"/>
        </w:rPr>
        <w:t>6</w:t>
      </w:r>
      <w:r w:rsidR="00763390" w:rsidRPr="00CB6495">
        <w:rPr>
          <w:color w:val="000000"/>
          <w:lang w:eastAsia="fr-FR"/>
        </w:rPr>
        <w:t xml:space="preserve"> de cette note),</w:t>
      </w:r>
      <w:r w:rsidRPr="00CB6495">
        <w:rPr>
          <w:color w:val="000000"/>
          <w:lang w:eastAsia="fr-FR"/>
        </w:rPr>
        <w:t xml:space="preserve"> </w:t>
      </w:r>
      <w:r w:rsidR="006B194F" w:rsidRPr="00CB6495">
        <w:rPr>
          <w:color w:val="000000"/>
          <w:lang w:eastAsia="fr-FR"/>
        </w:rPr>
        <w:t xml:space="preserve">L’évaluation suivra </w:t>
      </w:r>
      <w:r w:rsidR="00F62EBE" w:rsidRPr="00CB6495">
        <w:rPr>
          <w:color w:val="000000"/>
          <w:lang w:eastAsia="fr-FR"/>
        </w:rPr>
        <w:t xml:space="preserve">les critères de la grille d’évaluation pour la demande complète de l’annexe 2. </w:t>
      </w:r>
    </w:p>
    <w:p w14:paraId="12D36313" w14:textId="77777777" w:rsidR="001556E5" w:rsidRDefault="001556E5" w:rsidP="002F3AD6">
      <w:pPr>
        <w:autoSpaceDE w:val="0"/>
        <w:autoSpaceDN w:val="0"/>
        <w:adjustRightInd w:val="0"/>
        <w:spacing w:after="0"/>
        <w:rPr>
          <w:color w:val="000000"/>
          <w:lang w:eastAsia="fr-FR"/>
        </w:rPr>
      </w:pPr>
    </w:p>
    <w:p w14:paraId="528C919D" w14:textId="7057112F" w:rsidR="001556E5" w:rsidRDefault="001556E5" w:rsidP="002F3AD6">
      <w:pPr>
        <w:autoSpaceDE w:val="0"/>
        <w:autoSpaceDN w:val="0"/>
        <w:adjustRightInd w:val="0"/>
        <w:spacing w:after="0"/>
        <w:rPr>
          <w:color w:val="000000"/>
          <w:lang w:eastAsia="fr-FR"/>
        </w:rPr>
      </w:pPr>
      <w:r>
        <w:rPr>
          <w:lang w:eastAsia="fr-FR"/>
        </w:rPr>
        <w:t>La demande complète sera envoyée par courrier électronique avant la date indiqué</w:t>
      </w:r>
      <w:r w:rsidR="007960E2">
        <w:rPr>
          <w:lang w:eastAsia="fr-FR"/>
        </w:rPr>
        <w:t>e</w:t>
      </w:r>
      <w:r>
        <w:rPr>
          <w:lang w:eastAsia="fr-FR"/>
        </w:rPr>
        <w:t xml:space="preserve"> dans la notification d’attribution. </w:t>
      </w:r>
      <w:r w:rsidR="00203A6D">
        <w:rPr>
          <w:lang w:eastAsia="fr-FR"/>
        </w:rPr>
        <w:t>Entre la notification d’attribution et la date de soumission de la demande complète</w:t>
      </w:r>
      <w:r w:rsidR="00334072">
        <w:rPr>
          <w:lang w:eastAsia="fr-FR"/>
        </w:rPr>
        <w:t>,</w:t>
      </w:r>
      <w:r w:rsidR="00203A6D">
        <w:rPr>
          <w:lang w:eastAsia="fr-FR"/>
        </w:rPr>
        <w:t xml:space="preserve"> </w:t>
      </w:r>
      <w:r w:rsidR="007960E2">
        <w:rPr>
          <w:lang w:eastAsia="fr-FR"/>
        </w:rPr>
        <w:t>un délai</w:t>
      </w:r>
      <w:r w:rsidR="00203A6D">
        <w:rPr>
          <w:lang w:eastAsia="fr-FR"/>
        </w:rPr>
        <w:t xml:space="preserve"> </w:t>
      </w:r>
      <w:r w:rsidR="00B14955">
        <w:rPr>
          <w:lang w:eastAsia="fr-FR"/>
        </w:rPr>
        <w:t xml:space="preserve">de </w:t>
      </w:r>
      <w:r w:rsidR="00203A6D">
        <w:rPr>
          <w:lang w:eastAsia="fr-FR"/>
        </w:rPr>
        <w:t>45 jours</w:t>
      </w:r>
      <w:r w:rsidR="007960E2">
        <w:rPr>
          <w:lang w:eastAsia="fr-FR"/>
        </w:rPr>
        <w:t xml:space="preserve"> est prévu</w:t>
      </w:r>
      <w:r w:rsidR="00203A6D">
        <w:rPr>
          <w:lang w:eastAsia="fr-FR"/>
        </w:rPr>
        <w:t>.</w:t>
      </w:r>
    </w:p>
    <w:p w14:paraId="3C099FB1" w14:textId="77777777" w:rsidR="004D43AA" w:rsidRDefault="004D43AA" w:rsidP="002F3AD6">
      <w:pPr>
        <w:autoSpaceDE w:val="0"/>
        <w:autoSpaceDN w:val="0"/>
        <w:adjustRightInd w:val="0"/>
        <w:spacing w:after="0"/>
        <w:rPr>
          <w:color w:val="000000"/>
          <w:lang w:eastAsia="fr-FR"/>
        </w:rPr>
      </w:pPr>
    </w:p>
    <w:p w14:paraId="59948B0B" w14:textId="38BDA495" w:rsidR="001556E5" w:rsidRDefault="001556E5" w:rsidP="002F3AD6">
      <w:pPr>
        <w:autoSpaceDE w:val="0"/>
        <w:autoSpaceDN w:val="0"/>
        <w:adjustRightInd w:val="0"/>
        <w:spacing w:after="0"/>
        <w:rPr>
          <w:color w:val="000000"/>
          <w:lang w:eastAsia="fr-FR"/>
        </w:rPr>
      </w:pPr>
      <w:r>
        <w:rPr>
          <w:color w:val="000000"/>
          <w:lang w:eastAsia="fr-FR"/>
        </w:rPr>
        <w:t xml:space="preserve">Sur la base de </w:t>
      </w:r>
      <w:r w:rsidR="00B02273">
        <w:rPr>
          <w:color w:val="000000"/>
          <w:lang w:eastAsia="fr-FR"/>
        </w:rPr>
        <w:t>la</w:t>
      </w:r>
      <w:r>
        <w:rPr>
          <w:color w:val="000000"/>
          <w:lang w:eastAsia="fr-FR"/>
        </w:rPr>
        <w:t xml:space="preserve"> grille</w:t>
      </w:r>
      <w:r w:rsidR="00B02273">
        <w:rPr>
          <w:color w:val="000000"/>
          <w:lang w:eastAsia="fr-FR"/>
        </w:rPr>
        <w:t xml:space="preserve"> de l’annexe 2</w:t>
      </w:r>
      <w:r>
        <w:rPr>
          <w:color w:val="000000"/>
          <w:lang w:eastAsia="fr-FR"/>
        </w:rPr>
        <w:t xml:space="preserve">, la Délégation de l’UE en RCA pourra ouvrir une négociation avec le demandeur pour améliorer la proposition de façon </w:t>
      </w:r>
      <w:r w:rsidR="007960E2">
        <w:rPr>
          <w:color w:val="000000"/>
          <w:lang w:eastAsia="fr-FR"/>
        </w:rPr>
        <w:t xml:space="preserve">à ce </w:t>
      </w:r>
      <w:r>
        <w:rPr>
          <w:color w:val="000000"/>
          <w:lang w:eastAsia="fr-FR"/>
        </w:rPr>
        <w:t xml:space="preserve">qu’elle soit </w:t>
      </w:r>
      <w:r w:rsidR="00402954">
        <w:rPr>
          <w:color w:val="000000"/>
          <w:lang w:eastAsia="fr-FR"/>
        </w:rPr>
        <w:t xml:space="preserve">la </w:t>
      </w:r>
      <w:r>
        <w:rPr>
          <w:color w:val="000000"/>
          <w:lang w:eastAsia="fr-FR"/>
        </w:rPr>
        <w:t>plus pertinente</w:t>
      </w:r>
      <w:r w:rsidR="00402954">
        <w:rPr>
          <w:color w:val="000000"/>
          <w:lang w:eastAsia="fr-FR"/>
        </w:rPr>
        <w:t xml:space="preserve"> possible</w:t>
      </w:r>
      <w:r>
        <w:rPr>
          <w:color w:val="000000"/>
          <w:lang w:eastAsia="fr-FR"/>
        </w:rPr>
        <w:t xml:space="preserve"> avec les objecti</w:t>
      </w:r>
      <w:r w:rsidR="00334072">
        <w:rPr>
          <w:color w:val="000000"/>
          <w:lang w:eastAsia="fr-FR"/>
        </w:rPr>
        <w:t>f</w:t>
      </w:r>
      <w:r>
        <w:rPr>
          <w:color w:val="000000"/>
          <w:lang w:eastAsia="fr-FR"/>
        </w:rPr>
        <w:t>s poursuivis par le projet.</w:t>
      </w:r>
    </w:p>
    <w:p w14:paraId="493CAAF3" w14:textId="77777777" w:rsidR="00203A6D" w:rsidRDefault="00203A6D" w:rsidP="002F3AD6">
      <w:pPr>
        <w:autoSpaceDE w:val="0"/>
        <w:autoSpaceDN w:val="0"/>
        <w:adjustRightInd w:val="0"/>
        <w:spacing w:after="0"/>
        <w:rPr>
          <w:color w:val="000000"/>
          <w:lang w:eastAsia="fr-FR"/>
        </w:rPr>
      </w:pPr>
    </w:p>
    <w:p w14:paraId="3776F8DB" w14:textId="28A1566E" w:rsidR="00203A6D" w:rsidRDefault="00203A6D" w:rsidP="002F3AD6">
      <w:pPr>
        <w:autoSpaceDE w:val="0"/>
        <w:autoSpaceDN w:val="0"/>
        <w:adjustRightInd w:val="0"/>
        <w:spacing w:after="0"/>
        <w:rPr>
          <w:color w:val="000000"/>
          <w:lang w:eastAsia="fr-FR"/>
        </w:rPr>
      </w:pPr>
      <w:r>
        <w:rPr>
          <w:color w:val="000000"/>
          <w:lang w:eastAsia="fr-FR"/>
        </w:rPr>
        <w:t>Si l’attributaire ne p</w:t>
      </w:r>
      <w:r w:rsidR="00334072">
        <w:rPr>
          <w:color w:val="000000"/>
          <w:lang w:eastAsia="fr-FR"/>
        </w:rPr>
        <w:t>eu</w:t>
      </w:r>
      <w:r>
        <w:rPr>
          <w:color w:val="000000"/>
          <w:lang w:eastAsia="fr-FR"/>
        </w:rPr>
        <w:t>t pas signer le contrat, une invitation à soumettre une demande complète sera envoyé</w:t>
      </w:r>
      <w:r w:rsidR="00334072">
        <w:rPr>
          <w:color w:val="000000"/>
          <w:lang w:eastAsia="fr-FR"/>
        </w:rPr>
        <w:t>e</w:t>
      </w:r>
      <w:r>
        <w:rPr>
          <w:color w:val="000000"/>
          <w:lang w:eastAsia="fr-FR"/>
        </w:rPr>
        <w:t xml:space="preserve"> au demandeur dont la note succincte a obtenu le deuxième score. </w:t>
      </w:r>
      <w:r w:rsidR="0079569A">
        <w:rPr>
          <w:color w:val="000000"/>
          <w:lang w:eastAsia="fr-FR"/>
        </w:rPr>
        <w:t>La même démarche aura lieu dans le cas o</w:t>
      </w:r>
      <w:r w:rsidR="00B14955">
        <w:rPr>
          <w:color w:val="000000"/>
          <w:lang w:eastAsia="fr-FR"/>
        </w:rPr>
        <w:t>ù</w:t>
      </w:r>
      <w:r w:rsidR="0079569A">
        <w:rPr>
          <w:color w:val="000000"/>
          <w:lang w:eastAsia="fr-FR"/>
        </w:rPr>
        <w:t xml:space="preserve"> le deuxième </w:t>
      </w:r>
      <w:r w:rsidR="007960E2">
        <w:rPr>
          <w:color w:val="000000"/>
          <w:lang w:eastAsia="fr-FR"/>
        </w:rPr>
        <w:t xml:space="preserve">attributaire </w:t>
      </w:r>
      <w:r w:rsidR="0079569A">
        <w:rPr>
          <w:color w:val="000000"/>
          <w:lang w:eastAsia="fr-FR"/>
        </w:rPr>
        <w:t>ne p</w:t>
      </w:r>
      <w:r w:rsidR="007960E2">
        <w:rPr>
          <w:color w:val="000000"/>
          <w:lang w:eastAsia="fr-FR"/>
        </w:rPr>
        <w:t>eu</w:t>
      </w:r>
      <w:r w:rsidR="0079569A">
        <w:rPr>
          <w:color w:val="000000"/>
          <w:lang w:eastAsia="fr-FR"/>
        </w:rPr>
        <w:t xml:space="preserve">t pas signer le contrat. </w:t>
      </w:r>
    </w:p>
    <w:p w14:paraId="5550AB95" w14:textId="77777777" w:rsidR="001556E5" w:rsidRDefault="001556E5" w:rsidP="002F3AD6">
      <w:pPr>
        <w:autoSpaceDE w:val="0"/>
        <w:autoSpaceDN w:val="0"/>
        <w:adjustRightInd w:val="0"/>
        <w:spacing w:after="0"/>
        <w:rPr>
          <w:color w:val="000000"/>
          <w:lang w:eastAsia="fr-FR"/>
        </w:rPr>
      </w:pPr>
    </w:p>
    <w:p w14:paraId="79362B66" w14:textId="77777777" w:rsidR="006B194F" w:rsidRPr="00CB6495" w:rsidRDefault="006B194F" w:rsidP="002F3AD6">
      <w:pPr>
        <w:autoSpaceDE w:val="0"/>
        <w:autoSpaceDN w:val="0"/>
        <w:adjustRightInd w:val="0"/>
        <w:spacing w:after="0"/>
        <w:rPr>
          <w:b/>
          <w:color w:val="000000"/>
          <w:lang w:eastAsia="fr-FR"/>
        </w:rPr>
      </w:pPr>
    </w:p>
    <w:p w14:paraId="71167901" w14:textId="7E4818C5" w:rsidR="00402954" w:rsidRDefault="00360C69" w:rsidP="002F3AD6">
      <w:pPr>
        <w:autoSpaceDE w:val="0"/>
        <w:autoSpaceDN w:val="0"/>
        <w:adjustRightInd w:val="0"/>
        <w:spacing w:after="0"/>
        <w:rPr>
          <w:b/>
          <w:color w:val="000000"/>
          <w:lang w:eastAsia="fr-FR"/>
        </w:rPr>
      </w:pPr>
      <w:r w:rsidRPr="00CB6495">
        <w:rPr>
          <w:b/>
          <w:color w:val="000000"/>
          <w:lang w:eastAsia="fr-FR"/>
        </w:rPr>
        <w:lastRenderedPageBreak/>
        <w:t>1</w:t>
      </w:r>
      <w:r w:rsidR="005F1939" w:rsidRPr="00CB6495">
        <w:rPr>
          <w:b/>
          <w:color w:val="000000"/>
          <w:lang w:eastAsia="fr-FR"/>
        </w:rPr>
        <w:t>4</w:t>
      </w:r>
      <w:r w:rsidRPr="00CB6495">
        <w:rPr>
          <w:b/>
          <w:color w:val="000000"/>
          <w:lang w:eastAsia="fr-FR"/>
        </w:rPr>
        <w:t xml:space="preserve">. </w:t>
      </w:r>
      <w:r w:rsidR="00840093" w:rsidRPr="00CB6495">
        <w:rPr>
          <w:b/>
          <w:color w:val="000000"/>
          <w:lang w:eastAsia="fr-FR"/>
        </w:rPr>
        <w:t>Calendrier indicatif</w:t>
      </w:r>
      <w:r w:rsidR="007960E2">
        <w:rPr>
          <w:b/>
          <w:color w:val="000000"/>
          <w:lang w:eastAsia="fr-FR"/>
        </w:rPr>
        <w:t xml:space="preserve"> </w:t>
      </w:r>
    </w:p>
    <w:p w14:paraId="210DEFE8" w14:textId="77777777" w:rsidR="00402954" w:rsidRDefault="00402954" w:rsidP="002F3AD6">
      <w:pPr>
        <w:autoSpaceDE w:val="0"/>
        <w:autoSpaceDN w:val="0"/>
        <w:adjustRightInd w:val="0"/>
        <w:spacing w:after="0"/>
        <w:rPr>
          <w:color w:val="000000"/>
          <w:lang w:eastAsia="fr-FR"/>
        </w:rPr>
      </w:pPr>
    </w:p>
    <w:p w14:paraId="6F2C608A" w14:textId="14DCE9EC" w:rsidR="00840093" w:rsidRPr="0064401C" w:rsidRDefault="0079569A" w:rsidP="002F3AD6">
      <w:pPr>
        <w:autoSpaceDE w:val="0"/>
        <w:autoSpaceDN w:val="0"/>
        <w:adjustRightInd w:val="0"/>
        <w:spacing w:after="0"/>
        <w:rPr>
          <w:color w:val="000000"/>
          <w:lang w:eastAsia="fr-FR"/>
        </w:rPr>
      </w:pPr>
      <w:r w:rsidRPr="0064401C">
        <w:rPr>
          <w:color w:val="000000"/>
          <w:lang w:eastAsia="fr-FR"/>
        </w:rPr>
        <w:t>45 jours</w:t>
      </w:r>
      <w:r w:rsidR="007960E2" w:rsidRPr="0064401C">
        <w:rPr>
          <w:color w:val="000000"/>
          <w:lang w:eastAsia="fr-FR"/>
        </w:rPr>
        <w:t xml:space="preserve"> sont proposés</w:t>
      </w:r>
      <w:r w:rsidRPr="0064401C">
        <w:rPr>
          <w:color w:val="000000"/>
          <w:lang w:eastAsia="fr-FR"/>
        </w:rPr>
        <w:t xml:space="preserve"> pour</w:t>
      </w:r>
      <w:r w:rsidR="00A8230D">
        <w:rPr>
          <w:color w:val="000000"/>
          <w:lang w:eastAsia="fr-FR"/>
        </w:rPr>
        <w:t xml:space="preserve"> la</w:t>
      </w:r>
      <w:r w:rsidRPr="0064401C">
        <w:rPr>
          <w:color w:val="000000"/>
          <w:lang w:eastAsia="fr-FR"/>
        </w:rPr>
        <w:t xml:space="preserve"> soumission de notes succinctes et 45 </w:t>
      </w:r>
      <w:r w:rsidR="00402954">
        <w:rPr>
          <w:color w:val="000000"/>
          <w:lang w:eastAsia="fr-FR"/>
        </w:rPr>
        <w:t xml:space="preserve">jours </w:t>
      </w:r>
      <w:r w:rsidRPr="0064401C">
        <w:rPr>
          <w:color w:val="000000"/>
          <w:lang w:eastAsia="fr-FR"/>
        </w:rPr>
        <w:t>pour la demande complète</w:t>
      </w:r>
      <w:r w:rsidR="007960E2" w:rsidRPr="0064401C">
        <w:rPr>
          <w:color w:val="000000"/>
          <w:lang w:eastAsia="fr-FR"/>
        </w:rPr>
        <w:t>. E</w:t>
      </w:r>
      <w:r w:rsidRPr="0064401C">
        <w:rPr>
          <w:color w:val="000000"/>
          <w:lang w:eastAsia="fr-FR"/>
        </w:rPr>
        <w:t>n considérant la situation actuelle</w:t>
      </w:r>
      <w:r w:rsidR="00B14955">
        <w:rPr>
          <w:color w:val="000000"/>
          <w:lang w:eastAsia="fr-FR"/>
        </w:rPr>
        <w:t xml:space="preserve"> impactée par la crise du COVID-19</w:t>
      </w:r>
      <w:r w:rsidRPr="0064401C">
        <w:rPr>
          <w:color w:val="000000"/>
          <w:lang w:eastAsia="fr-FR"/>
        </w:rPr>
        <w:t xml:space="preserve">, </w:t>
      </w:r>
      <w:r w:rsidR="007960E2" w:rsidRPr="0064401C">
        <w:rPr>
          <w:color w:val="000000"/>
          <w:lang w:eastAsia="fr-FR"/>
        </w:rPr>
        <w:t>la</w:t>
      </w:r>
      <w:r w:rsidRPr="0064401C">
        <w:rPr>
          <w:color w:val="000000"/>
          <w:lang w:eastAsia="fr-FR"/>
        </w:rPr>
        <w:t xml:space="preserve"> réunion d’information</w:t>
      </w:r>
      <w:r w:rsidR="007960E2" w:rsidRPr="0064401C">
        <w:rPr>
          <w:color w:val="000000"/>
          <w:lang w:eastAsia="fr-FR"/>
        </w:rPr>
        <w:t xml:space="preserve"> n’est pas envisagée.</w:t>
      </w:r>
      <w:r w:rsidRPr="0064401C">
        <w:rPr>
          <w:color w:val="000000"/>
          <w:lang w:eastAsia="fr-FR"/>
        </w:rPr>
        <w:t xml:space="preserve"> </w:t>
      </w:r>
    </w:p>
    <w:p w14:paraId="1480856C" w14:textId="77777777" w:rsidR="00840093" w:rsidRPr="00CB6495" w:rsidRDefault="00840093" w:rsidP="002F3AD6">
      <w:pPr>
        <w:autoSpaceDE w:val="0"/>
        <w:autoSpaceDN w:val="0"/>
        <w:adjustRightInd w:val="0"/>
        <w:spacing w:after="0"/>
        <w:rPr>
          <w:color w:val="0000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3221"/>
        <w:gridCol w:w="1858"/>
      </w:tblGrid>
      <w:tr w:rsidR="00840093" w:rsidRPr="00CB6495" w14:paraId="07890014" w14:textId="77777777" w:rsidTr="002B6BA9">
        <w:tc>
          <w:tcPr>
            <w:tcW w:w="4361" w:type="dxa"/>
            <w:shd w:val="clear" w:color="auto" w:fill="auto"/>
          </w:tcPr>
          <w:p w14:paraId="218B3A4E" w14:textId="77777777" w:rsidR="00840093" w:rsidRPr="00CB6495" w:rsidRDefault="00840093" w:rsidP="00063246">
            <w:pPr>
              <w:autoSpaceDE w:val="0"/>
              <w:autoSpaceDN w:val="0"/>
              <w:adjustRightInd w:val="0"/>
              <w:spacing w:after="0"/>
              <w:rPr>
                <w:color w:val="000000"/>
                <w:lang w:eastAsia="fr-FR"/>
              </w:rPr>
            </w:pPr>
          </w:p>
        </w:tc>
        <w:tc>
          <w:tcPr>
            <w:tcW w:w="3260" w:type="dxa"/>
            <w:shd w:val="clear" w:color="auto" w:fill="auto"/>
          </w:tcPr>
          <w:p w14:paraId="75489368" w14:textId="77777777" w:rsidR="00840093" w:rsidRPr="00CB6495" w:rsidRDefault="00840093" w:rsidP="00063246">
            <w:pPr>
              <w:autoSpaceDE w:val="0"/>
              <w:autoSpaceDN w:val="0"/>
              <w:adjustRightInd w:val="0"/>
              <w:spacing w:after="0"/>
              <w:rPr>
                <w:color w:val="000000"/>
                <w:lang w:eastAsia="fr-FR"/>
              </w:rPr>
            </w:pPr>
            <w:r w:rsidRPr="00CB6495">
              <w:rPr>
                <w:color w:val="000000"/>
                <w:lang w:eastAsia="fr-FR"/>
              </w:rPr>
              <w:t xml:space="preserve">Date </w:t>
            </w:r>
          </w:p>
        </w:tc>
        <w:tc>
          <w:tcPr>
            <w:tcW w:w="1873" w:type="dxa"/>
            <w:shd w:val="clear" w:color="auto" w:fill="auto"/>
          </w:tcPr>
          <w:p w14:paraId="7C4BEB26" w14:textId="77777777" w:rsidR="00840093" w:rsidRPr="00CB6495" w:rsidRDefault="00840093" w:rsidP="00063246">
            <w:pPr>
              <w:autoSpaceDE w:val="0"/>
              <w:autoSpaceDN w:val="0"/>
              <w:adjustRightInd w:val="0"/>
              <w:spacing w:after="0"/>
              <w:rPr>
                <w:color w:val="000000"/>
                <w:lang w:eastAsia="fr-FR"/>
              </w:rPr>
            </w:pPr>
            <w:r w:rsidRPr="00CB6495">
              <w:rPr>
                <w:color w:val="000000"/>
                <w:lang w:eastAsia="fr-FR"/>
              </w:rPr>
              <w:t xml:space="preserve">Heure de Bangui </w:t>
            </w:r>
          </w:p>
        </w:tc>
      </w:tr>
      <w:tr w:rsidR="00840093" w:rsidRPr="00CB6495" w14:paraId="2D73F25F" w14:textId="77777777" w:rsidTr="002B6BA9">
        <w:tc>
          <w:tcPr>
            <w:tcW w:w="4361" w:type="dxa"/>
            <w:shd w:val="clear" w:color="auto" w:fill="auto"/>
          </w:tcPr>
          <w:p w14:paraId="2DD4A8B4" w14:textId="11684C4A" w:rsidR="00840093" w:rsidRPr="00CB6495" w:rsidRDefault="00840093" w:rsidP="002B6BA9">
            <w:pPr>
              <w:autoSpaceDE w:val="0"/>
              <w:autoSpaceDN w:val="0"/>
              <w:adjustRightInd w:val="0"/>
              <w:spacing w:after="0"/>
              <w:jc w:val="left"/>
              <w:rPr>
                <w:color w:val="000000"/>
                <w:lang w:eastAsia="fr-FR"/>
              </w:rPr>
            </w:pPr>
            <w:r w:rsidRPr="00CB6495">
              <w:rPr>
                <w:color w:val="000000"/>
                <w:lang w:eastAsia="fr-FR"/>
              </w:rPr>
              <w:t>Réunion d’information</w:t>
            </w:r>
            <w:r w:rsidR="00402954">
              <w:rPr>
                <w:color w:val="000000"/>
                <w:lang w:eastAsia="fr-FR"/>
              </w:rPr>
              <w:t xml:space="preserve"> (tbc)</w:t>
            </w:r>
          </w:p>
        </w:tc>
        <w:tc>
          <w:tcPr>
            <w:tcW w:w="3260" w:type="dxa"/>
            <w:shd w:val="clear" w:color="auto" w:fill="auto"/>
          </w:tcPr>
          <w:p w14:paraId="32B1BCB5" w14:textId="5EE4A9D2" w:rsidR="00840093" w:rsidRPr="00CB6495" w:rsidRDefault="0051486D" w:rsidP="0051486D">
            <w:pPr>
              <w:autoSpaceDE w:val="0"/>
              <w:autoSpaceDN w:val="0"/>
              <w:adjustRightInd w:val="0"/>
              <w:spacing w:after="0"/>
              <w:jc w:val="center"/>
              <w:rPr>
                <w:color w:val="000000"/>
                <w:lang w:eastAsia="fr-FR"/>
              </w:rPr>
            </w:pPr>
            <w:r>
              <w:rPr>
                <w:color w:val="000000"/>
                <w:lang w:eastAsia="fr-FR"/>
              </w:rPr>
              <w:t>N/A</w:t>
            </w:r>
          </w:p>
        </w:tc>
        <w:tc>
          <w:tcPr>
            <w:tcW w:w="1873" w:type="dxa"/>
            <w:shd w:val="clear" w:color="auto" w:fill="auto"/>
          </w:tcPr>
          <w:p w14:paraId="67A12E23" w14:textId="365BD6FD" w:rsidR="00840093" w:rsidRPr="00CB6495" w:rsidRDefault="00840093" w:rsidP="00063246">
            <w:pPr>
              <w:autoSpaceDE w:val="0"/>
              <w:autoSpaceDN w:val="0"/>
              <w:adjustRightInd w:val="0"/>
              <w:spacing w:after="0"/>
              <w:rPr>
                <w:color w:val="000000"/>
                <w:lang w:eastAsia="fr-FR"/>
              </w:rPr>
            </w:pPr>
          </w:p>
        </w:tc>
      </w:tr>
      <w:tr w:rsidR="00840093" w:rsidRPr="00CB6495" w14:paraId="7C7A5DF1" w14:textId="77777777" w:rsidTr="002B6BA9">
        <w:tc>
          <w:tcPr>
            <w:tcW w:w="4361" w:type="dxa"/>
            <w:shd w:val="clear" w:color="auto" w:fill="auto"/>
          </w:tcPr>
          <w:p w14:paraId="5425F170" w14:textId="77777777" w:rsidR="00840093" w:rsidRPr="00CB6495" w:rsidRDefault="00840093" w:rsidP="002B6BA9">
            <w:pPr>
              <w:autoSpaceDE w:val="0"/>
              <w:autoSpaceDN w:val="0"/>
              <w:adjustRightInd w:val="0"/>
              <w:spacing w:after="0"/>
              <w:jc w:val="left"/>
              <w:rPr>
                <w:color w:val="000000"/>
                <w:lang w:eastAsia="fr-FR"/>
              </w:rPr>
            </w:pPr>
            <w:r w:rsidRPr="00CB6495">
              <w:rPr>
                <w:color w:val="000000"/>
                <w:lang w:eastAsia="fr-FR"/>
              </w:rPr>
              <w:t xml:space="preserve">Date limite pour les demandes d’éclaircissement à l’administration contractante  </w:t>
            </w:r>
          </w:p>
        </w:tc>
        <w:tc>
          <w:tcPr>
            <w:tcW w:w="3260" w:type="dxa"/>
            <w:shd w:val="clear" w:color="auto" w:fill="auto"/>
          </w:tcPr>
          <w:p w14:paraId="4256F54C" w14:textId="3033CFF5" w:rsidR="00840093" w:rsidRPr="00CB6495" w:rsidRDefault="005B400D" w:rsidP="00063246">
            <w:pPr>
              <w:autoSpaceDE w:val="0"/>
              <w:autoSpaceDN w:val="0"/>
              <w:adjustRightInd w:val="0"/>
              <w:spacing w:after="0"/>
              <w:rPr>
                <w:color w:val="000000"/>
                <w:lang w:eastAsia="fr-FR"/>
              </w:rPr>
            </w:pPr>
            <w:r>
              <w:rPr>
                <w:color w:val="000000"/>
                <w:lang w:eastAsia="fr-FR"/>
              </w:rPr>
              <w:t>30</w:t>
            </w:r>
            <w:r w:rsidR="0051486D">
              <w:rPr>
                <w:color w:val="000000"/>
                <w:lang w:eastAsia="fr-FR"/>
              </w:rPr>
              <w:t xml:space="preserve"> </w:t>
            </w:r>
            <w:r w:rsidR="00D276D8">
              <w:rPr>
                <w:color w:val="000000"/>
                <w:lang w:eastAsia="fr-FR"/>
              </w:rPr>
              <w:t>ju</w:t>
            </w:r>
            <w:r w:rsidR="00730C49">
              <w:rPr>
                <w:color w:val="000000"/>
                <w:lang w:eastAsia="fr-FR"/>
              </w:rPr>
              <w:t>in</w:t>
            </w:r>
            <w:r w:rsidR="0051486D">
              <w:rPr>
                <w:color w:val="000000"/>
                <w:lang w:eastAsia="fr-FR"/>
              </w:rPr>
              <w:t xml:space="preserve"> 2020</w:t>
            </w:r>
          </w:p>
          <w:p w14:paraId="1D0D3503" w14:textId="00C4F66B" w:rsidR="00840093" w:rsidRPr="00CB6495" w:rsidRDefault="00840093" w:rsidP="00063246">
            <w:pPr>
              <w:autoSpaceDE w:val="0"/>
              <w:autoSpaceDN w:val="0"/>
              <w:adjustRightInd w:val="0"/>
              <w:spacing w:after="0"/>
              <w:rPr>
                <w:color w:val="000000"/>
                <w:lang w:eastAsia="fr-FR"/>
              </w:rPr>
            </w:pPr>
          </w:p>
        </w:tc>
        <w:tc>
          <w:tcPr>
            <w:tcW w:w="1873" w:type="dxa"/>
            <w:shd w:val="clear" w:color="auto" w:fill="auto"/>
          </w:tcPr>
          <w:p w14:paraId="1EB763BF" w14:textId="2D8F15CF" w:rsidR="00840093" w:rsidRPr="00CB6495" w:rsidRDefault="00222A71" w:rsidP="00063246">
            <w:pPr>
              <w:autoSpaceDE w:val="0"/>
              <w:autoSpaceDN w:val="0"/>
              <w:adjustRightInd w:val="0"/>
              <w:spacing w:after="0"/>
              <w:rPr>
                <w:color w:val="000000"/>
                <w:lang w:eastAsia="fr-FR"/>
              </w:rPr>
            </w:pPr>
            <w:r>
              <w:rPr>
                <w:color w:val="000000"/>
                <w:lang w:eastAsia="fr-FR"/>
              </w:rPr>
              <w:t>fin de la journée</w:t>
            </w:r>
          </w:p>
        </w:tc>
      </w:tr>
      <w:tr w:rsidR="00840093" w:rsidRPr="00CB6495" w14:paraId="79F3B7F9" w14:textId="77777777" w:rsidTr="002B6BA9">
        <w:tc>
          <w:tcPr>
            <w:tcW w:w="4361" w:type="dxa"/>
            <w:shd w:val="clear" w:color="auto" w:fill="auto"/>
          </w:tcPr>
          <w:p w14:paraId="7D72D24B" w14:textId="77777777" w:rsidR="00840093" w:rsidRPr="00CB6495" w:rsidRDefault="00840093" w:rsidP="002B6BA9">
            <w:pPr>
              <w:autoSpaceDE w:val="0"/>
              <w:autoSpaceDN w:val="0"/>
              <w:adjustRightInd w:val="0"/>
              <w:spacing w:after="0"/>
              <w:jc w:val="left"/>
              <w:rPr>
                <w:color w:val="000000"/>
                <w:lang w:eastAsia="fr-FR"/>
              </w:rPr>
            </w:pPr>
            <w:r w:rsidRPr="00CB6495">
              <w:rPr>
                <w:color w:val="000000"/>
                <w:lang w:eastAsia="fr-FR"/>
              </w:rPr>
              <w:t xml:space="preserve">Dernière date à laquelle des éclaircissements sont donnés par l’administration contractante  </w:t>
            </w:r>
          </w:p>
        </w:tc>
        <w:tc>
          <w:tcPr>
            <w:tcW w:w="3260" w:type="dxa"/>
            <w:shd w:val="clear" w:color="auto" w:fill="auto"/>
          </w:tcPr>
          <w:p w14:paraId="38FA8F3E" w14:textId="31910301" w:rsidR="00840093" w:rsidRPr="00CB6495" w:rsidRDefault="005B400D" w:rsidP="00063246">
            <w:pPr>
              <w:autoSpaceDE w:val="0"/>
              <w:autoSpaceDN w:val="0"/>
              <w:adjustRightInd w:val="0"/>
              <w:spacing w:after="0"/>
              <w:rPr>
                <w:color w:val="000000"/>
                <w:lang w:eastAsia="fr-FR"/>
              </w:rPr>
            </w:pPr>
            <w:r>
              <w:rPr>
                <w:color w:val="000000"/>
                <w:lang w:eastAsia="fr-FR"/>
              </w:rPr>
              <w:t>13</w:t>
            </w:r>
            <w:r w:rsidR="00A071EC">
              <w:rPr>
                <w:color w:val="000000"/>
                <w:lang w:eastAsia="fr-FR"/>
              </w:rPr>
              <w:t xml:space="preserve"> juillet </w:t>
            </w:r>
            <w:r w:rsidR="00840093" w:rsidRPr="00CB6495">
              <w:rPr>
                <w:color w:val="000000"/>
                <w:lang w:eastAsia="fr-FR"/>
              </w:rPr>
              <w:t xml:space="preserve"> 2020</w:t>
            </w:r>
          </w:p>
          <w:p w14:paraId="7F560B12" w14:textId="775C6E09" w:rsidR="00840093" w:rsidRPr="00CB6495" w:rsidRDefault="00840093" w:rsidP="00063246">
            <w:pPr>
              <w:autoSpaceDE w:val="0"/>
              <w:autoSpaceDN w:val="0"/>
              <w:adjustRightInd w:val="0"/>
              <w:spacing w:after="0"/>
              <w:rPr>
                <w:color w:val="000000"/>
                <w:lang w:eastAsia="fr-FR"/>
              </w:rPr>
            </w:pPr>
          </w:p>
        </w:tc>
        <w:tc>
          <w:tcPr>
            <w:tcW w:w="1873" w:type="dxa"/>
            <w:shd w:val="clear" w:color="auto" w:fill="auto"/>
          </w:tcPr>
          <w:p w14:paraId="22F3B1AB" w14:textId="0B02EA15" w:rsidR="00840093" w:rsidRPr="00CB6495" w:rsidRDefault="00222A71" w:rsidP="00063246">
            <w:pPr>
              <w:autoSpaceDE w:val="0"/>
              <w:autoSpaceDN w:val="0"/>
              <w:adjustRightInd w:val="0"/>
              <w:spacing w:after="0"/>
              <w:rPr>
                <w:color w:val="000000"/>
                <w:lang w:eastAsia="fr-FR"/>
              </w:rPr>
            </w:pPr>
            <w:r>
              <w:rPr>
                <w:color w:val="000000"/>
                <w:lang w:eastAsia="fr-FR"/>
              </w:rPr>
              <w:t>fin de la journée</w:t>
            </w:r>
          </w:p>
        </w:tc>
      </w:tr>
      <w:tr w:rsidR="00840093" w:rsidRPr="00CB6495" w14:paraId="721029DD" w14:textId="77777777" w:rsidTr="002B6BA9">
        <w:tc>
          <w:tcPr>
            <w:tcW w:w="4361" w:type="dxa"/>
            <w:shd w:val="clear" w:color="auto" w:fill="auto"/>
          </w:tcPr>
          <w:p w14:paraId="15E5B6E8" w14:textId="77777777" w:rsidR="00840093" w:rsidRPr="00CB6495" w:rsidRDefault="00840093" w:rsidP="002B6BA9">
            <w:pPr>
              <w:autoSpaceDE w:val="0"/>
              <w:autoSpaceDN w:val="0"/>
              <w:adjustRightInd w:val="0"/>
              <w:spacing w:after="0"/>
              <w:jc w:val="left"/>
              <w:rPr>
                <w:color w:val="000000"/>
                <w:lang w:eastAsia="fr-FR"/>
              </w:rPr>
            </w:pPr>
            <w:r w:rsidRPr="00CB6495">
              <w:rPr>
                <w:color w:val="000000"/>
                <w:lang w:eastAsia="fr-FR"/>
              </w:rPr>
              <w:t>Date limite de soumission des notes succinctes de présentation</w:t>
            </w:r>
          </w:p>
        </w:tc>
        <w:tc>
          <w:tcPr>
            <w:tcW w:w="3260" w:type="dxa"/>
            <w:shd w:val="clear" w:color="auto" w:fill="auto"/>
          </w:tcPr>
          <w:p w14:paraId="1EF146A3" w14:textId="355685B1" w:rsidR="0051486D" w:rsidRPr="00CB6495" w:rsidRDefault="0051486D" w:rsidP="0051486D">
            <w:pPr>
              <w:autoSpaceDE w:val="0"/>
              <w:autoSpaceDN w:val="0"/>
              <w:adjustRightInd w:val="0"/>
              <w:spacing w:after="0"/>
              <w:rPr>
                <w:color w:val="000000"/>
                <w:lang w:eastAsia="fr-FR"/>
              </w:rPr>
            </w:pPr>
            <w:r>
              <w:rPr>
                <w:color w:val="000000"/>
                <w:lang w:eastAsia="fr-FR"/>
              </w:rPr>
              <w:t>2</w:t>
            </w:r>
            <w:r w:rsidR="005B400D">
              <w:rPr>
                <w:color w:val="000000"/>
                <w:lang w:eastAsia="fr-FR"/>
              </w:rPr>
              <w:t>4</w:t>
            </w:r>
            <w:r>
              <w:rPr>
                <w:color w:val="000000"/>
                <w:lang w:eastAsia="fr-FR"/>
              </w:rPr>
              <w:t xml:space="preserve"> juillet 2020</w:t>
            </w:r>
          </w:p>
          <w:p w14:paraId="1C896598" w14:textId="437C9F1F" w:rsidR="00840093" w:rsidRPr="00CB6495" w:rsidRDefault="00840093" w:rsidP="00402954">
            <w:pPr>
              <w:autoSpaceDE w:val="0"/>
              <w:autoSpaceDN w:val="0"/>
              <w:adjustRightInd w:val="0"/>
              <w:spacing w:after="0"/>
              <w:rPr>
                <w:color w:val="000000"/>
                <w:lang w:eastAsia="fr-FR"/>
              </w:rPr>
            </w:pPr>
          </w:p>
        </w:tc>
        <w:tc>
          <w:tcPr>
            <w:tcW w:w="1873" w:type="dxa"/>
            <w:shd w:val="clear" w:color="auto" w:fill="auto"/>
          </w:tcPr>
          <w:p w14:paraId="5E0B4984" w14:textId="09DAE0BA" w:rsidR="00840093" w:rsidRPr="00CB6495" w:rsidRDefault="00222A71" w:rsidP="00063246">
            <w:pPr>
              <w:autoSpaceDE w:val="0"/>
              <w:autoSpaceDN w:val="0"/>
              <w:adjustRightInd w:val="0"/>
              <w:spacing w:after="0"/>
              <w:rPr>
                <w:color w:val="000000"/>
                <w:lang w:eastAsia="fr-FR"/>
              </w:rPr>
            </w:pPr>
            <w:r>
              <w:rPr>
                <w:color w:val="000000"/>
                <w:lang w:eastAsia="fr-FR"/>
              </w:rPr>
              <w:t>fin de la journée</w:t>
            </w:r>
          </w:p>
        </w:tc>
      </w:tr>
    </w:tbl>
    <w:p w14:paraId="2407E8AE" w14:textId="6CEC895F" w:rsidR="00360C69" w:rsidRPr="00CB6495" w:rsidRDefault="00360C69" w:rsidP="00063246">
      <w:pPr>
        <w:spacing w:after="0"/>
        <w:rPr>
          <w:rFonts w:eastAsia="Calibri"/>
          <w:b/>
          <w:lang w:val="fr-BE" w:eastAsia="en-GB"/>
        </w:rPr>
      </w:pPr>
    </w:p>
    <w:p w14:paraId="5E5ABD1F" w14:textId="01C1A3B3" w:rsidR="00546F59" w:rsidRDefault="00546F59">
      <w:pPr>
        <w:spacing w:after="0"/>
        <w:jc w:val="left"/>
        <w:rPr>
          <w:rFonts w:eastAsia="Calibri"/>
          <w:b/>
          <w:lang w:val="fr-BE" w:eastAsia="en-GB"/>
        </w:rPr>
      </w:pPr>
    </w:p>
    <w:p w14:paraId="0B78088D" w14:textId="77777777" w:rsidR="009B7A72" w:rsidRDefault="009B7A72">
      <w:pPr>
        <w:spacing w:after="0"/>
        <w:jc w:val="left"/>
        <w:rPr>
          <w:rFonts w:eastAsia="Calibri"/>
          <w:b/>
          <w:lang w:val="fr-BE" w:eastAsia="en-GB"/>
        </w:rPr>
      </w:pPr>
      <w:r>
        <w:rPr>
          <w:rFonts w:eastAsia="Calibri"/>
          <w:b/>
          <w:lang w:val="fr-BE" w:eastAsia="en-GB"/>
        </w:rPr>
        <w:br w:type="page"/>
      </w:r>
    </w:p>
    <w:p w14:paraId="5E761A99" w14:textId="45E8B517" w:rsidR="00840093" w:rsidRPr="00CB6495" w:rsidRDefault="004E40F4" w:rsidP="00063246">
      <w:pPr>
        <w:spacing w:after="0"/>
        <w:rPr>
          <w:rFonts w:eastAsia="Calibri"/>
          <w:b/>
          <w:lang w:val="fr-BE" w:eastAsia="en-GB"/>
        </w:rPr>
      </w:pPr>
      <w:r w:rsidRPr="00CB6495">
        <w:rPr>
          <w:rFonts w:eastAsia="Calibri"/>
          <w:b/>
          <w:lang w:val="fr-BE" w:eastAsia="en-GB"/>
        </w:rPr>
        <w:lastRenderedPageBreak/>
        <w:t>ANNEXE</w:t>
      </w:r>
      <w:r w:rsidR="00840093" w:rsidRPr="00CB6495">
        <w:rPr>
          <w:rFonts w:eastAsia="Calibri"/>
          <w:b/>
          <w:lang w:val="fr-BE" w:eastAsia="en-GB"/>
        </w:rPr>
        <w:t xml:space="preserve"> </w:t>
      </w:r>
      <w:r w:rsidR="005F1939" w:rsidRPr="00CB6495">
        <w:rPr>
          <w:rFonts w:eastAsia="Calibri"/>
          <w:b/>
          <w:lang w:val="fr-BE" w:eastAsia="en-GB"/>
        </w:rPr>
        <w:t>1</w:t>
      </w:r>
      <w:r w:rsidR="0063435E" w:rsidRPr="00CB6495">
        <w:rPr>
          <w:rFonts w:eastAsia="Calibri"/>
          <w:b/>
          <w:lang w:val="fr-BE" w:eastAsia="en-GB"/>
        </w:rPr>
        <w:t> : Grille d’évaluation</w:t>
      </w:r>
      <w:r w:rsidR="001D6BC5" w:rsidRPr="00CB6495">
        <w:rPr>
          <w:rFonts w:eastAsia="Calibri"/>
          <w:b/>
          <w:lang w:val="fr-BE" w:eastAsia="en-GB"/>
        </w:rPr>
        <w:t xml:space="preserve"> pour la Note Succincte</w:t>
      </w:r>
    </w:p>
    <w:p w14:paraId="73E7530B" w14:textId="77777777" w:rsidR="0063435E" w:rsidRPr="00CB6495" w:rsidRDefault="0063435E" w:rsidP="00063246">
      <w:pPr>
        <w:spacing w:after="0"/>
        <w:rPr>
          <w:rFonts w:eastAsia="Calibri"/>
          <w:b/>
          <w:lang w:val="fr-B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2149"/>
        <w:gridCol w:w="1003"/>
      </w:tblGrid>
      <w:tr w:rsidR="0063435E" w:rsidRPr="00CB6495" w14:paraId="0A84E00F" w14:textId="77777777" w:rsidTr="00B94F83">
        <w:tc>
          <w:tcPr>
            <w:tcW w:w="6487" w:type="dxa"/>
            <w:shd w:val="clear" w:color="auto" w:fill="auto"/>
          </w:tcPr>
          <w:p w14:paraId="0C69C9AE" w14:textId="77777777" w:rsidR="0063435E" w:rsidRPr="00CB6495" w:rsidRDefault="0063435E" w:rsidP="00063246">
            <w:pPr>
              <w:spacing w:after="0"/>
              <w:rPr>
                <w:rFonts w:eastAsia="Calibri"/>
                <w:b/>
                <w:lang w:val="fr-BE" w:eastAsia="en-GB"/>
              </w:rPr>
            </w:pPr>
          </w:p>
        </w:tc>
        <w:tc>
          <w:tcPr>
            <w:tcW w:w="3083" w:type="dxa"/>
            <w:gridSpan w:val="2"/>
            <w:shd w:val="clear" w:color="auto" w:fill="auto"/>
          </w:tcPr>
          <w:p w14:paraId="516AD547" w14:textId="77777777" w:rsidR="0063435E" w:rsidRPr="00CB6495" w:rsidRDefault="0063435E" w:rsidP="00063246">
            <w:pPr>
              <w:spacing w:after="0"/>
              <w:rPr>
                <w:rFonts w:eastAsia="Calibri"/>
                <w:b/>
                <w:lang w:val="fr-BE" w:eastAsia="en-GB"/>
              </w:rPr>
            </w:pPr>
            <w:r w:rsidRPr="00CB6495">
              <w:rPr>
                <w:rFonts w:eastAsia="Calibri"/>
                <w:b/>
                <w:lang w:val="fr-BE" w:eastAsia="en-GB"/>
              </w:rPr>
              <w:t>Notes</w:t>
            </w:r>
          </w:p>
        </w:tc>
      </w:tr>
      <w:tr w:rsidR="0063435E" w:rsidRPr="00CB6495" w14:paraId="0C64A914" w14:textId="77777777" w:rsidTr="00A8230D">
        <w:trPr>
          <w:trHeight w:val="613"/>
        </w:trPr>
        <w:tc>
          <w:tcPr>
            <w:tcW w:w="6487" w:type="dxa"/>
            <w:shd w:val="clear" w:color="auto" w:fill="D9D9D9" w:themeFill="background1" w:themeFillShade="D9"/>
            <w:vAlign w:val="center"/>
          </w:tcPr>
          <w:p w14:paraId="249CCFFE" w14:textId="2E96FC79" w:rsidR="0063435E" w:rsidRPr="00CB6495" w:rsidRDefault="00C4510A" w:rsidP="006C3BC0">
            <w:pPr>
              <w:spacing w:after="0"/>
              <w:rPr>
                <w:rFonts w:eastAsia="Calibri"/>
                <w:b/>
                <w:lang w:val="fr-BE" w:eastAsia="en-GB"/>
              </w:rPr>
            </w:pPr>
            <w:r w:rsidRPr="00CB6495">
              <w:rPr>
                <w:rFonts w:eastAsia="Calibri"/>
                <w:b/>
                <w:lang w:val="fr-BE" w:eastAsia="en-GB"/>
              </w:rPr>
              <w:t xml:space="preserve">1. </w:t>
            </w:r>
            <w:r w:rsidR="002811F6" w:rsidRPr="00CB6495">
              <w:rPr>
                <w:rFonts w:eastAsia="Calibri"/>
                <w:b/>
                <w:lang w:val="fr-BE" w:eastAsia="en-GB"/>
              </w:rPr>
              <w:t xml:space="preserve">Capacité opérationnelle et </w:t>
            </w:r>
            <w:r w:rsidR="006C3BC0" w:rsidRPr="00CB6495">
              <w:rPr>
                <w:rFonts w:eastAsia="Calibri"/>
                <w:b/>
                <w:lang w:val="fr-BE" w:eastAsia="en-GB"/>
              </w:rPr>
              <w:t>financière</w:t>
            </w:r>
            <w:r w:rsidR="0069193F" w:rsidRPr="00CB6495">
              <w:rPr>
                <w:rFonts w:eastAsia="Calibri"/>
                <w:b/>
                <w:lang w:val="fr-BE" w:eastAsia="en-GB"/>
              </w:rPr>
              <w:t>*</w:t>
            </w:r>
            <w:r w:rsidR="006C3BC0" w:rsidRPr="00CB6495">
              <w:rPr>
                <w:rFonts w:eastAsia="Calibri"/>
                <w:b/>
                <w:lang w:val="fr-BE" w:eastAsia="en-GB"/>
              </w:rPr>
              <w:t xml:space="preserve"> </w:t>
            </w:r>
          </w:p>
        </w:tc>
        <w:tc>
          <w:tcPr>
            <w:tcW w:w="2268" w:type="dxa"/>
            <w:shd w:val="clear" w:color="auto" w:fill="D9D9D9" w:themeFill="background1" w:themeFillShade="D9"/>
            <w:vAlign w:val="center"/>
          </w:tcPr>
          <w:p w14:paraId="2EE4189E" w14:textId="77777777" w:rsidR="0063435E" w:rsidRPr="00CB6495" w:rsidRDefault="0063435E" w:rsidP="00063246">
            <w:pPr>
              <w:spacing w:after="0"/>
              <w:rPr>
                <w:rFonts w:eastAsia="Calibri"/>
                <w:b/>
                <w:lang w:val="fr-BE" w:eastAsia="en-GB"/>
              </w:rPr>
            </w:pPr>
          </w:p>
        </w:tc>
        <w:tc>
          <w:tcPr>
            <w:tcW w:w="815" w:type="dxa"/>
            <w:shd w:val="clear" w:color="auto" w:fill="D9D9D9" w:themeFill="background1" w:themeFillShade="D9"/>
            <w:vAlign w:val="center"/>
          </w:tcPr>
          <w:p w14:paraId="01900035" w14:textId="03EDD762" w:rsidR="0063435E" w:rsidRPr="00CB6495" w:rsidRDefault="00B6295A" w:rsidP="00A8230D">
            <w:pPr>
              <w:spacing w:after="0"/>
              <w:jc w:val="center"/>
              <w:rPr>
                <w:rFonts w:eastAsia="Calibri"/>
                <w:b/>
                <w:lang w:val="fr-BE" w:eastAsia="en-GB"/>
              </w:rPr>
            </w:pPr>
            <w:r w:rsidRPr="00CB6495">
              <w:rPr>
                <w:rFonts w:eastAsia="Calibri"/>
                <w:b/>
                <w:lang w:val="fr-BE" w:eastAsia="en-GB"/>
              </w:rPr>
              <w:t>30</w:t>
            </w:r>
          </w:p>
        </w:tc>
      </w:tr>
      <w:tr w:rsidR="0063435E" w:rsidRPr="00CB6495" w14:paraId="29F35440" w14:textId="77777777" w:rsidTr="00B94F83">
        <w:tc>
          <w:tcPr>
            <w:tcW w:w="6487" w:type="dxa"/>
            <w:shd w:val="clear" w:color="auto" w:fill="auto"/>
          </w:tcPr>
          <w:p w14:paraId="738D321F" w14:textId="68591407" w:rsidR="0069193F" w:rsidRPr="00CB6495" w:rsidRDefault="002811F6" w:rsidP="0069193F">
            <w:pPr>
              <w:autoSpaceDE w:val="0"/>
              <w:autoSpaceDN w:val="0"/>
              <w:adjustRightInd w:val="0"/>
              <w:spacing w:after="0"/>
              <w:rPr>
                <w:lang w:val="fr-BE" w:eastAsia="en-GB"/>
              </w:rPr>
            </w:pPr>
            <w:r w:rsidRPr="00CB6495">
              <w:rPr>
                <w:lang w:val="fr-BE" w:eastAsia="en-GB"/>
              </w:rPr>
              <w:t>Expérience suffisante en gestion de projet</w:t>
            </w:r>
            <w:r w:rsidR="00235584">
              <w:rPr>
                <w:lang w:val="fr-BE" w:eastAsia="en-GB"/>
              </w:rPr>
              <w:t>s</w:t>
            </w:r>
            <w:r w:rsidRPr="00CB6495">
              <w:rPr>
                <w:lang w:val="fr-BE" w:eastAsia="en-GB"/>
              </w:rPr>
              <w:t xml:space="preserve"> </w:t>
            </w:r>
            <w:r w:rsidR="00235584">
              <w:rPr>
                <w:lang w:val="fr-BE" w:eastAsia="en-GB"/>
              </w:rPr>
              <w:t xml:space="preserve">en appui </w:t>
            </w:r>
            <w:r w:rsidR="00235584" w:rsidRPr="00CB6495">
              <w:rPr>
                <w:lang w:val="fr-BE" w:eastAsia="en-GB"/>
              </w:rPr>
              <w:t>à</w:t>
            </w:r>
            <w:r w:rsidR="00235584">
              <w:rPr>
                <w:lang w:val="fr-BE" w:eastAsia="en-GB"/>
              </w:rPr>
              <w:t xml:space="preserve"> l’</w:t>
            </w:r>
            <w:r w:rsidR="0069193F" w:rsidRPr="00CB6495">
              <w:rPr>
                <w:lang w:val="fr-BE" w:eastAsia="en-GB"/>
              </w:rPr>
              <w:t xml:space="preserve">état civil </w:t>
            </w:r>
          </w:p>
          <w:p w14:paraId="50764BE5" w14:textId="77777777" w:rsidR="0069193F" w:rsidRPr="00CB6495" w:rsidRDefault="0069193F" w:rsidP="0069193F">
            <w:pPr>
              <w:autoSpaceDE w:val="0"/>
              <w:autoSpaceDN w:val="0"/>
              <w:adjustRightInd w:val="0"/>
              <w:spacing w:after="0"/>
              <w:rPr>
                <w:lang w:val="fr-BE" w:eastAsia="en-GB"/>
              </w:rPr>
            </w:pPr>
          </w:p>
          <w:p w14:paraId="3145B3A1" w14:textId="77777777" w:rsidR="0069193F" w:rsidRPr="00CB6495" w:rsidRDefault="0069193F" w:rsidP="0069193F">
            <w:pPr>
              <w:autoSpaceDE w:val="0"/>
              <w:autoSpaceDN w:val="0"/>
              <w:adjustRightInd w:val="0"/>
              <w:spacing w:after="0"/>
              <w:rPr>
                <w:lang w:val="fr-BE" w:eastAsia="en-GB"/>
              </w:rPr>
            </w:pPr>
            <w:r w:rsidRPr="00CB6495">
              <w:rPr>
                <w:lang w:val="fr-BE" w:eastAsia="en-GB"/>
              </w:rPr>
              <w:t xml:space="preserve">Capacité prouvée à travailler dans un contexte post-crise; </w:t>
            </w:r>
          </w:p>
          <w:p w14:paraId="4D6AD764" w14:textId="77777777" w:rsidR="002435D1" w:rsidRPr="00CB6495" w:rsidRDefault="002435D1" w:rsidP="0069193F">
            <w:pPr>
              <w:autoSpaceDE w:val="0"/>
              <w:autoSpaceDN w:val="0"/>
              <w:adjustRightInd w:val="0"/>
              <w:spacing w:after="0"/>
              <w:rPr>
                <w:lang w:val="fr-BE" w:eastAsia="en-GB"/>
              </w:rPr>
            </w:pPr>
          </w:p>
          <w:p w14:paraId="16D5F67D" w14:textId="26A865BE" w:rsidR="002435D1" w:rsidRPr="00CB6495" w:rsidRDefault="002435D1" w:rsidP="0069193F">
            <w:pPr>
              <w:autoSpaceDE w:val="0"/>
              <w:autoSpaceDN w:val="0"/>
              <w:adjustRightInd w:val="0"/>
              <w:spacing w:after="0"/>
              <w:rPr>
                <w:lang w:val="fr-BE" w:eastAsia="en-GB"/>
              </w:rPr>
            </w:pPr>
            <w:r w:rsidRPr="00CB6495">
              <w:rPr>
                <w:lang w:val="fr-BE" w:eastAsia="en-GB"/>
              </w:rPr>
              <w:t>Le demandeur chef de file a un chiffre d'affaires moyen annuel les trois dernières années d’au moins 1,500,000 euros</w:t>
            </w:r>
          </w:p>
          <w:p w14:paraId="243D3F71" w14:textId="77777777" w:rsidR="0069193F" w:rsidRPr="00CB6495" w:rsidRDefault="0069193F" w:rsidP="0069193F">
            <w:pPr>
              <w:autoSpaceDE w:val="0"/>
              <w:autoSpaceDN w:val="0"/>
              <w:adjustRightInd w:val="0"/>
              <w:spacing w:after="0"/>
              <w:rPr>
                <w:lang w:val="fr-BE" w:eastAsia="en-GB"/>
              </w:rPr>
            </w:pPr>
          </w:p>
          <w:p w14:paraId="3CACA072" w14:textId="2EC5A421" w:rsidR="002811F6" w:rsidRPr="00CB6495" w:rsidRDefault="0069193F" w:rsidP="0069193F">
            <w:pPr>
              <w:autoSpaceDE w:val="0"/>
              <w:autoSpaceDN w:val="0"/>
              <w:adjustRightInd w:val="0"/>
              <w:spacing w:after="0"/>
              <w:rPr>
                <w:lang w:val="fr-BE" w:eastAsia="en-GB"/>
              </w:rPr>
            </w:pPr>
            <w:r w:rsidRPr="00CB6495">
              <w:rPr>
                <w:lang w:val="fr-BE" w:eastAsia="en-GB"/>
              </w:rPr>
              <w:t>Expérience en RCA</w:t>
            </w:r>
            <w:r w:rsidR="000511A3">
              <w:rPr>
                <w:lang w:val="fr-BE" w:eastAsia="en-GB"/>
              </w:rPr>
              <w:t xml:space="preserve"> représente un avantage</w:t>
            </w:r>
            <w:r w:rsidRPr="00CB6495">
              <w:rPr>
                <w:lang w:val="fr-BE" w:eastAsia="en-GB"/>
              </w:rPr>
              <w:t xml:space="preserve">; </w:t>
            </w:r>
          </w:p>
          <w:p w14:paraId="5759A977" w14:textId="77777777" w:rsidR="0069193F" w:rsidRPr="00CB6495" w:rsidRDefault="0069193F" w:rsidP="002811F6">
            <w:pPr>
              <w:autoSpaceDE w:val="0"/>
              <w:autoSpaceDN w:val="0"/>
              <w:adjustRightInd w:val="0"/>
              <w:spacing w:after="0"/>
              <w:jc w:val="left"/>
              <w:rPr>
                <w:lang w:val="fr-BE" w:eastAsia="en-GB"/>
              </w:rPr>
            </w:pPr>
          </w:p>
          <w:p w14:paraId="45941818" w14:textId="142B2C92" w:rsidR="002811F6" w:rsidRPr="00CB6495" w:rsidRDefault="0069193F" w:rsidP="002811F6">
            <w:pPr>
              <w:autoSpaceDE w:val="0"/>
              <w:autoSpaceDN w:val="0"/>
              <w:adjustRightInd w:val="0"/>
              <w:spacing w:after="0"/>
              <w:jc w:val="left"/>
              <w:rPr>
                <w:lang w:val="fr-BE" w:eastAsia="en-GB"/>
              </w:rPr>
            </w:pPr>
            <w:r w:rsidRPr="00CB6495">
              <w:rPr>
                <w:lang w:val="fr-BE" w:eastAsia="en-GB"/>
              </w:rPr>
              <w:t>Expérience en monitoring/évaluation, plaidoyer, activités de communication</w:t>
            </w:r>
          </w:p>
          <w:p w14:paraId="414B5302" w14:textId="77777777" w:rsidR="002811F6" w:rsidRPr="00CB6495" w:rsidRDefault="002811F6" w:rsidP="002811F6">
            <w:pPr>
              <w:autoSpaceDE w:val="0"/>
              <w:autoSpaceDN w:val="0"/>
              <w:adjustRightInd w:val="0"/>
              <w:spacing w:after="0"/>
              <w:jc w:val="left"/>
              <w:rPr>
                <w:lang w:val="fr-BE" w:eastAsia="en-GB"/>
              </w:rPr>
            </w:pPr>
          </w:p>
          <w:p w14:paraId="2F1B2F4F" w14:textId="77777777" w:rsidR="002811F6" w:rsidRPr="00CB6495" w:rsidRDefault="002811F6" w:rsidP="002811F6">
            <w:pPr>
              <w:autoSpaceDE w:val="0"/>
              <w:autoSpaceDN w:val="0"/>
              <w:adjustRightInd w:val="0"/>
              <w:spacing w:after="0"/>
              <w:jc w:val="left"/>
              <w:rPr>
                <w:lang w:val="fr-BE" w:eastAsia="en-GB"/>
              </w:rPr>
            </w:pPr>
          </w:p>
          <w:p w14:paraId="175DEA8E" w14:textId="2286EE12" w:rsidR="0063435E" w:rsidRPr="00235584" w:rsidRDefault="00B6295A" w:rsidP="00235584">
            <w:pPr>
              <w:autoSpaceDE w:val="0"/>
              <w:autoSpaceDN w:val="0"/>
              <w:adjustRightInd w:val="0"/>
              <w:spacing w:after="0"/>
              <w:jc w:val="left"/>
              <w:rPr>
                <w:rFonts w:eastAsia="Calibri"/>
                <w:sz w:val="18"/>
                <w:szCs w:val="18"/>
                <w:lang w:val="fr-BE" w:eastAsia="en-GB"/>
              </w:rPr>
            </w:pPr>
            <w:r w:rsidRPr="00235584">
              <w:rPr>
                <w:rFonts w:eastAsia="Calibri"/>
                <w:sz w:val="18"/>
                <w:szCs w:val="18"/>
                <w:lang w:val="fr-BE" w:eastAsia="en-GB"/>
              </w:rPr>
              <w:t>*Le critères minimums financi</w:t>
            </w:r>
            <w:r w:rsidR="00235584">
              <w:rPr>
                <w:rFonts w:eastAsia="Calibri"/>
                <w:sz w:val="18"/>
                <w:szCs w:val="18"/>
                <w:lang w:val="fr-BE" w:eastAsia="en-GB"/>
              </w:rPr>
              <w:t>ers</w:t>
            </w:r>
            <w:r w:rsidRPr="00235584">
              <w:rPr>
                <w:rFonts w:eastAsia="Calibri"/>
                <w:sz w:val="18"/>
                <w:szCs w:val="18"/>
                <w:lang w:val="fr-BE" w:eastAsia="en-GB"/>
              </w:rPr>
              <w:t xml:space="preserve"> et d’expérience</w:t>
            </w:r>
            <w:r w:rsidR="0079569A">
              <w:rPr>
                <w:rFonts w:eastAsia="Calibri"/>
                <w:sz w:val="18"/>
                <w:szCs w:val="18"/>
                <w:lang w:val="fr-BE" w:eastAsia="en-GB"/>
              </w:rPr>
              <w:t xml:space="preserve">, </w:t>
            </w:r>
            <w:r w:rsidR="00235584">
              <w:rPr>
                <w:rFonts w:eastAsia="Calibri"/>
                <w:sz w:val="18"/>
                <w:szCs w:val="18"/>
                <w:lang w:val="fr-BE" w:eastAsia="en-GB"/>
              </w:rPr>
              <w:t xml:space="preserve"> </w:t>
            </w:r>
            <w:r w:rsidRPr="00235584">
              <w:rPr>
                <w:rFonts w:eastAsia="Calibri"/>
                <w:sz w:val="18"/>
                <w:szCs w:val="18"/>
                <w:lang w:val="fr-BE" w:eastAsia="en-GB"/>
              </w:rPr>
              <w:t>-évalués oui/non- doivent être remplis, si no</w:t>
            </w:r>
            <w:r w:rsidR="00235584">
              <w:rPr>
                <w:rFonts w:eastAsia="Calibri"/>
                <w:sz w:val="18"/>
                <w:szCs w:val="18"/>
                <w:lang w:val="fr-BE" w:eastAsia="en-GB"/>
              </w:rPr>
              <w:t>n</w:t>
            </w:r>
            <w:r w:rsidRPr="00235584">
              <w:rPr>
                <w:rFonts w:eastAsia="Calibri"/>
                <w:sz w:val="18"/>
                <w:szCs w:val="18"/>
                <w:lang w:val="fr-BE" w:eastAsia="en-GB"/>
              </w:rPr>
              <w:t xml:space="preserve"> le demandeur sera considéré non éligible</w:t>
            </w:r>
          </w:p>
        </w:tc>
        <w:tc>
          <w:tcPr>
            <w:tcW w:w="2268" w:type="dxa"/>
            <w:shd w:val="clear" w:color="auto" w:fill="auto"/>
          </w:tcPr>
          <w:p w14:paraId="08FBFE90" w14:textId="77777777" w:rsidR="0063435E" w:rsidRPr="00CB6495" w:rsidRDefault="0063435E" w:rsidP="00063246">
            <w:pPr>
              <w:spacing w:after="0"/>
              <w:rPr>
                <w:rFonts w:eastAsia="Calibri"/>
                <w:b/>
                <w:lang w:val="fr-BE" w:eastAsia="en-GB"/>
              </w:rPr>
            </w:pPr>
          </w:p>
        </w:tc>
        <w:tc>
          <w:tcPr>
            <w:tcW w:w="815" w:type="dxa"/>
            <w:shd w:val="clear" w:color="auto" w:fill="auto"/>
          </w:tcPr>
          <w:p w14:paraId="58FBBAE8" w14:textId="77777777" w:rsidR="00B6295A" w:rsidRPr="00375BFD" w:rsidRDefault="00B6295A" w:rsidP="00A8230D">
            <w:pPr>
              <w:spacing w:after="0"/>
              <w:jc w:val="center"/>
              <w:rPr>
                <w:rFonts w:eastAsia="Calibri"/>
                <w:lang w:val="fr-BE" w:eastAsia="en-GB"/>
              </w:rPr>
            </w:pPr>
            <w:r w:rsidRPr="00375BFD">
              <w:rPr>
                <w:rFonts w:eastAsia="Calibri"/>
                <w:lang w:val="fr-BE" w:eastAsia="en-GB"/>
              </w:rPr>
              <w:t>Oui/non</w:t>
            </w:r>
          </w:p>
          <w:p w14:paraId="554428C1" w14:textId="509B25BD" w:rsidR="00B6295A" w:rsidRPr="00375BFD" w:rsidRDefault="00B6295A" w:rsidP="00A8230D">
            <w:pPr>
              <w:spacing w:after="0"/>
              <w:jc w:val="center"/>
              <w:rPr>
                <w:rFonts w:eastAsia="Calibri"/>
                <w:lang w:val="fr-BE" w:eastAsia="en-GB"/>
              </w:rPr>
            </w:pPr>
          </w:p>
          <w:p w14:paraId="6B0397A7" w14:textId="77777777" w:rsidR="00B73C32" w:rsidRPr="00375BFD" w:rsidRDefault="00B73C32" w:rsidP="00A8230D">
            <w:pPr>
              <w:spacing w:after="0"/>
              <w:jc w:val="center"/>
              <w:rPr>
                <w:rFonts w:eastAsia="Calibri"/>
                <w:lang w:val="fr-BE" w:eastAsia="en-GB"/>
              </w:rPr>
            </w:pPr>
          </w:p>
          <w:p w14:paraId="32DC6328" w14:textId="0458105B" w:rsidR="00B6295A" w:rsidRPr="00375BFD" w:rsidRDefault="00B6295A" w:rsidP="00A8230D">
            <w:pPr>
              <w:spacing w:after="0"/>
              <w:jc w:val="center"/>
              <w:rPr>
                <w:rFonts w:eastAsia="Calibri"/>
                <w:lang w:val="fr-BE" w:eastAsia="en-GB"/>
              </w:rPr>
            </w:pPr>
            <w:r w:rsidRPr="00375BFD">
              <w:rPr>
                <w:rFonts w:eastAsia="Calibri"/>
                <w:lang w:val="fr-BE" w:eastAsia="en-GB"/>
              </w:rPr>
              <w:t>Oui/non</w:t>
            </w:r>
          </w:p>
          <w:p w14:paraId="4BD4D6B6" w14:textId="77777777" w:rsidR="00B6295A" w:rsidRPr="00375BFD" w:rsidRDefault="00B6295A" w:rsidP="00A8230D">
            <w:pPr>
              <w:spacing w:after="0"/>
              <w:jc w:val="center"/>
              <w:rPr>
                <w:rFonts w:eastAsia="Calibri"/>
                <w:lang w:val="fr-BE" w:eastAsia="en-GB"/>
              </w:rPr>
            </w:pPr>
          </w:p>
          <w:p w14:paraId="46DA0AC0" w14:textId="2B2E9B36" w:rsidR="00B6295A" w:rsidRPr="00375BFD" w:rsidRDefault="002435D1" w:rsidP="00A8230D">
            <w:pPr>
              <w:spacing w:after="0"/>
              <w:jc w:val="center"/>
              <w:rPr>
                <w:rFonts w:eastAsia="Calibri"/>
                <w:lang w:val="fr-BE" w:eastAsia="en-GB"/>
              </w:rPr>
            </w:pPr>
            <w:r w:rsidRPr="00375BFD">
              <w:rPr>
                <w:rFonts w:eastAsia="Calibri"/>
                <w:lang w:val="fr-BE" w:eastAsia="en-GB"/>
              </w:rPr>
              <w:t>Oui/non</w:t>
            </w:r>
          </w:p>
          <w:p w14:paraId="3573466B" w14:textId="77777777" w:rsidR="00B6295A" w:rsidRPr="00375BFD" w:rsidRDefault="00B6295A" w:rsidP="00A8230D">
            <w:pPr>
              <w:spacing w:after="0"/>
              <w:jc w:val="center"/>
              <w:rPr>
                <w:rFonts w:eastAsia="Calibri"/>
                <w:lang w:val="fr-BE" w:eastAsia="en-GB"/>
              </w:rPr>
            </w:pPr>
          </w:p>
          <w:p w14:paraId="226150CA" w14:textId="77777777" w:rsidR="00B6295A" w:rsidRPr="00375BFD" w:rsidRDefault="00B6295A" w:rsidP="00A8230D">
            <w:pPr>
              <w:spacing w:after="0"/>
              <w:jc w:val="center"/>
              <w:rPr>
                <w:rFonts w:eastAsia="Calibri"/>
                <w:lang w:val="fr-BE" w:eastAsia="en-GB"/>
              </w:rPr>
            </w:pPr>
          </w:p>
          <w:p w14:paraId="0A6507AA" w14:textId="3605300C" w:rsidR="00B6295A" w:rsidRPr="00375BFD" w:rsidRDefault="002435D1" w:rsidP="00A8230D">
            <w:pPr>
              <w:spacing w:after="0"/>
              <w:jc w:val="center"/>
              <w:rPr>
                <w:rFonts w:eastAsia="Calibri"/>
                <w:lang w:val="fr-BE" w:eastAsia="en-GB"/>
              </w:rPr>
            </w:pPr>
            <w:r w:rsidRPr="00375BFD">
              <w:rPr>
                <w:rFonts w:eastAsia="Calibri"/>
                <w:lang w:val="fr-BE" w:eastAsia="en-GB"/>
              </w:rPr>
              <w:t>15</w:t>
            </w:r>
          </w:p>
          <w:p w14:paraId="2A98F3AF" w14:textId="77777777" w:rsidR="002435D1" w:rsidRPr="00375BFD" w:rsidRDefault="002435D1" w:rsidP="00A8230D">
            <w:pPr>
              <w:spacing w:after="0"/>
              <w:jc w:val="center"/>
              <w:rPr>
                <w:rFonts w:eastAsia="Calibri"/>
                <w:lang w:val="fr-BE" w:eastAsia="en-GB"/>
              </w:rPr>
            </w:pPr>
          </w:p>
          <w:p w14:paraId="4C3E4A7F" w14:textId="00111681" w:rsidR="00B6295A" w:rsidRPr="00375BFD" w:rsidRDefault="002435D1" w:rsidP="00A8230D">
            <w:pPr>
              <w:spacing w:after="0"/>
              <w:jc w:val="center"/>
              <w:rPr>
                <w:rFonts w:eastAsia="Calibri"/>
                <w:lang w:val="fr-BE" w:eastAsia="en-GB"/>
              </w:rPr>
            </w:pPr>
            <w:r w:rsidRPr="00375BFD">
              <w:rPr>
                <w:rFonts w:eastAsia="Calibri"/>
                <w:lang w:val="fr-BE" w:eastAsia="en-GB"/>
              </w:rPr>
              <w:t>15</w:t>
            </w:r>
          </w:p>
          <w:p w14:paraId="0CBCB96A" w14:textId="77777777" w:rsidR="00B6295A" w:rsidRPr="00375BFD" w:rsidRDefault="00B6295A" w:rsidP="00A8230D">
            <w:pPr>
              <w:spacing w:after="0"/>
              <w:jc w:val="center"/>
              <w:rPr>
                <w:rFonts w:eastAsia="Calibri"/>
                <w:lang w:val="fr-BE" w:eastAsia="en-GB"/>
              </w:rPr>
            </w:pPr>
          </w:p>
          <w:p w14:paraId="3F21D1BA" w14:textId="77777777" w:rsidR="00B6295A" w:rsidRPr="00CB6495" w:rsidRDefault="00B6295A" w:rsidP="00A8230D">
            <w:pPr>
              <w:spacing w:after="0"/>
              <w:jc w:val="center"/>
              <w:rPr>
                <w:rFonts w:eastAsia="Calibri"/>
                <w:b/>
                <w:lang w:val="fr-BE" w:eastAsia="en-GB"/>
              </w:rPr>
            </w:pPr>
          </w:p>
          <w:p w14:paraId="46619DE6" w14:textId="2360F09F" w:rsidR="00B6295A" w:rsidRPr="00CB6495" w:rsidRDefault="00B6295A" w:rsidP="00A8230D">
            <w:pPr>
              <w:spacing w:after="0"/>
              <w:jc w:val="center"/>
              <w:rPr>
                <w:rFonts w:eastAsia="Calibri"/>
                <w:b/>
                <w:lang w:val="fr-BE" w:eastAsia="en-GB"/>
              </w:rPr>
            </w:pPr>
          </w:p>
        </w:tc>
      </w:tr>
      <w:tr w:rsidR="006C3BC0" w:rsidRPr="00CB6495" w14:paraId="7590CA3A" w14:textId="77777777" w:rsidTr="00A8230D">
        <w:trPr>
          <w:trHeight w:val="668"/>
        </w:trPr>
        <w:tc>
          <w:tcPr>
            <w:tcW w:w="6487" w:type="dxa"/>
            <w:shd w:val="clear" w:color="auto" w:fill="D9D9D9" w:themeFill="background1" w:themeFillShade="D9"/>
            <w:vAlign w:val="center"/>
          </w:tcPr>
          <w:p w14:paraId="2DFB6401" w14:textId="63750670" w:rsidR="006C3BC0" w:rsidRPr="00CB6495" w:rsidRDefault="006C3BC0" w:rsidP="002811F6">
            <w:pPr>
              <w:autoSpaceDE w:val="0"/>
              <w:autoSpaceDN w:val="0"/>
              <w:adjustRightInd w:val="0"/>
              <w:spacing w:after="0"/>
              <w:jc w:val="left"/>
              <w:rPr>
                <w:b/>
                <w:lang w:val="fr-BE" w:eastAsia="en-GB"/>
              </w:rPr>
            </w:pPr>
            <w:r w:rsidRPr="00CB6495">
              <w:rPr>
                <w:b/>
                <w:lang w:val="fr-BE" w:eastAsia="en-GB"/>
              </w:rPr>
              <w:t>2. Pertinence</w:t>
            </w:r>
          </w:p>
        </w:tc>
        <w:tc>
          <w:tcPr>
            <w:tcW w:w="2268" w:type="dxa"/>
            <w:shd w:val="clear" w:color="auto" w:fill="D9D9D9" w:themeFill="background1" w:themeFillShade="D9"/>
            <w:vAlign w:val="center"/>
          </w:tcPr>
          <w:p w14:paraId="20384E5C" w14:textId="77777777" w:rsidR="006C3BC0" w:rsidRPr="00CB6495" w:rsidRDefault="006C3BC0" w:rsidP="00063246">
            <w:pPr>
              <w:spacing w:after="0"/>
              <w:rPr>
                <w:rFonts w:eastAsia="Calibri"/>
                <w:b/>
                <w:lang w:val="fr-BE" w:eastAsia="en-GB"/>
              </w:rPr>
            </w:pPr>
          </w:p>
        </w:tc>
        <w:tc>
          <w:tcPr>
            <w:tcW w:w="815" w:type="dxa"/>
            <w:shd w:val="clear" w:color="auto" w:fill="D9D9D9" w:themeFill="background1" w:themeFillShade="D9"/>
            <w:vAlign w:val="center"/>
          </w:tcPr>
          <w:p w14:paraId="2B22EAA7" w14:textId="5996733E" w:rsidR="006C3BC0" w:rsidRPr="00CB6495" w:rsidRDefault="00B6295A" w:rsidP="00A8230D">
            <w:pPr>
              <w:spacing w:after="0"/>
              <w:jc w:val="center"/>
              <w:rPr>
                <w:rFonts w:eastAsia="Calibri"/>
                <w:b/>
                <w:lang w:val="fr-BE" w:eastAsia="en-GB"/>
              </w:rPr>
            </w:pPr>
            <w:r w:rsidRPr="00CB6495">
              <w:rPr>
                <w:rFonts w:eastAsia="Calibri"/>
                <w:b/>
                <w:lang w:val="fr-BE" w:eastAsia="en-GB"/>
              </w:rPr>
              <w:t>40</w:t>
            </w:r>
          </w:p>
        </w:tc>
      </w:tr>
      <w:tr w:rsidR="006C3BC0" w:rsidRPr="00CB6495" w14:paraId="60221418" w14:textId="77777777" w:rsidTr="006C3BC0">
        <w:trPr>
          <w:trHeight w:val="566"/>
        </w:trPr>
        <w:tc>
          <w:tcPr>
            <w:tcW w:w="6487" w:type="dxa"/>
            <w:shd w:val="clear" w:color="auto" w:fill="auto"/>
          </w:tcPr>
          <w:p w14:paraId="210B1CDA" w14:textId="77777777" w:rsidR="006C3BC0" w:rsidRPr="00375BFD" w:rsidRDefault="006C3BC0" w:rsidP="006C3BC0">
            <w:pPr>
              <w:autoSpaceDE w:val="0"/>
              <w:autoSpaceDN w:val="0"/>
              <w:adjustRightInd w:val="0"/>
              <w:spacing w:after="0"/>
              <w:jc w:val="left"/>
              <w:rPr>
                <w:lang w:val="fr-BE" w:eastAsia="en-GB"/>
              </w:rPr>
            </w:pPr>
          </w:p>
          <w:p w14:paraId="2DA95D2F" w14:textId="60FBAE4C" w:rsidR="006C3BC0" w:rsidRPr="00375BFD" w:rsidRDefault="00FB2166" w:rsidP="00F57CD1">
            <w:pPr>
              <w:autoSpaceDE w:val="0"/>
              <w:autoSpaceDN w:val="0"/>
              <w:adjustRightInd w:val="0"/>
              <w:spacing w:after="0"/>
              <w:rPr>
                <w:lang w:val="fr-BE" w:eastAsia="en-GB"/>
              </w:rPr>
            </w:pPr>
            <w:r w:rsidRPr="00375BFD">
              <w:rPr>
                <w:lang w:val="fr-BE" w:eastAsia="en-GB"/>
              </w:rPr>
              <w:t>D</w:t>
            </w:r>
            <w:r w:rsidR="0054463E" w:rsidRPr="00375BFD">
              <w:rPr>
                <w:lang w:val="fr-BE" w:eastAsia="en-GB"/>
              </w:rPr>
              <w:t>ans quelle mesure la proposition est-elle pertinente par rapport à l’objecti</w:t>
            </w:r>
            <w:r w:rsidR="008D1532" w:rsidRPr="00375BFD">
              <w:rPr>
                <w:lang w:val="fr-BE" w:eastAsia="en-GB"/>
              </w:rPr>
              <w:t>f</w:t>
            </w:r>
            <w:r w:rsidR="0054463E" w:rsidRPr="00375BFD">
              <w:rPr>
                <w:lang w:val="fr-BE" w:eastAsia="en-GB"/>
              </w:rPr>
              <w:t xml:space="preserve"> stratégique prévu dans le point 5.1 de l’AMI, </w:t>
            </w:r>
            <w:r w:rsidR="00B17FF2" w:rsidRPr="00375BFD">
              <w:rPr>
                <w:lang w:val="fr-BE" w:eastAsia="en-GB"/>
              </w:rPr>
              <w:t xml:space="preserve">plus particulièrement par rapport à la mise en </w:t>
            </w:r>
            <w:r w:rsidR="008D1532" w:rsidRPr="00375BFD">
              <w:rPr>
                <w:lang w:val="fr-BE" w:eastAsia="en-GB"/>
              </w:rPr>
              <w:t>place</w:t>
            </w:r>
            <w:r w:rsidR="00B17FF2" w:rsidRPr="00375BFD">
              <w:rPr>
                <w:lang w:val="fr-BE" w:eastAsia="en-GB"/>
              </w:rPr>
              <w:t xml:space="preserve"> </w:t>
            </w:r>
            <w:r w:rsidR="00CA648D" w:rsidRPr="00375BFD">
              <w:rPr>
                <w:lang w:val="fr-BE" w:eastAsia="en-GB"/>
              </w:rPr>
              <w:t>d’</w:t>
            </w:r>
            <w:r w:rsidRPr="00375BFD">
              <w:rPr>
                <w:lang w:val="fr-BE" w:eastAsia="en-GB"/>
              </w:rPr>
              <w:t>un cadre</w:t>
            </w:r>
            <w:r w:rsidR="00D33891" w:rsidRPr="00375BFD">
              <w:rPr>
                <w:lang w:val="fr-BE" w:eastAsia="en-GB"/>
              </w:rPr>
              <w:t xml:space="preserve"> </w:t>
            </w:r>
            <w:r w:rsidR="008D1532" w:rsidRPr="00375BFD">
              <w:rPr>
                <w:lang w:val="fr-BE" w:eastAsia="en-GB"/>
              </w:rPr>
              <w:t xml:space="preserve">de dialogue </w:t>
            </w:r>
            <w:r w:rsidR="008D1532" w:rsidRPr="00375BFD">
              <w:t>avec les autorités centrafricai</w:t>
            </w:r>
            <w:r w:rsidR="00375BFD">
              <w:t>nes compétentes dans le domaine</w:t>
            </w:r>
            <w:r w:rsidR="008D1532" w:rsidRPr="00375BFD">
              <w:t xml:space="preserve"> de l’état civil</w:t>
            </w:r>
            <w:r w:rsidR="008D1532" w:rsidRPr="00375BFD">
              <w:rPr>
                <w:lang w:val="fr-BE" w:eastAsia="en-GB"/>
              </w:rPr>
              <w:t xml:space="preserve">  qui soit </w:t>
            </w:r>
            <w:r w:rsidR="00D33891" w:rsidRPr="00375BFD">
              <w:rPr>
                <w:lang w:val="fr-BE" w:eastAsia="en-GB"/>
              </w:rPr>
              <w:t>réaliste</w:t>
            </w:r>
            <w:r w:rsidR="008D1532" w:rsidRPr="00375BFD">
              <w:rPr>
                <w:lang w:val="fr-BE" w:eastAsia="en-GB"/>
              </w:rPr>
              <w:t xml:space="preserve">, </w:t>
            </w:r>
            <w:r w:rsidR="00D33891" w:rsidRPr="00375BFD">
              <w:rPr>
                <w:lang w:val="fr-BE" w:eastAsia="en-GB"/>
              </w:rPr>
              <w:t>continu</w:t>
            </w:r>
            <w:r w:rsidR="0054463E" w:rsidRPr="00375BFD">
              <w:rPr>
                <w:lang w:val="fr-BE" w:eastAsia="en-GB"/>
              </w:rPr>
              <w:t xml:space="preserve"> </w:t>
            </w:r>
            <w:r w:rsidR="008D1532" w:rsidRPr="00375BFD">
              <w:rPr>
                <w:lang w:val="fr-BE" w:eastAsia="en-GB"/>
              </w:rPr>
              <w:t>et susceptible d’obtenir les réformes nécessaires  au</w:t>
            </w:r>
            <w:r w:rsidR="00A23F9E" w:rsidRPr="00375BFD">
              <w:rPr>
                <w:lang w:val="fr-BE" w:eastAsia="en-GB"/>
              </w:rPr>
              <w:t>x</w:t>
            </w:r>
            <w:r w:rsidR="008D1532" w:rsidRPr="00375BFD">
              <w:rPr>
                <w:lang w:val="fr-BE" w:eastAsia="en-GB"/>
              </w:rPr>
              <w:t xml:space="preserve"> populations</w:t>
            </w:r>
            <w:r w:rsidR="00936BD3" w:rsidRPr="00375BFD">
              <w:rPr>
                <w:lang w:val="fr-BE" w:eastAsia="en-GB"/>
              </w:rPr>
              <w:t> ?</w:t>
            </w:r>
          </w:p>
          <w:p w14:paraId="61ED4AC6" w14:textId="77777777" w:rsidR="00FE79E0" w:rsidRPr="00375BFD" w:rsidRDefault="00FE79E0" w:rsidP="006C3BC0">
            <w:pPr>
              <w:autoSpaceDE w:val="0"/>
              <w:autoSpaceDN w:val="0"/>
              <w:adjustRightInd w:val="0"/>
              <w:spacing w:after="0"/>
              <w:jc w:val="left"/>
              <w:rPr>
                <w:lang w:val="fr-BE" w:eastAsia="en-GB"/>
              </w:rPr>
            </w:pPr>
          </w:p>
          <w:p w14:paraId="5FE27D1A" w14:textId="43CD0FD5" w:rsidR="006C3BC0" w:rsidRPr="00375BFD" w:rsidRDefault="00FB2166" w:rsidP="00F57CD1">
            <w:pPr>
              <w:autoSpaceDE w:val="0"/>
              <w:autoSpaceDN w:val="0"/>
              <w:adjustRightInd w:val="0"/>
              <w:spacing w:after="0"/>
              <w:rPr>
                <w:lang w:val="fr-BE" w:eastAsia="en-GB"/>
              </w:rPr>
            </w:pPr>
            <w:r w:rsidRPr="00375BFD">
              <w:rPr>
                <w:lang w:val="fr-BE" w:eastAsia="en-GB"/>
              </w:rPr>
              <w:t>D</w:t>
            </w:r>
            <w:r w:rsidR="0054463E" w:rsidRPr="00375BFD">
              <w:rPr>
                <w:lang w:val="fr-BE" w:eastAsia="en-GB"/>
              </w:rPr>
              <w:t>ans quelle mesure la prop</w:t>
            </w:r>
            <w:r w:rsidRPr="00375BFD">
              <w:rPr>
                <w:lang w:val="fr-BE" w:eastAsia="en-GB"/>
              </w:rPr>
              <w:t>o</w:t>
            </w:r>
            <w:r w:rsidR="0054463E" w:rsidRPr="00375BFD">
              <w:rPr>
                <w:lang w:val="fr-BE" w:eastAsia="en-GB"/>
              </w:rPr>
              <w:t>s</w:t>
            </w:r>
            <w:r w:rsidRPr="00375BFD">
              <w:rPr>
                <w:lang w:val="fr-BE" w:eastAsia="en-GB"/>
              </w:rPr>
              <w:t>ition est-elle pertinente par rapport à l’objecti</w:t>
            </w:r>
            <w:r w:rsidR="008D1532" w:rsidRPr="00375BFD">
              <w:rPr>
                <w:lang w:val="fr-BE" w:eastAsia="en-GB"/>
              </w:rPr>
              <w:t>f</w:t>
            </w:r>
            <w:r w:rsidRPr="00375BFD">
              <w:rPr>
                <w:lang w:val="fr-BE" w:eastAsia="en-GB"/>
              </w:rPr>
              <w:t xml:space="preserve"> prévu dans le point 5.2 de l’AMI, </w:t>
            </w:r>
            <w:r w:rsidR="002E3EEE" w:rsidRPr="00375BFD">
              <w:rPr>
                <w:lang w:val="fr-BE" w:eastAsia="en-GB"/>
              </w:rPr>
              <w:t xml:space="preserve">plus particulièrement </w:t>
            </w:r>
            <w:r w:rsidR="00B17FF2" w:rsidRPr="00375BFD">
              <w:rPr>
                <w:lang w:val="fr-BE" w:eastAsia="en-GB"/>
              </w:rPr>
              <w:t>par rapport au</w:t>
            </w:r>
            <w:r w:rsidR="002E3EEE" w:rsidRPr="00375BFD">
              <w:rPr>
                <w:lang w:val="fr-BE" w:eastAsia="en-GB"/>
              </w:rPr>
              <w:t xml:space="preserve"> nombre d’actes de naissances </w:t>
            </w:r>
            <w:r w:rsidR="00B17FF2" w:rsidRPr="00375BFD">
              <w:rPr>
                <w:lang w:val="fr-BE" w:eastAsia="en-GB"/>
              </w:rPr>
              <w:t>qu’elle</w:t>
            </w:r>
            <w:r w:rsidR="002E3EEE" w:rsidRPr="00375BFD">
              <w:rPr>
                <w:lang w:val="fr-BE" w:eastAsia="en-GB"/>
              </w:rPr>
              <w:t xml:space="preserve"> estime délivrer avec les ressources disponibles</w:t>
            </w:r>
            <w:r w:rsidR="00936BD3" w:rsidRPr="00375BFD">
              <w:rPr>
                <w:lang w:val="fr-BE" w:eastAsia="en-GB"/>
              </w:rPr>
              <w:t> ?</w:t>
            </w:r>
            <w:r w:rsidR="002E3EEE" w:rsidRPr="00375BFD">
              <w:rPr>
                <w:lang w:val="fr-BE" w:eastAsia="en-GB"/>
              </w:rPr>
              <w:t xml:space="preserve">  </w:t>
            </w:r>
          </w:p>
          <w:p w14:paraId="4AC53E44" w14:textId="77777777" w:rsidR="00FE79E0" w:rsidRPr="00375BFD" w:rsidRDefault="00FE79E0" w:rsidP="006C3BC0">
            <w:pPr>
              <w:autoSpaceDE w:val="0"/>
              <w:autoSpaceDN w:val="0"/>
              <w:adjustRightInd w:val="0"/>
              <w:spacing w:after="0"/>
              <w:jc w:val="left"/>
              <w:rPr>
                <w:lang w:val="fr-BE" w:eastAsia="en-GB"/>
              </w:rPr>
            </w:pPr>
          </w:p>
          <w:p w14:paraId="09F56BA2" w14:textId="7FC2A7E4" w:rsidR="008B0351" w:rsidRPr="00375BFD" w:rsidRDefault="002E3EEE" w:rsidP="006C3BC0">
            <w:pPr>
              <w:autoSpaceDE w:val="0"/>
              <w:autoSpaceDN w:val="0"/>
              <w:adjustRightInd w:val="0"/>
              <w:spacing w:after="0"/>
              <w:jc w:val="left"/>
              <w:rPr>
                <w:lang w:val="fr-BE" w:eastAsia="en-GB"/>
              </w:rPr>
            </w:pPr>
            <w:r w:rsidRPr="00375BFD">
              <w:rPr>
                <w:lang w:val="fr-BE" w:eastAsia="en-GB"/>
              </w:rPr>
              <w:t>Dans quelle mesure la proposition es</w:t>
            </w:r>
            <w:r w:rsidR="008D1532" w:rsidRPr="00375BFD">
              <w:rPr>
                <w:lang w:val="fr-BE" w:eastAsia="en-GB"/>
              </w:rPr>
              <w:t>t</w:t>
            </w:r>
            <w:r w:rsidRPr="00375BFD">
              <w:rPr>
                <w:lang w:val="fr-BE" w:eastAsia="en-GB"/>
              </w:rPr>
              <w:t>-elle pertinente par rapport à l’objecti</w:t>
            </w:r>
            <w:r w:rsidR="008D1532" w:rsidRPr="00375BFD">
              <w:rPr>
                <w:lang w:val="fr-BE" w:eastAsia="en-GB"/>
              </w:rPr>
              <w:t>f</w:t>
            </w:r>
            <w:r w:rsidRPr="00375BFD">
              <w:rPr>
                <w:lang w:val="fr-BE" w:eastAsia="en-GB"/>
              </w:rPr>
              <w:t xml:space="preserve"> prévu dans le point 5.3 de l’AMI, </w:t>
            </w:r>
            <w:r w:rsidR="008B0351" w:rsidRPr="00375BFD">
              <w:rPr>
                <w:lang w:val="fr-BE" w:eastAsia="en-GB"/>
              </w:rPr>
              <w:t xml:space="preserve">plus particulièrement </w:t>
            </w:r>
            <w:r w:rsidR="00B17FF2" w:rsidRPr="00375BFD">
              <w:rPr>
                <w:lang w:val="fr-BE" w:eastAsia="en-GB"/>
              </w:rPr>
              <w:t>par rapport</w:t>
            </w:r>
            <w:r w:rsidR="008B0351" w:rsidRPr="00375BFD">
              <w:rPr>
                <w:lang w:val="fr-BE" w:eastAsia="en-GB"/>
              </w:rPr>
              <w:t xml:space="preserve"> </w:t>
            </w:r>
            <w:r w:rsidR="00DA5488" w:rsidRPr="00375BFD">
              <w:rPr>
                <w:lang w:val="fr-BE" w:eastAsia="en-GB"/>
              </w:rPr>
              <w:t xml:space="preserve">à la mise en valeur de l’action comme contribution </w:t>
            </w:r>
            <w:r w:rsidR="008B0351" w:rsidRPr="00375BFD">
              <w:rPr>
                <w:lang w:val="fr-BE" w:eastAsia="en-GB"/>
              </w:rPr>
              <w:t xml:space="preserve">à </w:t>
            </w:r>
            <w:r w:rsidR="00B17FF2" w:rsidRPr="00375BFD">
              <w:rPr>
                <w:lang w:val="fr-BE" w:eastAsia="en-GB"/>
              </w:rPr>
              <w:t xml:space="preserve">la </w:t>
            </w:r>
            <w:r w:rsidR="008B0351" w:rsidRPr="00375BFD">
              <w:rPr>
                <w:lang w:val="fr-BE" w:eastAsia="en-GB"/>
              </w:rPr>
              <w:t>reconstru</w:t>
            </w:r>
            <w:r w:rsidR="00B17FF2" w:rsidRPr="00375BFD">
              <w:rPr>
                <w:lang w:val="fr-BE" w:eastAsia="en-GB"/>
              </w:rPr>
              <w:t>ction</w:t>
            </w:r>
            <w:r w:rsidR="008B0351" w:rsidRPr="00375BFD">
              <w:rPr>
                <w:lang w:val="fr-BE" w:eastAsia="en-GB"/>
              </w:rPr>
              <w:t xml:space="preserve"> </w:t>
            </w:r>
            <w:r w:rsidR="00B17FF2" w:rsidRPr="00375BFD">
              <w:rPr>
                <w:lang w:val="fr-BE" w:eastAsia="en-GB"/>
              </w:rPr>
              <w:t>d’</w:t>
            </w:r>
            <w:r w:rsidR="008B0351" w:rsidRPr="00375BFD">
              <w:rPr>
                <w:lang w:val="fr-BE" w:eastAsia="en-GB"/>
              </w:rPr>
              <w:t>un état civil inclusif</w:t>
            </w:r>
            <w:r w:rsidR="00DA5488" w:rsidRPr="00375BFD">
              <w:rPr>
                <w:lang w:val="fr-BE" w:eastAsia="en-GB"/>
              </w:rPr>
              <w:t xml:space="preserve">, </w:t>
            </w:r>
            <w:r w:rsidR="008B0351" w:rsidRPr="00375BFD">
              <w:rPr>
                <w:lang w:val="fr-BE" w:eastAsia="en-GB"/>
              </w:rPr>
              <w:t xml:space="preserve">sans replis identitaires ou géographiques </w:t>
            </w:r>
            <w:r w:rsidR="00DA5488" w:rsidRPr="00375BFD">
              <w:rPr>
                <w:lang w:val="fr-BE" w:eastAsia="en-GB"/>
              </w:rPr>
              <w:t>en tant que dividende de la paix permis par l’Accord du 6 février</w:t>
            </w:r>
            <w:r w:rsidR="00936BD3" w:rsidRPr="00375BFD">
              <w:rPr>
                <w:lang w:val="fr-BE" w:eastAsia="en-GB"/>
              </w:rPr>
              <w:t> </w:t>
            </w:r>
            <w:r w:rsidR="00495384" w:rsidRPr="00375BFD">
              <w:rPr>
                <w:lang w:val="fr-BE" w:eastAsia="en-GB"/>
              </w:rPr>
              <w:t>2019</w:t>
            </w:r>
            <w:r w:rsidR="00936BD3" w:rsidRPr="00375BFD">
              <w:rPr>
                <w:lang w:val="fr-BE" w:eastAsia="en-GB"/>
              </w:rPr>
              <w:t>?</w:t>
            </w:r>
          </w:p>
          <w:p w14:paraId="3BC2D54B" w14:textId="77777777" w:rsidR="00FE79E0" w:rsidRPr="00375BFD" w:rsidRDefault="00FE79E0" w:rsidP="006C3BC0">
            <w:pPr>
              <w:autoSpaceDE w:val="0"/>
              <w:autoSpaceDN w:val="0"/>
              <w:adjustRightInd w:val="0"/>
              <w:spacing w:after="0"/>
              <w:jc w:val="left"/>
              <w:rPr>
                <w:lang w:val="fr-BE" w:eastAsia="en-GB"/>
              </w:rPr>
            </w:pPr>
          </w:p>
          <w:p w14:paraId="3C7D7251" w14:textId="18251068" w:rsidR="00FE79E0" w:rsidRPr="00375BFD" w:rsidRDefault="00FE79E0" w:rsidP="006C3BC0">
            <w:pPr>
              <w:autoSpaceDE w:val="0"/>
              <w:autoSpaceDN w:val="0"/>
              <w:adjustRightInd w:val="0"/>
              <w:spacing w:after="0"/>
              <w:jc w:val="left"/>
              <w:rPr>
                <w:lang w:val="fr-BE" w:eastAsia="en-GB"/>
              </w:rPr>
            </w:pPr>
            <w:r w:rsidRPr="00375BFD">
              <w:rPr>
                <w:lang w:val="fr-BE" w:eastAsia="en-GB"/>
              </w:rPr>
              <w:t>Dans quelle mesure la proposition est-elle pertinente par rapport aux besoins particuliers et aux contraintes du pays (en tenant compte de la synergie avec d'autres initiatives en matière de développement et de l'absence de double emploi)?</w:t>
            </w:r>
          </w:p>
          <w:p w14:paraId="19586C30" w14:textId="77777777" w:rsidR="00FE79E0" w:rsidRPr="00375BFD" w:rsidRDefault="00FE79E0" w:rsidP="006C3BC0">
            <w:pPr>
              <w:autoSpaceDE w:val="0"/>
              <w:autoSpaceDN w:val="0"/>
              <w:adjustRightInd w:val="0"/>
              <w:spacing w:after="0"/>
              <w:jc w:val="left"/>
              <w:rPr>
                <w:lang w:val="fr-BE" w:eastAsia="en-GB"/>
              </w:rPr>
            </w:pPr>
          </w:p>
          <w:p w14:paraId="7C9A5FEB" w14:textId="77777777" w:rsidR="006C3BC0" w:rsidRPr="00375BFD" w:rsidRDefault="006C3BC0" w:rsidP="00FE79E0">
            <w:pPr>
              <w:autoSpaceDE w:val="0"/>
              <w:autoSpaceDN w:val="0"/>
              <w:adjustRightInd w:val="0"/>
              <w:spacing w:after="0"/>
              <w:jc w:val="left"/>
              <w:rPr>
                <w:lang w:val="fr-BE" w:eastAsia="en-GB"/>
              </w:rPr>
            </w:pPr>
          </w:p>
        </w:tc>
        <w:tc>
          <w:tcPr>
            <w:tcW w:w="2268" w:type="dxa"/>
            <w:shd w:val="clear" w:color="auto" w:fill="auto"/>
          </w:tcPr>
          <w:p w14:paraId="22320735" w14:textId="77777777" w:rsidR="006C3BC0" w:rsidRDefault="006C3BC0" w:rsidP="00063246">
            <w:pPr>
              <w:spacing w:after="0"/>
              <w:rPr>
                <w:rFonts w:eastAsia="Calibri"/>
                <w:b/>
                <w:lang w:val="fr-BE" w:eastAsia="en-GB"/>
              </w:rPr>
            </w:pPr>
          </w:p>
          <w:p w14:paraId="04645FBF" w14:textId="77777777" w:rsidR="00B17FF2" w:rsidRPr="00F57CD1" w:rsidRDefault="00B17FF2" w:rsidP="00F57CD1">
            <w:pPr>
              <w:rPr>
                <w:rFonts w:eastAsia="Calibri"/>
                <w:lang w:val="fr-BE" w:eastAsia="en-GB"/>
              </w:rPr>
            </w:pPr>
          </w:p>
          <w:p w14:paraId="09205308" w14:textId="77777777" w:rsidR="00B17FF2" w:rsidRPr="00F57CD1" w:rsidRDefault="00B17FF2" w:rsidP="00F57CD1">
            <w:pPr>
              <w:rPr>
                <w:rFonts w:eastAsia="Calibri"/>
                <w:lang w:val="fr-BE" w:eastAsia="en-GB"/>
              </w:rPr>
            </w:pPr>
          </w:p>
          <w:p w14:paraId="72450DAB" w14:textId="77777777" w:rsidR="00B17FF2" w:rsidRPr="00F57CD1" w:rsidRDefault="00B17FF2" w:rsidP="00F57CD1">
            <w:pPr>
              <w:rPr>
                <w:rFonts w:eastAsia="Calibri"/>
                <w:lang w:val="fr-BE" w:eastAsia="en-GB"/>
              </w:rPr>
            </w:pPr>
          </w:p>
          <w:p w14:paraId="1A47102D" w14:textId="77777777" w:rsidR="00B17FF2" w:rsidRPr="00F57CD1" w:rsidRDefault="00B17FF2" w:rsidP="00F57CD1">
            <w:pPr>
              <w:rPr>
                <w:rFonts w:eastAsia="Calibri"/>
                <w:lang w:val="fr-BE" w:eastAsia="en-GB"/>
              </w:rPr>
            </w:pPr>
          </w:p>
          <w:p w14:paraId="5FF986A7" w14:textId="77777777" w:rsidR="00B17FF2" w:rsidRPr="00F57CD1" w:rsidRDefault="00B17FF2" w:rsidP="00F57CD1">
            <w:pPr>
              <w:rPr>
                <w:rFonts w:eastAsia="Calibri"/>
                <w:lang w:val="fr-BE" w:eastAsia="en-GB"/>
              </w:rPr>
            </w:pPr>
          </w:p>
          <w:p w14:paraId="28FA095A" w14:textId="77777777" w:rsidR="00B17FF2" w:rsidRDefault="00B17FF2" w:rsidP="00B17FF2">
            <w:pPr>
              <w:rPr>
                <w:rFonts w:eastAsia="Calibri"/>
                <w:b/>
                <w:lang w:val="fr-BE" w:eastAsia="en-GB"/>
              </w:rPr>
            </w:pPr>
          </w:p>
          <w:p w14:paraId="495EB315" w14:textId="02AFAFDB" w:rsidR="00B17FF2" w:rsidRPr="00F57CD1" w:rsidRDefault="00B17FF2" w:rsidP="00F57CD1">
            <w:pPr>
              <w:jc w:val="center"/>
              <w:rPr>
                <w:rFonts w:eastAsia="Calibri"/>
                <w:lang w:val="fr-BE" w:eastAsia="en-GB"/>
              </w:rPr>
            </w:pPr>
          </w:p>
        </w:tc>
        <w:tc>
          <w:tcPr>
            <w:tcW w:w="815" w:type="dxa"/>
            <w:shd w:val="clear" w:color="auto" w:fill="auto"/>
          </w:tcPr>
          <w:p w14:paraId="4744B735" w14:textId="77777777" w:rsidR="00431CEB" w:rsidRPr="00375BFD" w:rsidRDefault="00431CEB" w:rsidP="00A8230D">
            <w:pPr>
              <w:spacing w:after="0"/>
              <w:jc w:val="center"/>
              <w:rPr>
                <w:rFonts w:eastAsia="Calibri"/>
                <w:lang w:val="fr-BE" w:eastAsia="en-GB"/>
              </w:rPr>
            </w:pPr>
          </w:p>
          <w:p w14:paraId="3912F6BA" w14:textId="77777777" w:rsidR="009B7A72" w:rsidRPr="00375BFD" w:rsidRDefault="009B7A72" w:rsidP="00A8230D">
            <w:pPr>
              <w:spacing w:after="0"/>
              <w:jc w:val="center"/>
              <w:rPr>
                <w:rFonts w:eastAsia="Calibri"/>
                <w:lang w:val="fr-BE" w:eastAsia="en-GB"/>
              </w:rPr>
            </w:pPr>
          </w:p>
          <w:p w14:paraId="3150134C" w14:textId="77777777" w:rsidR="009B7A72" w:rsidRPr="00375BFD" w:rsidRDefault="009B7A72" w:rsidP="00A8230D">
            <w:pPr>
              <w:spacing w:after="0"/>
              <w:jc w:val="center"/>
              <w:rPr>
                <w:rFonts w:eastAsia="Calibri"/>
                <w:lang w:val="fr-BE" w:eastAsia="en-GB"/>
              </w:rPr>
            </w:pPr>
          </w:p>
          <w:p w14:paraId="3E27DBA0" w14:textId="1FE50DD3" w:rsidR="00BB6254" w:rsidRPr="00375BFD" w:rsidRDefault="00BB6254" w:rsidP="00A8230D">
            <w:pPr>
              <w:spacing w:after="0"/>
              <w:jc w:val="center"/>
              <w:rPr>
                <w:rFonts w:eastAsia="Calibri"/>
                <w:lang w:val="fr-BE" w:eastAsia="en-GB"/>
              </w:rPr>
            </w:pPr>
            <w:r w:rsidRPr="00375BFD">
              <w:rPr>
                <w:rFonts w:eastAsia="Calibri"/>
                <w:lang w:val="fr-BE" w:eastAsia="en-GB"/>
              </w:rPr>
              <w:t>10</w:t>
            </w:r>
          </w:p>
          <w:p w14:paraId="7572C296" w14:textId="511E92AD" w:rsidR="00431CEB" w:rsidRPr="00375BFD" w:rsidRDefault="00431CEB" w:rsidP="00A8230D">
            <w:pPr>
              <w:spacing w:after="0"/>
              <w:jc w:val="center"/>
              <w:rPr>
                <w:rFonts w:eastAsia="Calibri"/>
                <w:sz w:val="28"/>
                <w:szCs w:val="28"/>
                <w:lang w:val="fr-BE" w:eastAsia="en-GB"/>
              </w:rPr>
            </w:pPr>
          </w:p>
          <w:p w14:paraId="1CEDDA0E" w14:textId="784A40F1" w:rsidR="009B7A72" w:rsidRPr="00375BFD" w:rsidRDefault="009B7A72" w:rsidP="00A8230D">
            <w:pPr>
              <w:spacing w:after="0"/>
              <w:jc w:val="center"/>
              <w:rPr>
                <w:rFonts w:eastAsia="Calibri"/>
                <w:sz w:val="28"/>
                <w:szCs w:val="28"/>
                <w:lang w:val="fr-BE" w:eastAsia="en-GB"/>
              </w:rPr>
            </w:pPr>
          </w:p>
          <w:p w14:paraId="53AA44BA" w14:textId="54E4F5E1" w:rsidR="009B7A72" w:rsidRPr="00375BFD" w:rsidRDefault="009B7A72" w:rsidP="00A8230D">
            <w:pPr>
              <w:spacing w:after="0"/>
              <w:jc w:val="center"/>
              <w:rPr>
                <w:rFonts w:eastAsia="Calibri"/>
                <w:sz w:val="28"/>
                <w:szCs w:val="28"/>
                <w:lang w:val="fr-BE" w:eastAsia="en-GB"/>
              </w:rPr>
            </w:pPr>
          </w:p>
          <w:p w14:paraId="6EB98D41" w14:textId="4A977155" w:rsidR="009B7A72" w:rsidRPr="00375BFD" w:rsidRDefault="009B7A72" w:rsidP="00A8230D">
            <w:pPr>
              <w:spacing w:after="0"/>
              <w:jc w:val="center"/>
              <w:rPr>
                <w:rFonts w:eastAsia="Calibri"/>
                <w:sz w:val="28"/>
                <w:szCs w:val="28"/>
                <w:lang w:val="fr-BE" w:eastAsia="en-GB"/>
              </w:rPr>
            </w:pPr>
          </w:p>
          <w:p w14:paraId="2EE3A43E" w14:textId="77777777" w:rsidR="009B7A72" w:rsidRPr="00375BFD" w:rsidRDefault="009B7A72" w:rsidP="00A8230D">
            <w:pPr>
              <w:spacing w:after="0"/>
              <w:jc w:val="center"/>
              <w:rPr>
                <w:rFonts w:eastAsia="Calibri"/>
                <w:sz w:val="28"/>
                <w:szCs w:val="28"/>
                <w:lang w:val="fr-BE" w:eastAsia="en-GB"/>
              </w:rPr>
            </w:pPr>
          </w:p>
          <w:p w14:paraId="57ADF2D2" w14:textId="77777777" w:rsidR="00BB6254" w:rsidRPr="00375BFD" w:rsidRDefault="00BB6254" w:rsidP="00A8230D">
            <w:pPr>
              <w:spacing w:after="0"/>
              <w:jc w:val="center"/>
              <w:rPr>
                <w:rFonts w:eastAsia="Calibri"/>
                <w:lang w:val="fr-BE" w:eastAsia="en-GB"/>
              </w:rPr>
            </w:pPr>
            <w:r w:rsidRPr="00375BFD">
              <w:rPr>
                <w:rFonts w:eastAsia="Calibri"/>
                <w:lang w:val="fr-BE" w:eastAsia="en-GB"/>
              </w:rPr>
              <w:t>10</w:t>
            </w:r>
          </w:p>
          <w:p w14:paraId="62B96B72" w14:textId="25EBD745" w:rsidR="00FE79E0" w:rsidRPr="00375BFD" w:rsidRDefault="00FE79E0" w:rsidP="00A8230D">
            <w:pPr>
              <w:spacing w:after="0"/>
              <w:jc w:val="center"/>
              <w:rPr>
                <w:rFonts w:eastAsia="Calibri"/>
                <w:lang w:val="fr-BE" w:eastAsia="en-GB"/>
              </w:rPr>
            </w:pPr>
          </w:p>
          <w:p w14:paraId="63AE28B0" w14:textId="279C528E" w:rsidR="009B7A72" w:rsidRPr="00375BFD" w:rsidRDefault="009B7A72" w:rsidP="00A8230D">
            <w:pPr>
              <w:spacing w:after="0"/>
              <w:jc w:val="center"/>
              <w:rPr>
                <w:rFonts w:eastAsia="Calibri"/>
                <w:lang w:val="fr-BE" w:eastAsia="en-GB"/>
              </w:rPr>
            </w:pPr>
          </w:p>
          <w:p w14:paraId="3317EAC0" w14:textId="156110CA" w:rsidR="009B7A72" w:rsidRPr="00375BFD" w:rsidRDefault="009B7A72" w:rsidP="00A8230D">
            <w:pPr>
              <w:spacing w:after="0"/>
              <w:jc w:val="center"/>
              <w:rPr>
                <w:rFonts w:eastAsia="Calibri"/>
                <w:lang w:val="fr-BE" w:eastAsia="en-GB"/>
              </w:rPr>
            </w:pPr>
          </w:p>
          <w:p w14:paraId="4959DCCB" w14:textId="77777777" w:rsidR="009B7A72" w:rsidRPr="00375BFD" w:rsidRDefault="009B7A72" w:rsidP="00A8230D">
            <w:pPr>
              <w:spacing w:after="0"/>
              <w:jc w:val="center"/>
              <w:rPr>
                <w:rFonts w:eastAsia="Calibri"/>
                <w:lang w:val="fr-BE" w:eastAsia="en-GB"/>
              </w:rPr>
            </w:pPr>
          </w:p>
          <w:p w14:paraId="1740826D" w14:textId="77777777" w:rsidR="00431CEB" w:rsidRPr="00375BFD" w:rsidRDefault="00431CEB" w:rsidP="00A8230D">
            <w:pPr>
              <w:spacing w:after="0"/>
              <w:jc w:val="center"/>
              <w:rPr>
                <w:rFonts w:eastAsia="Calibri"/>
                <w:lang w:val="fr-BE" w:eastAsia="en-GB"/>
              </w:rPr>
            </w:pPr>
          </w:p>
          <w:p w14:paraId="7E5BF12B" w14:textId="3E3DE3B2" w:rsidR="00FE79E0" w:rsidRPr="00375BFD" w:rsidRDefault="00FE79E0" w:rsidP="00A8230D">
            <w:pPr>
              <w:spacing w:after="0"/>
              <w:jc w:val="center"/>
              <w:rPr>
                <w:rFonts w:eastAsia="Calibri"/>
                <w:lang w:val="fr-BE" w:eastAsia="en-GB"/>
              </w:rPr>
            </w:pPr>
            <w:r w:rsidRPr="00375BFD">
              <w:rPr>
                <w:rFonts w:eastAsia="Calibri"/>
                <w:lang w:val="fr-BE" w:eastAsia="en-GB"/>
              </w:rPr>
              <w:t>10</w:t>
            </w:r>
          </w:p>
          <w:p w14:paraId="7A0E6091" w14:textId="63E2F354" w:rsidR="0080118B" w:rsidRPr="00375BFD" w:rsidRDefault="0080118B" w:rsidP="00A8230D">
            <w:pPr>
              <w:spacing w:after="0"/>
              <w:jc w:val="center"/>
              <w:rPr>
                <w:rFonts w:eastAsia="Calibri"/>
                <w:lang w:val="fr-BE" w:eastAsia="en-GB"/>
              </w:rPr>
            </w:pPr>
          </w:p>
          <w:p w14:paraId="149DD807" w14:textId="7AA64E25" w:rsidR="009B7A72" w:rsidRPr="00375BFD" w:rsidRDefault="009B7A72" w:rsidP="00A8230D">
            <w:pPr>
              <w:spacing w:after="0"/>
              <w:jc w:val="center"/>
              <w:rPr>
                <w:rFonts w:eastAsia="Calibri"/>
                <w:lang w:val="fr-BE" w:eastAsia="en-GB"/>
              </w:rPr>
            </w:pPr>
          </w:p>
          <w:p w14:paraId="5910EDA2" w14:textId="1F3FBB78" w:rsidR="009B7A72" w:rsidRPr="00375BFD" w:rsidRDefault="009B7A72" w:rsidP="00A8230D">
            <w:pPr>
              <w:spacing w:after="0"/>
              <w:jc w:val="center"/>
              <w:rPr>
                <w:rFonts w:eastAsia="Calibri"/>
                <w:lang w:val="fr-BE" w:eastAsia="en-GB"/>
              </w:rPr>
            </w:pPr>
          </w:p>
          <w:p w14:paraId="6B079E38" w14:textId="77777777" w:rsidR="009B7A72" w:rsidRPr="00375BFD" w:rsidRDefault="009B7A72" w:rsidP="00A8230D">
            <w:pPr>
              <w:spacing w:after="0"/>
              <w:jc w:val="center"/>
              <w:rPr>
                <w:rFonts w:eastAsia="Calibri"/>
                <w:lang w:val="fr-BE" w:eastAsia="en-GB"/>
              </w:rPr>
            </w:pPr>
          </w:p>
          <w:p w14:paraId="36DB3BF5" w14:textId="77777777" w:rsidR="00FE79E0" w:rsidRPr="00375BFD" w:rsidRDefault="00FE79E0" w:rsidP="00A8230D">
            <w:pPr>
              <w:spacing w:after="0"/>
              <w:jc w:val="center"/>
              <w:rPr>
                <w:rFonts w:eastAsia="Calibri"/>
                <w:lang w:val="fr-BE" w:eastAsia="en-GB"/>
              </w:rPr>
            </w:pPr>
          </w:p>
          <w:p w14:paraId="1398095D" w14:textId="762D3AC5" w:rsidR="00FE79E0" w:rsidRPr="00375BFD" w:rsidRDefault="00FE79E0" w:rsidP="00A8230D">
            <w:pPr>
              <w:spacing w:after="0"/>
              <w:jc w:val="center"/>
              <w:rPr>
                <w:rFonts w:eastAsia="Calibri"/>
                <w:lang w:val="fr-BE" w:eastAsia="en-GB"/>
              </w:rPr>
            </w:pPr>
            <w:r w:rsidRPr="00375BFD">
              <w:rPr>
                <w:rFonts w:eastAsia="Calibri"/>
                <w:lang w:val="fr-BE" w:eastAsia="en-GB"/>
              </w:rPr>
              <w:t>10</w:t>
            </w:r>
          </w:p>
          <w:p w14:paraId="5108F815" w14:textId="252EF014" w:rsidR="00FE79E0" w:rsidRPr="00375BFD" w:rsidRDefault="00FE79E0" w:rsidP="00A8230D">
            <w:pPr>
              <w:spacing w:after="0"/>
              <w:jc w:val="center"/>
              <w:rPr>
                <w:rFonts w:eastAsia="Calibri"/>
                <w:lang w:val="fr-BE" w:eastAsia="en-GB"/>
              </w:rPr>
            </w:pPr>
          </w:p>
        </w:tc>
      </w:tr>
      <w:tr w:rsidR="0063435E" w:rsidRPr="00CB6495" w14:paraId="072E6F64" w14:textId="77777777" w:rsidTr="00A8230D">
        <w:trPr>
          <w:trHeight w:val="659"/>
        </w:trPr>
        <w:tc>
          <w:tcPr>
            <w:tcW w:w="6487" w:type="dxa"/>
            <w:shd w:val="clear" w:color="auto" w:fill="D9D9D9" w:themeFill="background1" w:themeFillShade="D9"/>
            <w:vAlign w:val="center"/>
          </w:tcPr>
          <w:p w14:paraId="755A3705" w14:textId="43A1E9F3" w:rsidR="00C4510A" w:rsidRPr="00CB6495" w:rsidRDefault="006C3BC0" w:rsidP="00063246">
            <w:pPr>
              <w:autoSpaceDE w:val="0"/>
              <w:autoSpaceDN w:val="0"/>
              <w:adjustRightInd w:val="0"/>
              <w:spacing w:after="0"/>
              <w:jc w:val="left"/>
              <w:rPr>
                <w:b/>
                <w:bCs/>
                <w:lang w:val="fr-BE" w:eastAsia="en-GB"/>
              </w:rPr>
            </w:pPr>
            <w:r w:rsidRPr="00CB6495">
              <w:rPr>
                <w:b/>
                <w:bCs/>
                <w:lang w:val="fr-BE" w:eastAsia="en-GB"/>
              </w:rPr>
              <w:lastRenderedPageBreak/>
              <w:t>3</w:t>
            </w:r>
            <w:r w:rsidR="0063435E" w:rsidRPr="00CB6495">
              <w:rPr>
                <w:b/>
                <w:bCs/>
                <w:lang w:val="fr-BE" w:eastAsia="en-GB"/>
              </w:rPr>
              <w:t>. Conception de l'action</w:t>
            </w:r>
          </w:p>
        </w:tc>
        <w:tc>
          <w:tcPr>
            <w:tcW w:w="2268" w:type="dxa"/>
            <w:shd w:val="clear" w:color="auto" w:fill="D9D9D9" w:themeFill="background1" w:themeFillShade="D9"/>
            <w:vAlign w:val="center"/>
          </w:tcPr>
          <w:p w14:paraId="20FDA1C5" w14:textId="77777777" w:rsidR="0063435E" w:rsidRPr="00CB6495" w:rsidRDefault="0063435E" w:rsidP="00063246">
            <w:pPr>
              <w:spacing w:after="0"/>
              <w:rPr>
                <w:rFonts w:eastAsia="Calibri"/>
                <w:b/>
                <w:lang w:val="fr-BE" w:eastAsia="en-GB"/>
              </w:rPr>
            </w:pPr>
          </w:p>
        </w:tc>
        <w:tc>
          <w:tcPr>
            <w:tcW w:w="815" w:type="dxa"/>
            <w:shd w:val="clear" w:color="auto" w:fill="D9D9D9" w:themeFill="background1" w:themeFillShade="D9"/>
            <w:vAlign w:val="center"/>
          </w:tcPr>
          <w:p w14:paraId="3D33CC39" w14:textId="0C972132" w:rsidR="0063435E" w:rsidRPr="00CB6495" w:rsidRDefault="00F257AA" w:rsidP="00A8230D">
            <w:pPr>
              <w:spacing w:after="0"/>
              <w:jc w:val="center"/>
              <w:rPr>
                <w:rFonts w:eastAsia="Calibri"/>
                <w:b/>
                <w:lang w:val="fr-BE" w:eastAsia="en-GB"/>
              </w:rPr>
            </w:pPr>
            <w:r w:rsidRPr="00CB6495">
              <w:rPr>
                <w:rFonts w:eastAsia="Calibri"/>
                <w:b/>
                <w:lang w:val="fr-BE" w:eastAsia="en-GB"/>
              </w:rPr>
              <w:t>30</w:t>
            </w:r>
          </w:p>
        </w:tc>
      </w:tr>
      <w:tr w:rsidR="0063435E" w:rsidRPr="00CB6495" w14:paraId="4D739541" w14:textId="77777777" w:rsidTr="00B94F83">
        <w:tc>
          <w:tcPr>
            <w:tcW w:w="6487" w:type="dxa"/>
            <w:shd w:val="clear" w:color="auto" w:fill="auto"/>
          </w:tcPr>
          <w:p w14:paraId="1B740A26" w14:textId="77777777" w:rsidR="00C4510A" w:rsidRPr="00CB6495" w:rsidRDefault="00C4510A" w:rsidP="00063246">
            <w:pPr>
              <w:autoSpaceDE w:val="0"/>
              <w:autoSpaceDN w:val="0"/>
              <w:adjustRightInd w:val="0"/>
              <w:spacing w:after="0"/>
              <w:jc w:val="left"/>
              <w:rPr>
                <w:lang w:val="fr-BE" w:eastAsia="en-GB"/>
              </w:rPr>
            </w:pPr>
          </w:p>
          <w:p w14:paraId="4DB61DD5" w14:textId="7BE06A09" w:rsidR="0063435E" w:rsidRPr="00CB6495" w:rsidRDefault="0063435E" w:rsidP="008B44FF">
            <w:pPr>
              <w:autoSpaceDE w:val="0"/>
              <w:autoSpaceDN w:val="0"/>
              <w:adjustRightInd w:val="0"/>
              <w:spacing w:after="0"/>
              <w:rPr>
                <w:lang w:val="fr-BE" w:eastAsia="en-GB"/>
              </w:rPr>
            </w:pPr>
            <w:r w:rsidRPr="00CB6495">
              <w:rPr>
                <w:lang w:val="fr-BE" w:eastAsia="en-GB"/>
              </w:rPr>
              <w:t>Cohérence de la conception générale de l'action.</w:t>
            </w:r>
            <w:r w:rsidR="008B44FF" w:rsidRPr="00CB6495">
              <w:rPr>
                <w:lang w:val="fr-BE" w:eastAsia="en-GB"/>
              </w:rPr>
              <w:t xml:space="preserve"> La proposition indique-t-elle les résultats que l’action devrait permettre d’atteindre? La logique d’intervention explique-t-elle le bien-fondé des résultats attendus?</w:t>
            </w:r>
          </w:p>
          <w:p w14:paraId="5EA35FE6" w14:textId="77777777" w:rsidR="00C4510A" w:rsidRPr="00CB6495" w:rsidRDefault="00C4510A" w:rsidP="00063246">
            <w:pPr>
              <w:autoSpaceDE w:val="0"/>
              <w:autoSpaceDN w:val="0"/>
              <w:adjustRightInd w:val="0"/>
              <w:spacing w:after="0"/>
              <w:jc w:val="left"/>
              <w:rPr>
                <w:lang w:val="fr-BE" w:eastAsia="en-GB"/>
              </w:rPr>
            </w:pPr>
          </w:p>
          <w:p w14:paraId="66FB728B" w14:textId="762D866A" w:rsidR="00C4510A" w:rsidRPr="00CB6495" w:rsidRDefault="008B44FF" w:rsidP="008B44FF">
            <w:pPr>
              <w:autoSpaceDE w:val="0"/>
              <w:autoSpaceDN w:val="0"/>
              <w:adjustRightInd w:val="0"/>
              <w:spacing w:after="0"/>
              <w:rPr>
                <w:lang w:val="fr-BE" w:eastAsia="en-GB"/>
              </w:rPr>
            </w:pPr>
            <w:r w:rsidRPr="00CB6495">
              <w:rPr>
                <w:lang w:val="fr-BE" w:eastAsia="en-GB"/>
              </w:rPr>
              <w:t>La conception reflète-t-elle une analyse solide des problèmes existants, ainsi que des capacités des parties prenantes concernées?</w:t>
            </w:r>
          </w:p>
          <w:p w14:paraId="6E33BFB2" w14:textId="77777777" w:rsidR="00CE312C" w:rsidRPr="00CB6495" w:rsidRDefault="00CE312C" w:rsidP="00063246">
            <w:pPr>
              <w:autoSpaceDE w:val="0"/>
              <w:autoSpaceDN w:val="0"/>
              <w:adjustRightInd w:val="0"/>
              <w:spacing w:after="0"/>
              <w:jc w:val="left"/>
              <w:rPr>
                <w:lang w:val="fr-BE" w:eastAsia="en-GB"/>
              </w:rPr>
            </w:pPr>
          </w:p>
          <w:p w14:paraId="5D13B259" w14:textId="288D0CDB" w:rsidR="00FE79E0" w:rsidRPr="00CB6495" w:rsidRDefault="008B44FF" w:rsidP="00063246">
            <w:pPr>
              <w:autoSpaceDE w:val="0"/>
              <w:autoSpaceDN w:val="0"/>
              <w:adjustRightInd w:val="0"/>
              <w:spacing w:after="0"/>
              <w:jc w:val="left"/>
              <w:rPr>
                <w:lang w:val="fr-BE" w:eastAsia="en-GB"/>
              </w:rPr>
            </w:pPr>
            <w:r w:rsidRPr="00CB6495">
              <w:rPr>
                <w:lang w:val="fr-BE" w:eastAsia="en-GB"/>
              </w:rPr>
              <w:t>La conception tient-elle compte de facteurs externes (risques et hypothèses)?</w:t>
            </w:r>
          </w:p>
          <w:p w14:paraId="46330320" w14:textId="77777777" w:rsidR="008B44FF" w:rsidRPr="00CB6495" w:rsidRDefault="008B44FF" w:rsidP="00063246">
            <w:pPr>
              <w:autoSpaceDE w:val="0"/>
              <w:autoSpaceDN w:val="0"/>
              <w:adjustRightInd w:val="0"/>
              <w:spacing w:after="0"/>
              <w:jc w:val="left"/>
              <w:rPr>
                <w:lang w:val="fr-BE" w:eastAsia="en-GB"/>
              </w:rPr>
            </w:pPr>
          </w:p>
          <w:p w14:paraId="48EC49DA" w14:textId="2F2301F8" w:rsidR="00C4510A" w:rsidRPr="00CB6495" w:rsidRDefault="008B44FF" w:rsidP="00CA7928">
            <w:pPr>
              <w:autoSpaceDE w:val="0"/>
              <w:autoSpaceDN w:val="0"/>
              <w:adjustRightInd w:val="0"/>
              <w:spacing w:after="0"/>
              <w:rPr>
                <w:rFonts w:eastAsia="Calibri"/>
                <w:b/>
                <w:lang w:val="fr-BE" w:eastAsia="en-GB"/>
              </w:rPr>
            </w:pPr>
            <w:r w:rsidRPr="00CB6495">
              <w:rPr>
                <w:lang w:val="fr-BE" w:eastAsia="en-GB"/>
              </w:rPr>
              <w:t>Dans quelle mesure la proposition tient-elle compte de questions transversales pertinentes, telles que les questions environnementales</w:t>
            </w:r>
            <w:r w:rsidR="00A8230D">
              <w:rPr>
                <w:lang w:val="fr-BE" w:eastAsia="en-GB"/>
              </w:rPr>
              <w:t xml:space="preserve">, </w:t>
            </w:r>
            <w:r w:rsidRPr="00CB6495">
              <w:rPr>
                <w:lang w:val="fr-BE" w:eastAsia="en-GB"/>
              </w:rPr>
              <w:t>la promotion de l'égalité hommes/femmes et de l'égalité des chances, les besoins des personnes handicapées, les droits des minorités et les droits des populations autochtones, la jeunesse</w:t>
            </w:r>
            <w:r w:rsidR="00B14955">
              <w:rPr>
                <w:lang w:val="fr-BE" w:eastAsia="en-GB"/>
              </w:rPr>
              <w:t>, la sensibilité au conflit</w:t>
            </w:r>
            <w:r w:rsidR="00235584">
              <w:rPr>
                <w:lang w:val="fr-BE" w:eastAsia="en-GB"/>
              </w:rPr>
              <w:t>?</w:t>
            </w:r>
          </w:p>
        </w:tc>
        <w:tc>
          <w:tcPr>
            <w:tcW w:w="2268" w:type="dxa"/>
            <w:shd w:val="clear" w:color="auto" w:fill="auto"/>
          </w:tcPr>
          <w:p w14:paraId="2BDA0DEF" w14:textId="77777777" w:rsidR="0063435E" w:rsidRPr="00CB6495" w:rsidRDefault="0063435E" w:rsidP="00063246">
            <w:pPr>
              <w:spacing w:after="0"/>
              <w:rPr>
                <w:rFonts w:eastAsia="Calibri"/>
                <w:b/>
                <w:lang w:val="fr-BE" w:eastAsia="en-GB"/>
              </w:rPr>
            </w:pPr>
          </w:p>
        </w:tc>
        <w:tc>
          <w:tcPr>
            <w:tcW w:w="815" w:type="dxa"/>
            <w:shd w:val="clear" w:color="auto" w:fill="auto"/>
          </w:tcPr>
          <w:p w14:paraId="4DBA9070" w14:textId="77777777" w:rsidR="0063435E" w:rsidRPr="00375BFD" w:rsidRDefault="0063435E" w:rsidP="00A8230D">
            <w:pPr>
              <w:spacing w:after="0"/>
              <w:jc w:val="center"/>
              <w:rPr>
                <w:rFonts w:eastAsia="Calibri"/>
                <w:lang w:val="fr-BE" w:eastAsia="en-GB"/>
              </w:rPr>
            </w:pPr>
          </w:p>
          <w:p w14:paraId="0E405C47" w14:textId="77777777" w:rsidR="006360D9" w:rsidRPr="00375BFD" w:rsidRDefault="006360D9" w:rsidP="00A8230D">
            <w:pPr>
              <w:spacing w:after="0"/>
              <w:jc w:val="center"/>
              <w:rPr>
                <w:rFonts w:eastAsia="Calibri"/>
                <w:lang w:val="fr-BE" w:eastAsia="en-GB"/>
              </w:rPr>
            </w:pPr>
            <w:r w:rsidRPr="00375BFD">
              <w:rPr>
                <w:rFonts w:eastAsia="Calibri"/>
                <w:lang w:val="fr-BE" w:eastAsia="en-GB"/>
              </w:rPr>
              <w:t>10</w:t>
            </w:r>
          </w:p>
          <w:p w14:paraId="5620DA92" w14:textId="77777777" w:rsidR="006360D9" w:rsidRPr="00375BFD" w:rsidRDefault="006360D9" w:rsidP="00A8230D">
            <w:pPr>
              <w:spacing w:after="0"/>
              <w:jc w:val="center"/>
              <w:rPr>
                <w:rFonts w:eastAsia="Calibri"/>
                <w:lang w:val="fr-BE" w:eastAsia="en-GB"/>
              </w:rPr>
            </w:pPr>
          </w:p>
          <w:p w14:paraId="4CF36302" w14:textId="77777777" w:rsidR="006360D9" w:rsidRPr="00375BFD" w:rsidRDefault="006360D9" w:rsidP="00A8230D">
            <w:pPr>
              <w:spacing w:after="0"/>
              <w:jc w:val="center"/>
              <w:rPr>
                <w:rFonts w:eastAsia="Calibri"/>
                <w:lang w:val="fr-BE" w:eastAsia="en-GB"/>
              </w:rPr>
            </w:pPr>
          </w:p>
          <w:p w14:paraId="302A20CA" w14:textId="77777777" w:rsidR="006360D9" w:rsidRPr="00375BFD" w:rsidRDefault="006360D9" w:rsidP="00A8230D">
            <w:pPr>
              <w:spacing w:after="0"/>
              <w:jc w:val="center"/>
              <w:rPr>
                <w:rFonts w:eastAsia="Calibri"/>
                <w:lang w:val="fr-BE" w:eastAsia="en-GB"/>
              </w:rPr>
            </w:pPr>
          </w:p>
          <w:p w14:paraId="4B8A85D8" w14:textId="77777777" w:rsidR="008B44FF" w:rsidRPr="00375BFD" w:rsidRDefault="008B44FF" w:rsidP="00A8230D">
            <w:pPr>
              <w:spacing w:after="0"/>
              <w:jc w:val="center"/>
              <w:rPr>
                <w:rFonts w:eastAsia="Calibri"/>
                <w:lang w:val="fr-BE" w:eastAsia="en-GB"/>
              </w:rPr>
            </w:pPr>
          </w:p>
          <w:p w14:paraId="5B38AFC9" w14:textId="28BC9A06" w:rsidR="006360D9" w:rsidRPr="00375BFD" w:rsidRDefault="006360D9" w:rsidP="00A8230D">
            <w:pPr>
              <w:spacing w:after="0"/>
              <w:jc w:val="center"/>
              <w:rPr>
                <w:rFonts w:eastAsia="Calibri"/>
                <w:lang w:val="fr-BE" w:eastAsia="en-GB"/>
              </w:rPr>
            </w:pPr>
            <w:r w:rsidRPr="00375BFD">
              <w:rPr>
                <w:rFonts w:eastAsia="Calibri"/>
                <w:lang w:val="fr-BE" w:eastAsia="en-GB"/>
              </w:rPr>
              <w:t>10</w:t>
            </w:r>
          </w:p>
          <w:p w14:paraId="2E0BCD19" w14:textId="77777777" w:rsidR="006360D9" w:rsidRPr="00375BFD" w:rsidRDefault="006360D9" w:rsidP="00A8230D">
            <w:pPr>
              <w:spacing w:after="0"/>
              <w:jc w:val="center"/>
              <w:rPr>
                <w:rFonts w:eastAsia="Calibri"/>
                <w:lang w:val="fr-BE" w:eastAsia="en-GB"/>
              </w:rPr>
            </w:pPr>
          </w:p>
          <w:p w14:paraId="15C81632" w14:textId="77777777" w:rsidR="008B44FF" w:rsidRPr="00375BFD" w:rsidRDefault="008B44FF" w:rsidP="00A8230D">
            <w:pPr>
              <w:spacing w:after="0"/>
              <w:jc w:val="center"/>
              <w:rPr>
                <w:rFonts w:eastAsia="Calibri"/>
                <w:lang w:val="fr-BE" w:eastAsia="en-GB"/>
              </w:rPr>
            </w:pPr>
          </w:p>
          <w:p w14:paraId="38083509" w14:textId="77777777" w:rsidR="008B44FF" w:rsidRPr="00375BFD" w:rsidRDefault="008B44FF" w:rsidP="00A8230D">
            <w:pPr>
              <w:spacing w:after="0"/>
              <w:jc w:val="center"/>
              <w:rPr>
                <w:rFonts w:eastAsia="Calibri"/>
                <w:lang w:val="fr-BE" w:eastAsia="en-GB"/>
              </w:rPr>
            </w:pPr>
          </w:p>
          <w:p w14:paraId="4AF660FB" w14:textId="74242938" w:rsidR="008B44FF" w:rsidRPr="00375BFD" w:rsidRDefault="008B44FF" w:rsidP="00A8230D">
            <w:pPr>
              <w:spacing w:after="0"/>
              <w:jc w:val="center"/>
              <w:rPr>
                <w:rFonts w:eastAsia="Calibri"/>
                <w:lang w:val="fr-BE" w:eastAsia="en-GB"/>
              </w:rPr>
            </w:pPr>
            <w:r w:rsidRPr="00375BFD">
              <w:rPr>
                <w:rFonts w:eastAsia="Calibri"/>
                <w:lang w:val="fr-BE" w:eastAsia="en-GB"/>
              </w:rPr>
              <w:t>5</w:t>
            </w:r>
          </w:p>
          <w:p w14:paraId="68F357B2" w14:textId="14CD61DC" w:rsidR="008B44FF" w:rsidRPr="00375BFD" w:rsidRDefault="008B44FF" w:rsidP="00A8230D">
            <w:pPr>
              <w:spacing w:after="0"/>
              <w:jc w:val="center"/>
              <w:rPr>
                <w:rFonts w:eastAsia="Calibri"/>
                <w:lang w:val="fr-BE" w:eastAsia="en-GB"/>
              </w:rPr>
            </w:pPr>
          </w:p>
          <w:p w14:paraId="262FE687" w14:textId="62FD0F18" w:rsidR="00B14955" w:rsidRPr="00375BFD" w:rsidRDefault="00B14955" w:rsidP="00A8230D">
            <w:pPr>
              <w:spacing w:after="0"/>
              <w:jc w:val="center"/>
              <w:rPr>
                <w:rFonts w:eastAsia="Calibri"/>
                <w:lang w:val="fr-BE" w:eastAsia="en-GB"/>
              </w:rPr>
            </w:pPr>
          </w:p>
          <w:p w14:paraId="21390A33" w14:textId="77777777" w:rsidR="009B7A72" w:rsidRPr="00375BFD" w:rsidRDefault="009B7A72" w:rsidP="00A8230D">
            <w:pPr>
              <w:spacing w:after="0"/>
              <w:jc w:val="center"/>
              <w:rPr>
                <w:rFonts w:eastAsia="Calibri"/>
                <w:lang w:val="fr-BE" w:eastAsia="en-GB"/>
              </w:rPr>
            </w:pPr>
          </w:p>
          <w:p w14:paraId="67554637" w14:textId="666956EA" w:rsidR="008B44FF" w:rsidRPr="00375BFD" w:rsidRDefault="008B44FF" w:rsidP="00A8230D">
            <w:pPr>
              <w:spacing w:after="0"/>
              <w:jc w:val="center"/>
              <w:rPr>
                <w:rFonts w:eastAsia="Calibri"/>
                <w:lang w:val="fr-BE" w:eastAsia="en-GB"/>
              </w:rPr>
            </w:pPr>
            <w:r w:rsidRPr="00375BFD">
              <w:rPr>
                <w:rFonts w:eastAsia="Calibri"/>
                <w:lang w:val="fr-BE" w:eastAsia="en-GB"/>
              </w:rPr>
              <w:t>5</w:t>
            </w:r>
          </w:p>
        </w:tc>
      </w:tr>
      <w:tr w:rsidR="0063435E" w:rsidRPr="00CB6495" w14:paraId="7F295B27" w14:textId="77777777" w:rsidTr="00B94F83">
        <w:tc>
          <w:tcPr>
            <w:tcW w:w="6487" w:type="dxa"/>
            <w:shd w:val="clear" w:color="auto" w:fill="auto"/>
          </w:tcPr>
          <w:p w14:paraId="6631C051" w14:textId="26BD730C" w:rsidR="0063435E" w:rsidRPr="00CB6495" w:rsidRDefault="0063435E" w:rsidP="00063246">
            <w:pPr>
              <w:autoSpaceDE w:val="0"/>
              <w:autoSpaceDN w:val="0"/>
              <w:adjustRightInd w:val="0"/>
              <w:spacing w:after="0"/>
              <w:jc w:val="left"/>
              <w:rPr>
                <w:b/>
                <w:bCs/>
                <w:lang w:val="fr-BE" w:eastAsia="en-GB"/>
              </w:rPr>
            </w:pPr>
          </w:p>
        </w:tc>
        <w:tc>
          <w:tcPr>
            <w:tcW w:w="2268" w:type="dxa"/>
            <w:shd w:val="clear" w:color="auto" w:fill="auto"/>
          </w:tcPr>
          <w:p w14:paraId="1DABDE3C" w14:textId="77777777" w:rsidR="0063435E" w:rsidRPr="00CB6495" w:rsidRDefault="0063435E" w:rsidP="00063246">
            <w:pPr>
              <w:spacing w:after="0"/>
              <w:rPr>
                <w:rFonts w:eastAsia="Calibri"/>
                <w:b/>
                <w:lang w:val="fr-BE" w:eastAsia="en-GB"/>
              </w:rPr>
            </w:pPr>
          </w:p>
        </w:tc>
        <w:tc>
          <w:tcPr>
            <w:tcW w:w="815" w:type="dxa"/>
            <w:shd w:val="clear" w:color="auto" w:fill="auto"/>
          </w:tcPr>
          <w:p w14:paraId="65797278" w14:textId="1CE13E87" w:rsidR="0063435E" w:rsidRPr="00CB6495" w:rsidRDefault="0063435E" w:rsidP="00A8230D">
            <w:pPr>
              <w:spacing w:after="0"/>
              <w:jc w:val="center"/>
              <w:rPr>
                <w:rFonts w:eastAsia="Calibri"/>
                <w:b/>
                <w:lang w:val="fr-BE" w:eastAsia="en-GB"/>
              </w:rPr>
            </w:pPr>
          </w:p>
        </w:tc>
      </w:tr>
      <w:tr w:rsidR="0063435E" w:rsidRPr="00CB6495" w14:paraId="226E2CD3" w14:textId="77777777" w:rsidTr="00A8230D">
        <w:trPr>
          <w:trHeight w:val="505"/>
        </w:trPr>
        <w:tc>
          <w:tcPr>
            <w:tcW w:w="6487" w:type="dxa"/>
            <w:shd w:val="clear" w:color="auto" w:fill="D9D9D9" w:themeFill="background1" w:themeFillShade="D9"/>
            <w:vAlign w:val="center"/>
          </w:tcPr>
          <w:p w14:paraId="5D9D308A" w14:textId="14BCF077" w:rsidR="0063435E" w:rsidRPr="00CB6495" w:rsidRDefault="00F257AA" w:rsidP="00063246">
            <w:pPr>
              <w:spacing w:after="0"/>
              <w:rPr>
                <w:rFonts w:eastAsia="Calibri"/>
                <w:b/>
                <w:lang w:val="fr-BE" w:eastAsia="en-GB"/>
              </w:rPr>
            </w:pPr>
            <w:r w:rsidRPr="00CB6495">
              <w:rPr>
                <w:rFonts w:eastAsia="Calibri"/>
                <w:b/>
                <w:lang w:val="fr-BE" w:eastAsia="en-GB"/>
              </w:rPr>
              <w:t>TOTAL</w:t>
            </w:r>
          </w:p>
        </w:tc>
        <w:tc>
          <w:tcPr>
            <w:tcW w:w="2268" w:type="dxa"/>
            <w:shd w:val="clear" w:color="auto" w:fill="D9D9D9" w:themeFill="background1" w:themeFillShade="D9"/>
            <w:vAlign w:val="center"/>
          </w:tcPr>
          <w:p w14:paraId="725C0C46" w14:textId="77777777" w:rsidR="0063435E" w:rsidRPr="00CB6495" w:rsidRDefault="0063435E" w:rsidP="00063246">
            <w:pPr>
              <w:spacing w:after="0"/>
              <w:rPr>
                <w:rFonts w:eastAsia="Calibri"/>
                <w:b/>
                <w:lang w:val="fr-BE" w:eastAsia="en-GB"/>
              </w:rPr>
            </w:pPr>
          </w:p>
        </w:tc>
        <w:tc>
          <w:tcPr>
            <w:tcW w:w="815" w:type="dxa"/>
            <w:shd w:val="clear" w:color="auto" w:fill="D9D9D9" w:themeFill="background1" w:themeFillShade="D9"/>
            <w:vAlign w:val="center"/>
          </w:tcPr>
          <w:p w14:paraId="504FDA15" w14:textId="2F61AFCB" w:rsidR="0063435E" w:rsidRPr="00CB6495" w:rsidRDefault="00F257AA" w:rsidP="00A8230D">
            <w:pPr>
              <w:spacing w:after="0"/>
              <w:jc w:val="center"/>
              <w:rPr>
                <w:rFonts w:eastAsia="Calibri"/>
                <w:b/>
                <w:lang w:val="fr-BE" w:eastAsia="en-GB"/>
              </w:rPr>
            </w:pPr>
            <w:r w:rsidRPr="00CB6495">
              <w:rPr>
                <w:rFonts w:eastAsia="Calibri"/>
                <w:b/>
                <w:lang w:val="fr-BE" w:eastAsia="en-GB"/>
              </w:rPr>
              <w:t>100</w:t>
            </w:r>
          </w:p>
        </w:tc>
      </w:tr>
    </w:tbl>
    <w:p w14:paraId="77BA6248" w14:textId="77777777" w:rsidR="00C56318" w:rsidRPr="00CB6495" w:rsidRDefault="00C56318" w:rsidP="00063246">
      <w:pPr>
        <w:autoSpaceDE w:val="0"/>
        <w:autoSpaceDN w:val="0"/>
        <w:adjustRightInd w:val="0"/>
        <w:spacing w:after="0"/>
        <w:rPr>
          <w:b/>
          <w:bCs/>
          <w:lang w:val="fr-BE" w:eastAsia="en-GB"/>
        </w:rPr>
      </w:pPr>
    </w:p>
    <w:p w14:paraId="67B47D09" w14:textId="5A163CC8" w:rsidR="00632AB1" w:rsidRDefault="00632AB1" w:rsidP="00063246">
      <w:pPr>
        <w:autoSpaceDE w:val="0"/>
        <w:autoSpaceDN w:val="0"/>
        <w:adjustRightInd w:val="0"/>
        <w:spacing w:after="0"/>
        <w:rPr>
          <w:b/>
          <w:bCs/>
          <w:lang w:val="fr-BE" w:eastAsia="en-GB"/>
        </w:rPr>
      </w:pPr>
    </w:p>
    <w:p w14:paraId="22269B6D" w14:textId="77777777" w:rsidR="00546F59" w:rsidRPr="00CB6495" w:rsidRDefault="00546F59" w:rsidP="00063246">
      <w:pPr>
        <w:autoSpaceDE w:val="0"/>
        <w:autoSpaceDN w:val="0"/>
        <w:adjustRightInd w:val="0"/>
        <w:spacing w:after="0"/>
        <w:rPr>
          <w:b/>
          <w:bCs/>
          <w:lang w:val="fr-BE" w:eastAsia="en-GB"/>
        </w:rPr>
      </w:pPr>
    </w:p>
    <w:p w14:paraId="0D8E8132" w14:textId="49F25310" w:rsidR="00632AB1" w:rsidRPr="00CB6495" w:rsidRDefault="004E40F4" w:rsidP="00063246">
      <w:pPr>
        <w:autoSpaceDE w:val="0"/>
        <w:autoSpaceDN w:val="0"/>
        <w:adjustRightInd w:val="0"/>
        <w:spacing w:after="0"/>
        <w:rPr>
          <w:b/>
          <w:bCs/>
          <w:lang w:val="fr-BE" w:eastAsia="en-GB"/>
        </w:rPr>
      </w:pPr>
      <w:r w:rsidRPr="00CB6495">
        <w:rPr>
          <w:b/>
          <w:bCs/>
          <w:lang w:val="fr-BE" w:eastAsia="en-GB"/>
        </w:rPr>
        <w:t xml:space="preserve">ANNEXE </w:t>
      </w:r>
      <w:r w:rsidR="00632AB1" w:rsidRPr="00CB6495">
        <w:rPr>
          <w:b/>
          <w:bCs/>
          <w:lang w:val="fr-BE" w:eastAsia="en-GB"/>
        </w:rPr>
        <w:t>2 : Grille d’évaluation pour la demande complète</w:t>
      </w:r>
    </w:p>
    <w:p w14:paraId="2EFF263E" w14:textId="77777777" w:rsidR="00632AB1" w:rsidRPr="00CB6495" w:rsidRDefault="00632AB1" w:rsidP="00063246">
      <w:pPr>
        <w:autoSpaceDE w:val="0"/>
        <w:autoSpaceDN w:val="0"/>
        <w:adjustRightInd w:val="0"/>
        <w:spacing w:after="0"/>
        <w:rPr>
          <w:b/>
          <w:bCs/>
          <w:lang w:val="fr-BE"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32AB1" w:rsidRPr="00CB6495" w14:paraId="3F8E8694" w14:textId="77777777" w:rsidTr="00201547">
        <w:tc>
          <w:tcPr>
            <w:tcW w:w="8472" w:type="dxa"/>
            <w:tcBorders>
              <w:bottom w:val="single" w:sz="4" w:space="0" w:color="auto"/>
            </w:tcBorders>
            <w:shd w:val="pct10" w:color="auto" w:fill="FFFFFF"/>
          </w:tcPr>
          <w:p w14:paraId="52529054" w14:textId="0CD70A26" w:rsidR="00632AB1" w:rsidRPr="00CB6495" w:rsidRDefault="00632AB1" w:rsidP="00632AB1">
            <w:pPr>
              <w:spacing w:before="120" w:after="200"/>
              <w:rPr>
                <w:snapToGrid w:val="0"/>
                <w:lang w:eastAsia="fr-FR" w:bidi="fr-FR"/>
              </w:rPr>
            </w:pPr>
            <w:r w:rsidRPr="00CB6495">
              <w:rPr>
                <w:b/>
                <w:snapToGrid w:val="0"/>
                <w:lang w:eastAsia="fr-FR" w:bidi="fr-FR"/>
              </w:rPr>
              <w:t>1. Pertinence</w:t>
            </w:r>
          </w:p>
        </w:tc>
        <w:tc>
          <w:tcPr>
            <w:tcW w:w="1275" w:type="dxa"/>
            <w:tcBorders>
              <w:bottom w:val="single" w:sz="4" w:space="0" w:color="auto"/>
            </w:tcBorders>
            <w:shd w:val="pct10" w:color="auto" w:fill="FFFFFF"/>
            <w:vAlign w:val="center"/>
          </w:tcPr>
          <w:p w14:paraId="4477B604" w14:textId="2ABAC0D8" w:rsidR="00632AB1" w:rsidRPr="00CB6495" w:rsidRDefault="0080118B" w:rsidP="00632AB1">
            <w:pPr>
              <w:spacing w:before="120" w:after="200"/>
              <w:jc w:val="center"/>
              <w:rPr>
                <w:b/>
                <w:snapToGrid w:val="0"/>
                <w:lang w:eastAsia="fr-FR" w:bidi="fr-FR"/>
              </w:rPr>
            </w:pPr>
            <w:r>
              <w:rPr>
                <w:b/>
                <w:snapToGrid w:val="0"/>
                <w:lang w:eastAsia="fr-FR" w:bidi="fr-FR"/>
              </w:rPr>
              <w:t>40</w:t>
            </w:r>
          </w:p>
        </w:tc>
      </w:tr>
      <w:tr w:rsidR="00632AB1" w:rsidRPr="00CB6495" w14:paraId="62A8DD11" w14:textId="77777777" w:rsidTr="00201547">
        <w:tc>
          <w:tcPr>
            <w:tcW w:w="8472" w:type="dxa"/>
            <w:shd w:val="clear" w:color="auto" w:fill="FFFFFF"/>
          </w:tcPr>
          <w:p w14:paraId="59CDAE69" w14:textId="77777777" w:rsidR="00632AB1" w:rsidRPr="00CB6495" w:rsidRDefault="00632AB1" w:rsidP="00632AB1">
            <w:pPr>
              <w:spacing w:before="120" w:after="200"/>
              <w:rPr>
                <w:i/>
                <w:snapToGrid w:val="0"/>
                <w:lang w:eastAsia="fr-FR" w:bidi="fr-FR"/>
              </w:rPr>
            </w:pPr>
            <w:r w:rsidRPr="00CB6495">
              <w:rPr>
                <w:i/>
                <w:snapToGrid w:val="0"/>
                <w:lang w:eastAsia="fr-FR" w:bidi="fr-FR"/>
              </w:rPr>
              <w:t>Report de la note obtenue lors de l'évaluation de la note succincte de présentation</w:t>
            </w:r>
          </w:p>
        </w:tc>
        <w:tc>
          <w:tcPr>
            <w:tcW w:w="1275" w:type="dxa"/>
            <w:shd w:val="clear" w:color="auto" w:fill="FFFFFF"/>
            <w:vAlign w:val="center"/>
          </w:tcPr>
          <w:p w14:paraId="42A8D965" w14:textId="77777777" w:rsidR="00632AB1" w:rsidRPr="00CB6495" w:rsidRDefault="00632AB1" w:rsidP="00632AB1">
            <w:pPr>
              <w:spacing w:before="120" w:after="200"/>
              <w:jc w:val="center"/>
              <w:rPr>
                <w:b/>
                <w:snapToGrid w:val="0"/>
                <w:lang w:eastAsia="fr-FR" w:bidi="fr-FR"/>
              </w:rPr>
            </w:pPr>
          </w:p>
        </w:tc>
      </w:tr>
      <w:tr w:rsidR="00632AB1" w:rsidRPr="00CB6495" w14:paraId="362BD27C" w14:textId="77777777" w:rsidTr="00201547">
        <w:tc>
          <w:tcPr>
            <w:tcW w:w="8472" w:type="dxa"/>
            <w:shd w:val="pct10" w:color="auto" w:fill="FFFFFF"/>
            <w:vAlign w:val="center"/>
          </w:tcPr>
          <w:p w14:paraId="0335CC2A" w14:textId="7B9808D2" w:rsidR="00632AB1" w:rsidRPr="00CB6495" w:rsidRDefault="00632AB1" w:rsidP="00632AB1">
            <w:pPr>
              <w:spacing w:before="120" w:after="200"/>
              <w:rPr>
                <w:snapToGrid w:val="0"/>
                <w:lang w:eastAsia="fr-FR" w:bidi="fr-FR"/>
              </w:rPr>
            </w:pPr>
            <w:r w:rsidRPr="00CB6495">
              <w:rPr>
                <w:b/>
                <w:snapToGrid w:val="0"/>
                <w:lang w:eastAsia="fr-FR" w:bidi="fr-FR"/>
              </w:rPr>
              <w:t>2. Conception de l'action</w:t>
            </w:r>
          </w:p>
        </w:tc>
        <w:tc>
          <w:tcPr>
            <w:tcW w:w="1275" w:type="dxa"/>
            <w:shd w:val="pct10" w:color="auto" w:fill="FFFFFF"/>
            <w:vAlign w:val="center"/>
          </w:tcPr>
          <w:p w14:paraId="41E62BD1" w14:textId="77777777" w:rsidR="00632AB1" w:rsidRPr="00CB6495" w:rsidRDefault="00632AB1" w:rsidP="00632AB1">
            <w:pPr>
              <w:spacing w:before="120" w:after="200"/>
              <w:jc w:val="center"/>
              <w:rPr>
                <w:b/>
                <w:snapToGrid w:val="0"/>
                <w:lang w:eastAsia="fr-FR" w:bidi="fr-FR"/>
              </w:rPr>
            </w:pPr>
            <w:r w:rsidRPr="00CB6495">
              <w:rPr>
                <w:b/>
                <w:snapToGrid w:val="0"/>
                <w:lang w:eastAsia="fr-FR" w:bidi="fr-FR"/>
              </w:rPr>
              <w:t>15</w:t>
            </w:r>
          </w:p>
        </w:tc>
      </w:tr>
      <w:tr w:rsidR="00632AB1" w:rsidRPr="00CB6495" w14:paraId="7D2292BE" w14:textId="77777777" w:rsidTr="00201547">
        <w:tc>
          <w:tcPr>
            <w:tcW w:w="8472" w:type="dxa"/>
          </w:tcPr>
          <w:p w14:paraId="4A36BC8F" w14:textId="774BB147" w:rsidR="00632AB1" w:rsidRPr="00CB6495" w:rsidRDefault="00632AB1" w:rsidP="00632AB1">
            <w:pPr>
              <w:spacing w:before="120" w:after="200"/>
              <w:ind w:left="425" w:hanging="425"/>
              <w:rPr>
                <w:snapToGrid w:val="0"/>
                <w:lang w:eastAsia="fr-FR" w:bidi="fr-FR"/>
              </w:rPr>
            </w:pPr>
            <w:r w:rsidRPr="00CB6495">
              <w:rPr>
                <w:snapToGrid w:val="0"/>
                <w:lang w:eastAsia="fr-FR" w:bidi="fr-FR"/>
              </w:rPr>
              <w:t>2.1</w:t>
            </w:r>
            <w:r w:rsidRPr="00CB6495">
              <w:rPr>
                <w:snapToGrid w:val="0"/>
                <w:lang w:eastAsia="fr-FR" w:bidi="fr-FR"/>
              </w:rPr>
              <w:tab/>
              <w:t>Dans quelle mesure la conception de l’action est-elle cohérente? La proposition indique-t-elle les résultats que l’action devrait permettre d’atteindre? La logique d’intervention explique-t-elle la raison d’être des résultats attendus? Les activités proposées sont-elles appropriées, concrètes et cohérentes avec les produits et le ou les effets envisagés?</w:t>
            </w:r>
          </w:p>
        </w:tc>
        <w:tc>
          <w:tcPr>
            <w:tcW w:w="1275" w:type="dxa"/>
          </w:tcPr>
          <w:p w14:paraId="30EC87CD"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6AAB8171" w14:textId="77777777" w:rsidTr="00201547">
        <w:tc>
          <w:tcPr>
            <w:tcW w:w="8472" w:type="dxa"/>
          </w:tcPr>
          <w:p w14:paraId="326489F8" w14:textId="10CB502A" w:rsidR="00632AB1" w:rsidRPr="00CB6495" w:rsidRDefault="00632AB1" w:rsidP="00632AB1">
            <w:pPr>
              <w:spacing w:before="120" w:after="200"/>
              <w:ind w:left="425" w:hanging="425"/>
              <w:rPr>
                <w:snapToGrid w:val="0"/>
                <w:lang w:eastAsia="fr-FR" w:bidi="fr-FR"/>
              </w:rPr>
            </w:pPr>
            <w:r w:rsidRPr="00CB6495">
              <w:rPr>
                <w:snapToGrid w:val="0"/>
                <w:lang w:eastAsia="fr-FR" w:bidi="fr-FR"/>
              </w:rPr>
              <w:t>2.2</w:t>
            </w:r>
            <w:r w:rsidRPr="00CB6495">
              <w:rPr>
                <w:snapToGrid w:val="0"/>
                <w:lang w:eastAsia="fr-FR" w:bidi="fr-FR"/>
              </w:rPr>
              <w:tab/>
              <w:t>La proposition/le cadre logique inclut-il/elle un niveau de référence, des cibles et des sources de vérification crédibles? Si ce n’est pas le cas, une étude de référence est-elle prévue (et est-elle correctement inscrite au budget de la proposition)?</w:t>
            </w:r>
          </w:p>
        </w:tc>
        <w:tc>
          <w:tcPr>
            <w:tcW w:w="1275" w:type="dxa"/>
          </w:tcPr>
          <w:p w14:paraId="560DCE2D"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3AC866A6" w14:textId="77777777" w:rsidTr="00201547">
        <w:tc>
          <w:tcPr>
            <w:tcW w:w="8472" w:type="dxa"/>
          </w:tcPr>
          <w:p w14:paraId="5091B7DF" w14:textId="3DB9E55B" w:rsidR="00632AB1" w:rsidRPr="00CB6495" w:rsidRDefault="00632AB1" w:rsidP="00632AB1">
            <w:pPr>
              <w:spacing w:before="120" w:after="200"/>
              <w:ind w:left="425" w:hanging="425"/>
              <w:rPr>
                <w:snapToGrid w:val="0"/>
                <w:lang w:eastAsia="fr-FR" w:bidi="fr-FR"/>
              </w:rPr>
            </w:pPr>
            <w:r w:rsidRPr="00CB6495">
              <w:rPr>
                <w:snapToGrid w:val="0"/>
                <w:lang w:eastAsia="fr-FR" w:bidi="fr-FR"/>
              </w:rPr>
              <w:t>2.3</w:t>
            </w:r>
            <w:r w:rsidRPr="00CB6495">
              <w:rPr>
                <w:snapToGrid w:val="0"/>
                <w:lang w:eastAsia="fr-FR" w:bidi="fr-FR"/>
              </w:rPr>
              <w:tab/>
              <w:t>La conception reflète-t-elle une analyse solide des problèmes existants, ainsi que des capacités des parties prenantes concernées?</w:t>
            </w:r>
          </w:p>
        </w:tc>
        <w:tc>
          <w:tcPr>
            <w:tcW w:w="1275" w:type="dxa"/>
          </w:tcPr>
          <w:p w14:paraId="0147CE77"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70947ED7" w14:textId="77777777" w:rsidTr="00201547">
        <w:tc>
          <w:tcPr>
            <w:tcW w:w="8472" w:type="dxa"/>
            <w:shd w:val="pct10" w:color="auto" w:fill="FFFFFF"/>
            <w:vAlign w:val="center"/>
          </w:tcPr>
          <w:p w14:paraId="3516C9B8" w14:textId="54BF4F1F" w:rsidR="00632AB1" w:rsidRPr="00CB6495" w:rsidRDefault="00632AB1" w:rsidP="00632AB1">
            <w:pPr>
              <w:spacing w:before="120" w:after="200"/>
              <w:rPr>
                <w:snapToGrid w:val="0"/>
                <w:lang w:eastAsia="fr-FR" w:bidi="fr-FR"/>
              </w:rPr>
            </w:pPr>
            <w:r w:rsidRPr="00CB6495">
              <w:rPr>
                <w:b/>
                <w:snapToGrid w:val="0"/>
                <w:lang w:eastAsia="fr-FR" w:bidi="fr-FR"/>
              </w:rPr>
              <w:lastRenderedPageBreak/>
              <w:t>3. Approche de mise en œuvre</w:t>
            </w:r>
          </w:p>
        </w:tc>
        <w:tc>
          <w:tcPr>
            <w:tcW w:w="1275" w:type="dxa"/>
            <w:shd w:val="pct10" w:color="auto" w:fill="FFFFFF"/>
            <w:vAlign w:val="center"/>
          </w:tcPr>
          <w:p w14:paraId="46456DDD" w14:textId="77777777" w:rsidR="00632AB1" w:rsidRPr="00CB6495" w:rsidRDefault="00632AB1" w:rsidP="00632AB1">
            <w:pPr>
              <w:spacing w:before="120" w:after="200"/>
              <w:jc w:val="center"/>
              <w:rPr>
                <w:b/>
                <w:snapToGrid w:val="0"/>
                <w:lang w:eastAsia="fr-FR" w:bidi="fr-FR"/>
              </w:rPr>
            </w:pPr>
            <w:r w:rsidRPr="00CB6495">
              <w:rPr>
                <w:b/>
                <w:snapToGrid w:val="0"/>
                <w:lang w:eastAsia="fr-FR" w:bidi="fr-FR"/>
              </w:rPr>
              <w:t>15</w:t>
            </w:r>
          </w:p>
        </w:tc>
      </w:tr>
      <w:tr w:rsidR="00632AB1" w:rsidRPr="00CB6495" w14:paraId="13189FC1" w14:textId="77777777" w:rsidTr="00201547">
        <w:tc>
          <w:tcPr>
            <w:tcW w:w="8472" w:type="dxa"/>
          </w:tcPr>
          <w:p w14:paraId="0BD2E9DB" w14:textId="7663BB23" w:rsidR="00632AB1" w:rsidRPr="00CB6495" w:rsidRDefault="00632AB1" w:rsidP="00632AB1">
            <w:pPr>
              <w:spacing w:before="120" w:after="200"/>
              <w:ind w:left="425" w:hanging="425"/>
              <w:rPr>
                <w:snapToGrid w:val="0"/>
                <w:lang w:eastAsia="fr-FR" w:bidi="fr-FR"/>
              </w:rPr>
            </w:pPr>
            <w:r w:rsidRPr="00CB6495">
              <w:rPr>
                <w:snapToGrid w:val="0"/>
                <w:lang w:eastAsia="fr-FR" w:bidi="fr-FR"/>
              </w:rPr>
              <w:t>3.1</w:t>
            </w:r>
            <w:r w:rsidRPr="00CB6495">
              <w:rPr>
                <w:snapToGrid w:val="0"/>
                <w:lang w:eastAsia="fr-FR" w:bidi="fr-FR"/>
              </w:rPr>
              <w:tab/>
              <w:t>Le plan d’action prévu pour la mise en œuvre de l’action est-il clair et réalisable? Le calendrier est-il réaliste?</w:t>
            </w:r>
          </w:p>
        </w:tc>
        <w:tc>
          <w:tcPr>
            <w:tcW w:w="1275" w:type="dxa"/>
          </w:tcPr>
          <w:p w14:paraId="356231AE"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76180EAE" w14:textId="77777777" w:rsidTr="00201547">
        <w:tc>
          <w:tcPr>
            <w:tcW w:w="8472" w:type="dxa"/>
          </w:tcPr>
          <w:p w14:paraId="32B563CA" w14:textId="3D116832" w:rsidR="00632AB1" w:rsidRPr="00CB6495" w:rsidRDefault="00632AB1" w:rsidP="00632AB1">
            <w:pPr>
              <w:spacing w:before="120" w:after="200"/>
              <w:ind w:left="425" w:hanging="425"/>
              <w:rPr>
                <w:snapToGrid w:val="0"/>
                <w:lang w:eastAsia="fr-FR" w:bidi="fr-FR"/>
              </w:rPr>
            </w:pPr>
            <w:r w:rsidRPr="00CB6495">
              <w:rPr>
                <w:snapToGrid w:val="0"/>
                <w:lang w:eastAsia="fr-FR" w:bidi="fr-FR"/>
              </w:rPr>
              <w:t>3.2</w:t>
            </w:r>
            <w:r w:rsidRPr="00CB6495">
              <w:rPr>
                <w:snapToGrid w:val="0"/>
                <w:lang w:eastAsia="fr-FR" w:bidi="fr-FR"/>
              </w:rPr>
              <w:tab/>
              <w:t>La proposition inclut-elle un système de suivi efficace et efficient? Une évaluation est-elle prévue (avant, pendant et/ou à la fin de la mise en œuvre)?</w:t>
            </w:r>
          </w:p>
        </w:tc>
        <w:tc>
          <w:tcPr>
            <w:tcW w:w="1275" w:type="dxa"/>
          </w:tcPr>
          <w:p w14:paraId="73C20A75"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51FE9710" w14:textId="77777777" w:rsidTr="00201547">
        <w:tc>
          <w:tcPr>
            <w:tcW w:w="8472" w:type="dxa"/>
            <w:tcBorders>
              <w:bottom w:val="nil"/>
            </w:tcBorders>
          </w:tcPr>
          <w:p w14:paraId="13F823DF" w14:textId="591C2D3E" w:rsidR="00632AB1" w:rsidRPr="00CB6495" w:rsidRDefault="00632AB1" w:rsidP="00632AB1">
            <w:pPr>
              <w:spacing w:before="120" w:after="200"/>
              <w:ind w:left="425" w:hanging="425"/>
              <w:jc w:val="left"/>
              <w:rPr>
                <w:snapToGrid w:val="0"/>
                <w:lang w:eastAsia="fr-FR" w:bidi="fr-FR"/>
              </w:rPr>
            </w:pPr>
            <w:r w:rsidRPr="00CB6495">
              <w:rPr>
                <w:snapToGrid w:val="0"/>
                <w:lang w:eastAsia="fr-FR" w:bidi="fr-FR"/>
              </w:rPr>
              <w:t>3.3</w:t>
            </w:r>
            <w:r w:rsidRPr="00CB6495">
              <w:rPr>
                <w:snapToGrid w:val="0"/>
                <w:lang w:eastAsia="fr-FR" w:bidi="fr-FR"/>
              </w:rPr>
              <w:tab/>
              <w:t>Le niveau d’association et de participation à l'action du ou des codemandeurs et de l'entité ou des entités affiliées est-il satisfaisant?</w:t>
            </w:r>
          </w:p>
        </w:tc>
        <w:tc>
          <w:tcPr>
            <w:tcW w:w="1275" w:type="dxa"/>
            <w:tcBorders>
              <w:bottom w:val="nil"/>
            </w:tcBorders>
          </w:tcPr>
          <w:p w14:paraId="3184E2D3"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41A1A46E" w14:textId="77777777" w:rsidTr="00201547">
        <w:tc>
          <w:tcPr>
            <w:tcW w:w="8472" w:type="dxa"/>
            <w:shd w:val="pct10" w:color="auto" w:fill="FFFFFF"/>
            <w:vAlign w:val="center"/>
          </w:tcPr>
          <w:p w14:paraId="2EF6158F" w14:textId="44C79ED9" w:rsidR="00632AB1" w:rsidRPr="00CB6495" w:rsidRDefault="00632AB1" w:rsidP="00632AB1">
            <w:pPr>
              <w:spacing w:before="120" w:after="200"/>
              <w:rPr>
                <w:snapToGrid w:val="0"/>
                <w:lang w:eastAsia="fr-FR" w:bidi="fr-FR"/>
              </w:rPr>
            </w:pPr>
            <w:r w:rsidRPr="00CB6495">
              <w:rPr>
                <w:snapToGrid w:val="0"/>
                <w:lang w:eastAsia="fr-FR" w:bidi="fr-FR"/>
              </w:rPr>
              <w:br w:type="page"/>
            </w:r>
            <w:r w:rsidRPr="00CB6495">
              <w:rPr>
                <w:b/>
                <w:snapToGrid w:val="0"/>
                <w:lang w:eastAsia="fr-FR" w:bidi="fr-FR"/>
              </w:rPr>
              <w:t xml:space="preserve">4. Durabilité de l'action </w:t>
            </w:r>
          </w:p>
        </w:tc>
        <w:tc>
          <w:tcPr>
            <w:tcW w:w="1275" w:type="dxa"/>
            <w:shd w:val="pct10" w:color="auto" w:fill="FFFFFF"/>
            <w:vAlign w:val="center"/>
          </w:tcPr>
          <w:p w14:paraId="31A5D323" w14:textId="77777777" w:rsidR="00632AB1" w:rsidRPr="00CB6495" w:rsidRDefault="00632AB1" w:rsidP="00632AB1">
            <w:pPr>
              <w:spacing w:before="120" w:after="200"/>
              <w:jc w:val="center"/>
              <w:rPr>
                <w:b/>
                <w:snapToGrid w:val="0"/>
                <w:lang w:eastAsia="fr-FR" w:bidi="fr-FR"/>
              </w:rPr>
            </w:pPr>
            <w:r w:rsidRPr="00CB6495">
              <w:rPr>
                <w:b/>
                <w:snapToGrid w:val="0"/>
                <w:lang w:eastAsia="fr-FR" w:bidi="fr-FR"/>
              </w:rPr>
              <w:t>15</w:t>
            </w:r>
          </w:p>
        </w:tc>
      </w:tr>
      <w:tr w:rsidR="00632AB1" w:rsidRPr="00CB6495" w14:paraId="5C1D800C" w14:textId="77777777" w:rsidTr="00201547">
        <w:tc>
          <w:tcPr>
            <w:tcW w:w="8472" w:type="dxa"/>
          </w:tcPr>
          <w:p w14:paraId="712DEB12" w14:textId="1651425E" w:rsidR="00632AB1" w:rsidRPr="00CB6495" w:rsidRDefault="00632AB1" w:rsidP="00632AB1">
            <w:pPr>
              <w:spacing w:before="120" w:after="200"/>
              <w:ind w:left="425" w:hanging="425"/>
              <w:rPr>
                <w:snapToGrid w:val="0"/>
                <w:lang w:eastAsia="fr-FR" w:bidi="fr-FR"/>
              </w:rPr>
            </w:pPr>
            <w:r w:rsidRPr="00CB6495">
              <w:rPr>
                <w:snapToGrid w:val="0"/>
                <w:lang w:eastAsia="fr-FR" w:bidi="fr-FR"/>
              </w:rPr>
              <w:t>4.1</w:t>
            </w:r>
            <w:r w:rsidRPr="00CB6495">
              <w:rPr>
                <w:snapToGrid w:val="0"/>
                <w:lang w:eastAsia="fr-FR" w:bidi="fr-FR"/>
              </w:rPr>
              <w:tab/>
              <w:t>L’action est-elle susceptible d’avoir un impact tangible sur les groupes cibles?</w:t>
            </w:r>
          </w:p>
        </w:tc>
        <w:tc>
          <w:tcPr>
            <w:tcW w:w="1275" w:type="dxa"/>
          </w:tcPr>
          <w:p w14:paraId="09A00CF3"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24FCB57B" w14:textId="77777777" w:rsidTr="00201547">
        <w:tc>
          <w:tcPr>
            <w:tcW w:w="8472" w:type="dxa"/>
          </w:tcPr>
          <w:p w14:paraId="72C627EB" w14:textId="33307546" w:rsidR="00632AB1" w:rsidRPr="00CB6495" w:rsidRDefault="00632AB1" w:rsidP="00632AB1">
            <w:pPr>
              <w:spacing w:before="120" w:after="200"/>
              <w:ind w:left="425" w:hanging="425"/>
              <w:rPr>
                <w:snapToGrid w:val="0"/>
                <w:lang w:eastAsia="fr-FR" w:bidi="fr-FR"/>
              </w:rPr>
            </w:pPr>
            <w:r w:rsidRPr="00CB6495">
              <w:rPr>
                <w:snapToGrid w:val="0"/>
                <w:lang w:eastAsia="fr-FR" w:bidi="fr-FR"/>
              </w:rPr>
              <w:t>4.2</w:t>
            </w:r>
            <w:r w:rsidRPr="00CB6495">
              <w:rPr>
                <w:snapToGrid w:val="0"/>
                <w:lang w:eastAsia="fr-FR" w:bidi="fr-FR"/>
              </w:rPr>
              <w:tab/>
              <w:t>L’action est-elle susceptible d’avoir des effets multiplicateurs, y compris la possibilité de reproduction, d’extension, de mise à profit de l’expérience et de partage des connaissances?</w:t>
            </w:r>
          </w:p>
        </w:tc>
        <w:tc>
          <w:tcPr>
            <w:tcW w:w="1275" w:type="dxa"/>
          </w:tcPr>
          <w:p w14:paraId="36F6613A"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08CD4F70" w14:textId="77777777" w:rsidTr="00201547">
        <w:tc>
          <w:tcPr>
            <w:tcW w:w="8472" w:type="dxa"/>
          </w:tcPr>
          <w:p w14:paraId="0DCAE722" w14:textId="2CEB551A" w:rsidR="00632AB1" w:rsidRPr="00CB6495" w:rsidRDefault="00632AB1" w:rsidP="00632AB1">
            <w:pPr>
              <w:spacing w:before="120" w:after="200"/>
              <w:ind w:left="425" w:hanging="425"/>
              <w:rPr>
                <w:snapToGrid w:val="0"/>
                <w:lang w:eastAsia="fr-FR" w:bidi="fr-FR"/>
              </w:rPr>
            </w:pPr>
            <w:r w:rsidRPr="00CB6495">
              <w:rPr>
                <w:snapToGrid w:val="0"/>
                <w:lang w:eastAsia="fr-FR" w:bidi="fr-FR"/>
              </w:rPr>
              <w:t>4.3</w:t>
            </w:r>
            <w:r w:rsidRPr="00CB6495">
              <w:rPr>
                <w:snapToGrid w:val="0"/>
                <w:lang w:eastAsia="fr-FR" w:bidi="fr-FR"/>
              </w:rPr>
              <w:tab/>
              <w:t>Les résultats attendus de l’action proposée sont-ils durables?</w:t>
            </w:r>
          </w:p>
          <w:p w14:paraId="3C11C6B6" w14:textId="77777777" w:rsidR="00632AB1" w:rsidRPr="00CB6495" w:rsidRDefault="00632AB1" w:rsidP="00632AB1">
            <w:pPr>
              <w:spacing w:before="120" w:after="200"/>
              <w:ind w:left="510" w:hanging="170"/>
              <w:rPr>
                <w:snapToGrid w:val="0"/>
                <w:lang w:eastAsia="fr-FR" w:bidi="fr-FR"/>
              </w:rPr>
            </w:pPr>
            <w:r w:rsidRPr="00CB6495">
              <w:rPr>
                <w:snapToGrid w:val="0"/>
                <w:lang w:eastAsia="fr-FR" w:bidi="fr-FR"/>
              </w:rPr>
              <w:t xml:space="preserve">- sur le plan financier </w:t>
            </w:r>
            <w:r w:rsidRPr="00CB6495">
              <w:rPr>
                <w:i/>
                <w:snapToGrid w:val="0"/>
                <w:lang w:eastAsia="fr-FR" w:bidi="fr-FR"/>
              </w:rPr>
              <w:t>(par exemple, financement d’activités de suivi, sources de revenu permettant de couvrir tous les frais de fonctionnement et de maintenance futurs)</w:t>
            </w:r>
          </w:p>
          <w:p w14:paraId="11011946" w14:textId="77777777" w:rsidR="00632AB1" w:rsidRPr="00CB6495" w:rsidRDefault="00632AB1" w:rsidP="00632AB1">
            <w:pPr>
              <w:spacing w:before="120" w:after="200"/>
              <w:ind w:left="510" w:hanging="170"/>
              <w:rPr>
                <w:snapToGrid w:val="0"/>
                <w:lang w:eastAsia="fr-FR" w:bidi="fr-FR"/>
              </w:rPr>
            </w:pPr>
            <w:r w:rsidRPr="00CB6495">
              <w:rPr>
                <w:snapToGrid w:val="0"/>
                <w:lang w:eastAsia="fr-FR" w:bidi="fr-FR"/>
              </w:rPr>
              <w:t xml:space="preserve">- sur le plan institutionnel </w:t>
            </w:r>
            <w:r w:rsidRPr="00CB6495">
              <w:rPr>
                <w:i/>
                <w:snapToGrid w:val="0"/>
                <w:lang w:eastAsia="fr-FR" w:bidi="fr-FR"/>
              </w:rPr>
              <w:t xml:space="preserve">(les structures permettront-elles le maintien des résultats de l’action à la fin de celle-ci? Y </w:t>
            </w:r>
            <w:proofErr w:type="spellStart"/>
            <w:r w:rsidRPr="00CB6495">
              <w:rPr>
                <w:i/>
                <w:snapToGrid w:val="0"/>
                <w:lang w:eastAsia="fr-FR" w:bidi="fr-FR"/>
              </w:rPr>
              <w:t>aura-t-il</w:t>
            </w:r>
            <w:proofErr w:type="spellEnd"/>
            <w:r w:rsidRPr="00CB6495">
              <w:rPr>
                <w:i/>
                <w:snapToGrid w:val="0"/>
                <w:lang w:eastAsia="fr-FR" w:bidi="fr-FR"/>
              </w:rPr>
              <w:t xml:space="preserve"> « appropriation » locale des résultats de l’action?)</w:t>
            </w:r>
          </w:p>
          <w:p w14:paraId="72334E25" w14:textId="3B8E3DC2" w:rsidR="00632AB1" w:rsidRPr="00CB6495" w:rsidRDefault="00235584" w:rsidP="00632AB1">
            <w:pPr>
              <w:spacing w:before="120" w:after="200"/>
              <w:ind w:left="510" w:hanging="170"/>
              <w:rPr>
                <w:iCs/>
                <w:snapToGrid w:val="0"/>
                <w:lang w:eastAsia="fr-FR" w:bidi="fr-FR"/>
              </w:rPr>
            </w:pPr>
            <w:r>
              <w:rPr>
                <w:snapToGrid w:val="0"/>
                <w:lang w:eastAsia="fr-FR" w:bidi="fr-FR"/>
              </w:rPr>
              <w:t xml:space="preserve">- </w:t>
            </w:r>
            <w:r w:rsidR="00632AB1" w:rsidRPr="00CB6495">
              <w:rPr>
                <w:snapToGrid w:val="0"/>
                <w:lang w:eastAsia="fr-FR" w:bidi="fr-FR"/>
              </w:rPr>
              <w:t xml:space="preserve">sur le plan politique (s’il y a lieu) </w:t>
            </w:r>
            <w:r w:rsidR="00632AB1" w:rsidRPr="00CB6495">
              <w:rPr>
                <w:i/>
                <w:snapToGrid w:val="0"/>
                <w:lang w:eastAsia="fr-FR" w:bidi="fr-FR"/>
              </w:rPr>
              <w:t>(quel sera l’impact structurel de l’action – par exemple, amélioration de la législation, des codes de conduite, des méthodes)</w:t>
            </w:r>
          </w:p>
          <w:p w14:paraId="3549D8BA" w14:textId="77777777" w:rsidR="00632AB1" w:rsidRPr="00CB6495" w:rsidRDefault="00632AB1" w:rsidP="00632AB1">
            <w:pPr>
              <w:spacing w:before="120" w:after="200"/>
              <w:ind w:left="510" w:hanging="170"/>
              <w:rPr>
                <w:snapToGrid w:val="0"/>
                <w:lang w:eastAsia="fr-FR" w:bidi="fr-FR"/>
              </w:rPr>
            </w:pPr>
            <w:r w:rsidRPr="00CB6495">
              <w:rPr>
                <w:snapToGrid w:val="0"/>
                <w:lang w:eastAsia="fr-FR" w:bidi="fr-FR"/>
              </w:rPr>
              <w:t xml:space="preserve">- sur le plan environnemental (s’il y a lieu) </w:t>
            </w:r>
            <w:r w:rsidRPr="00CB6495">
              <w:rPr>
                <w:i/>
                <w:snapToGrid w:val="0"/>
                <w:lang w:eastAsia="fr-FR" w:bidi="fr-FR"/>
              </w:rPr>
              <w:t>(l'action aura-t-elle un impact positif/négatif sur l'environnement?)</w:t>
            </w:r>
          </w:p>
        </w:tc>
        <w:tc>
          <w:tcPr>
            <w:tcW w:w="1275" w:type="dxa"/>
          </w:tcPr>
          <w:p w14:paraId="6D0C3800" w14:textId="77777777"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1013ECE5" w14:textId="77777777" w:rsidTr="00201547">
        <w:tc>
          <w:tcPr>
            <w:tcW w:w="8472" w:type="dxa"/>
            <w:shd w:val="pct10" w:color="auto" w:fill="FFFFFF"/>
            <w:vAlign w:val="center"/>
          </w:tcPr>
          <w:p w14:paraId="476D43B2" w14:textId="76368BD7" w:rsidR="00632AB1" w:rsidRPr="00CB6495" w:rsidRDefault="00632AB1" w:rsidP="00632AB1">
            <w:pPr>
              <w:spacing w:before="120" w:after="200"/>
              <w:rPr>
                <w:snapToGrid w:val="0"/>
                <w:lang w:eastAsia="fr-FR" w:bidi="fr-FR"/>
              </w:rPr>
            </w:pPr>
            <w:r w:rsidRPr="00CB6495">
              <w:rPr>
                <w:snapToGrid w:val="0"/>
                <w:lang w:eastAsia="fr-FR" w:bidi="fr-FR"/>
              </w:rPr>
              <w:br w:type="page"/>
            </w:r>
            <w:r w:rsidRPr="00CB6495">
              <w:rPr>
                <w:b/>
                <w:snapToGrid w:val="0"/>
                <w:lang w:eastAsia="fr-FR" w:bidi="fr-FR"/>
              </w:rPr>
              <w:t>5. Budget et rapport coût-efficacité de l'action</w:t>
            </w:r>
          </w:p>
        </w:tc>
        <w:tc>
          <w:tcPr>
            <w:tcW w:w="1275" w:type="dxa"/>
            <w:shd w:val="pct10" w:color="auto" w:fill="FFFFFF"/>
            <w:vAlign w:val="center"/>
          </w:tcPr>
          <w:p w14:paraId="45CACC7F" w14:textId="77777777" w:rsidR="00632AB1" w:rsidRPr="00CB6495" w:rsidRDefault="00632AB1" w:rsidP="00632AB1">
            <w:pPr>
              <w:spacing w:before="120" w:after="200"/>
              <w:jc w:val="center"/>
              <w:rPr>
                <w:b/>
                <w:snapToGrid w:val="0"/>
                <w:lang w:eastAsia="fr-FR" w:bidi="fr-FR"/>
              </w:rPr>
            </w:pPr>
            <w:r w:rsidRPr="00CB6495">
              <w:rPr>
                <w:b/>
                <w:snapToGrid w:val="0"/>
                <w:lang w:eastAsia="fr-FR" w:bidi="fr-FR"/>
              </w:rPr>
              <w:t>15</w:t>
            </w:r>
          </w:p>
        </w:tc>
      </w:tr>
      <w:tr w:rsidR="00632AB1" w:rsidRPr="00CB6495" w14:paraId="62131340" w14:textId="77777777" w:rsidTr="00201547">
        <w:tc>
          <w:tcPr>
            <w:tcW w:w="8472" w:type="dxa"/>
          </w:tcPr>
          <w:p w14:paraId="6773CEFA" w14:textId="56258F32" w:rsidR="00632AB1" w:rsidRPr="00CB6495" w:rsidRDefault="00632AB1" w:rsidP="00632AB1">
            <w:pPr>
              <w:spacing w:before="120" w:after="200"/>
              <w:ind w:left="425" w:hanging="425"/>
              <w:rPr>
                <w:snapToGrid w:val="0"/>
                <w:lang w:eastAsia="fr-FR" w:bidi="fr-FR"/>
              </w:rPr>
            </w:pPr>
            <w:r w:rsidRPr="00CB6495">
              <w:rPr>
                <w:snapToGrid w:val="0"/>
                <w:lang w:eastAsia="fr-FR" w:bidi="fr-FR"/>
              </w:rPr>
              <w:t>5.1</w:t>
            </w:r>
            <w:r w:rsidRPr="00CB6495">
              <w:rPr>
                <w:snapToGrid w:val="0"/>
                <w:lang w:eastAsia="fr-FR" w:bidi="fr-FR"/>
              </w:rPr>
              <w:tab/>
              <w:t>Les activités sont-elles convenablement reflétées dans le budget?</w:t>
            </w:r>
          </w:p>
        </w:tc>
        <w:tc>
          <w:tcPr>
            <w:tcW w:w="1275" w:type="dxa"/>
          </w:tcPr>
          <w:p w14:paraId="60D83917" w14:textId="232924B6" w:rsidR="00632AB1" w:rsidRPr="00CB6495" w:rsidRDefault="00632AB1" w:rsidP="00632AB1">
            <w:pPr>
              <w:spacing w:before="120" w:after="200"/>
              <w:jc w:val="center"/>
              <w:rPr>
                <w:snapToGrid w:val="0"/>
                <w:lang w:eastAsia="fr-FR" w:bidi="fr-FR"/>
              </w:rPr>
            </w:pPr>
            <w:r w:rsidRPr="00CB6495">
              <w:rPr>
                <w:snapToGrid w:val="0"/>
                <w:lang w:eastAsia="fr-FR" w:bidi="fr-FR"/>
              </w:rPr>
              <w:t>5</w:t>
            </w:r>
          </w:p>
        </w:tc>
      </w:tr>
      <w:tr w:rsidR="00632AB1" w:rsidRPr="00CB6495" w14:paraId="0888D272" w14:textId="77777777" w:rsidTr="00201547">
        <w:tc>
          <w:tcPr>
            <w:tcW w:w="8472" w:type="dxa"/>
          </w:tcPr>
          <w:p w14:paraId="10D66DAC" w14:textId="07B35E78" w:rsidR="00632AB1" w:rsidRPr="00CB6495" w:rsidRDefault="00632AB1" w:rsidP="00632AB1">
            <w:pPr>
              <w:spacing w:before="120" w:after="200"/>
              <w:ind w:left="425" w:hanging="425"/>
              <w:rPr>
                <w:snapToGrid w:val="0"/>
                <w:lang w:eastAsia="fr-FR" w:bidi="fr-FR"/>
              </w:rPr>
            </w:pPr>
            <w:r w:rsidRPr="00CB6495">
              <w:rPr>
                <w:snapToGrid w:val="0"/>
                <w:lang w:eastAsia="fr-FR" w:bidi="fr-FR"/>
              </w:rPr>
              <w:t>5.2</w:t>
            </w:r>
            <w:r w:rsidRPr="00CB6495">
              <w:rPr>
                <w:snapToGrid w:val="0"/>
                <w:lang w:eastAsia="fr-FR" w:bidi="fr-FR"/>
              </w:rPr>
              <w:tab/>
              <w:t>Le ratio entre les coûts estimés et les résultats est-il satisfaisant?</w:t>
            </w:r>
          </w:p>
        </w:tc>
        <w:tc>
          <w:tcPr>
            <w:tcW w:w="1275" w:type="dxa"/>
          </w:tcPr>
          <w:p w14:paraId="0D3A16C9" w14:textId="2C3CCB67" w:rsidR="00632AB1" w:rsidRPr="00CB6495" w:rsidRDefault="00632AB1" w:rsidP="00632AB1">
            <w:pPr>
              <w:spacing w:before="120" w:after="200"/>
              <w:jc w:val="center"/>
              <w:rPr>
                <w:snapToGrid w:val="0"/>
                <w:lang w:eastAsia="fr-FR" w:bidi="fr-FR"/>
              </w:rPr>
            </w:pPr>
            <w:r w:rsidRPr="00CB6495">
              <w:rPr>
                <w:snapToGrid w:val="0"/>
                <w:lang w:eastAsia="fr-FR" w:bidi="fr-FR"/>
              </w:rPr>
              <w:t>10</w:t>
            </w:r>
          </w:p>
        </w:tc>
      </w:tr>
      <w:tr w:rsidR="00632AB1" w:rsidRPr="00CB6495" w14:paraId="0629AB5B" w14:textId="77777777" w:rsidTr="00201547">
        <w:tc>
          <w:tcPr>
            <w:tcW w:w="8472" w:type="dxa"/>
            <w:shd w:val="pct10" w:color="auto" w:fill="FFFFFF"/>
            <w:vAlign w:val="center"/>
          </w:tcPr>
          <w:p w14:paraId="03FE2673" w14:textId="77777777" w:rsidR="00632AB1" w:rsidRPr="00CB6495" w:rsidRDefault="00632AB1" w:rsidP="00632AB1">
            <w:pPr>
              <w:spacing w:before="120" w:after="200"/>
              <w:rPr>
                <w:b/>
                <w:snapToGrid w:val="0"/>
                <w:lang w:eastAsia="fr-FR" w:bidi="fr-FR"/>
              </w:rPr>
            </w:pPr>
            <w:r w:rsidRPr="00CB6495">
              <w:rPr>
                <w:b/>
                <w:snapToGrid w:val="0"/>
                <w:lang w:eastAsia="fr-FR" w:bidi="fr-FR"/>
              </w:rPr>
              <w:t>Note totale maximum</w:t>
            </w:r>
          </w:p>
        </w:tc>
        <w:tc>
          <w:tcPr>
            <w:tcW w:w="1275" w:type="dxa"/>
            <w:shd w:val="pct10" w:color="auto" w:fill="FFFFFF"/>
            <w:vAlign w:val="center"/>
          </w:tcPr>
          <w:p w14:paraId="4815C4BF" w14:textId="77777777" w:rsidR="00632AB1" w:rsidRPr="00CB6495" w:rsidRDefault="00632AB1" w:rsidP="00632AB1">
            <w:pPr>
              <w:spacing w:before="120" w:after="200"/>
              <w:jc w:val="center"/>
              <w:rPr>
                <w:b/>
                <w:snapToGrid w:val="0"/>
                <w:lang w:eastAsia="fr-FR" w:bidi="fr-FR"/>
              </w:rPr>
            </w:pPr>
            <w:r w:rsidRPr="00CB6495">
              <w:rPr>
                <w:b/>
                <w:snapToGrid w:val="0"/>
                <w:lang w:eastAsia="fr-FR" w:bidi="fr-FR"/>
              </w:rPr>
              <w:t>100</w:t>
            </w:r>
          </w:p>
        </w:tc>
      </w:tr>
    </w:tbl>
    <w:p w14:paraId="0FC3C027" w14:textId="77777777" w:rsidR="00F867DD" w:rsidRPr="00CB6495" w:rsidRDefault="00F867DD" w:rsidP="00063246">
      <w:pPr>
        <w:autoSpaceDE w:val="0"/>
        <w:autoSpaceDN w:val="0"/>
        <w:adjustRightInd w:val="0"/>
        <w:spacing w:after="0"/>
        <w:rPr>
          <w:b/>
          <w:bCs/>
          <w:lang w:val="fr-BE" w:eastAsia="en-GB"/>
        </w:rPr>
      </w:pPr>
    </w:p>
    <w:p w14:paraId="63AF5130" w14:textId="77777777" w:rsidR="00F867DD" w:rsidRPr="00CB6495" w:rsidRDefault="00F867DD" w:rsidP="00063246">
      <w:pPr>
        <w:autoSpaceDE w:val="0"/>
        <w:autoSpaceDN w:val="0"/>
        <w:adjustRightInd w:val="0"/>
        <w:spacing w:after="0"/>
        <w:rPr>
          <w:b/>
          <w:bCs/>
          <w:lang w:val="fr-BE" w:eastAsia="en-GB"/>
        </w:rPr>
      </w:pPr>
    </w:p>
    <w:p w14:paraId="3BA4CC12" w14:textId="77777777" w:rsidR="00546F59" w:rsidRDefault="00546F59" w:rsidP="00063246">
      <w:pPr>
        <w:autoSpaceDE w:val="0"/>
        <w:autoSpaceDN w:val="0"/>
        <w:adjustRightInd w:val="0"/>
        <w:spacing w:after="0"/>
        <w:rPr>
          <w:b/>
          <w:bCs/>
          <w:lang w:val="fr-BE" w:eastAsia="en-GB"/>
        </w:rPr>
      </w:pPr>
    </w:p>
    <w:p w14:paraId="57D5F925" w14:textId="77777777" w:rsidR="00A8230D" w:rsidRDefault="00A8230D" w:rsidP="00063246">
      <w:pPr>
        <w:autoSpaceDE w:val="0"/>
        <w:autoSpaceDN w:val="0"/>
        <w:adjustRightInd w:val="0"/>
        <w:spacing w:after="0"/>
        <w:rPr>
          <w:b/>
          <w:bCs/>
          <w:lang w:val="fr-BE" w:eastAsia="en-GB"/>
        </w:rPr>
      </w:pPr>
    </w:p>
    <w:p w14:paraId="2535E4DA" w14:textId="77777777" w:rsidR="009B7A72" w:rsidRDefault="009B7A72">
      <w:pPr>
        <w:spacing w:after="0"/>
        <w:jc w:val="left"/>
        <w:rPr>
          <w:b/>
          <w:bCs/>
          <w:lang w:val="fr-BE" w:eastAsia="en-GB"/>
        </w:rPr>
      </w:pPr>
      <w:r>
        <w:rPr>
          <w:b/>
          <w:bCs/>
          <w:lang w:val="fr-BE" w:eastAsia="en-GB"/>
        </w:rPr>
        <w:br w:type="page"/>
      </w:r>
    </w:p>
    <w:p w14:paraId="18652398" w14:textId="62384EDA" w:rsidR="00C302C1" w:rsidRPr="00CB6495" w:rsidRDefault="004E40F4" w:rsidP="00063246">
      <w:pPr>
        <w:autoSpaceDE w:val="0"/>
        <w:autoSpaceDN w:val="0"/>
        <w:adjustRightInd w:val="0"/>
        <w:spacing w:after="0"/>
        <w:rPr>
          <w:b/>
          <w:bCs/>
          <w:lang w:val="fr-BE" w:eastAsia="en-GB"/>
        </w:rPr>
      </w:pPr>
      <w:r w:rsidRPr="00CB6495">
        <w:rPr>
          <w:b/>
          <w:bCs/>
          <w:lang w:val="fr-BE" w:eastAsia="en-GB"/>
        </w:rPr>
        <w:lastRenderedPageBreak/>
        <w:t>ANNEXE</w:t>
      </w:r>
      <w:r w:rsidR="00C302C1" w:rsidRPr="00CB6495">
        <w:rPr>
          <w:b/>
          <w:bCs/>
          <w:lang w:val="fr-BE" w:eastAsia="en-GB"/>
        </w:rPr>
        <w:t xml:space="preserve"> </w:t>
      </w:r>
      <w:r w:rsidR="00F867DD" w:rsidRPr="00CB6495">
        <w:rPr>
          <w:b/>
          <w:bCs/>
          <w:lang w:val="fr-BE" w:eastAsia="en-GB"/>
        </w:rPr>
        <w:t>3</w:t>
      </w:r>
      <w:r w:rsidR="00C302C1" w:rsidRPr="00CB6495">
        <w:rPr>
          <w:b/>
          <w:bCs/>
          <w:lang w:val="fr-BE" w:eastAsia="en-GB"/>
        </w:rPr>
        <w:t xml:space="preserve">: </w:t>
      </w:r>
      <w:proofErr w:type="spellStart"/>
      <w:r w:rsidR="00C302C1" w:rsidRPr="00CB6495">
        <w:rPr>
          <w:b/>
          <w:bCs/>
          <w:lang w:val="fr-BE" w:eastAsia="en-GB"/>
        </w:rPr>
        <w:t>Eligibilité</w:t>
      </w:r>
      <w:proofErr w:type="spellEnd"/>
      <w:r w:rsidR="00C302C1" w:rsidRPr="00CB6495">
        <w:rPr>
          <w:b/>
          <w:bCs/>
          <w:lang w:val="fr-BE" w:eastAsia="en-GB"/>
        </w:rPr>
        <w:t xml:space="preserve"> des demandeurs (demandeur chef de file codemandeur(s)</w:t>
      </w:r>
      <w:r w:rsidR="00F90CFE">
        <w:rPr>
          <w:b/>
          <w:bCs/>
          <w:lang w:val="fr-BE" w:eastAsia="en-GB"/>
        </w:rPr>
        <w:t xml:space="preserve"> et entités affiliés</w:t>
      </w:r>
      <w:r w:rsidR="00C302C1" w:rsidRPr="00CB6495">
        <w:rPr>
          <w:b/>
          <w:bCs/>
          <w:lang w:val="fr-BE" w:eastAsia="en-GB"/>
        </w:rPr>
        <w:t>)</w:t>
      </w:r>
    </w:p>
    <w:p w14:paraId="7B133A62" w14:textId="77777777" w:rsidR="00C302C1" w:rsidRPr="00CB6495" w:rsidRDefault="00C302C1" w:rsidP="00063246">
      <w:pPr>
        <w:autoSpaceDE w:val="0"/>
        <w:autoSpaceDN w:val="0"/>
        <w:adjustRightInd w:val="0"/>
        <w:spacing w:after="0"/>
        <w:rPr>
          <w:b/>
          <w:bCs/>
          <w:lang w:val="fr-BE" w:eastAsia="en-GB"/>
        </w:rPr>
      </w:pPr>
    </w:p>
    <w:p w14:paraId="2BB3BC56" w14:textId="77777777" w:rsidR="00C302C1" w:rsidRPr="00CB6495" w:rsidRDefault="00C302C1" w:rsidP="00063246">
      <w:pPr>
        <w:autoSpaceDE w:val="0"/>
        <w:autoSpaceDN w:val="0"/>
        <w:adjustRightInd w:val="0"/>
        <w:spacing w:after="0"/>
        <w:rPr>
          <w:lang w:val="fr-BE" w:eastAsia="en-GB"/>
        </w:rPr>
      </w:pPr>
      <w:r w:rsidRPr="00CB6495">
        <w:rPr>
          <w:lang w:val="fr-BE" w:eastAsia="en-GB"/>
        </w:rPr>
        <w:t>Être établi dans un des pays mentionnés ci-après :</w:t>
      </w:r>
    </w:p>
    <w:p w14:paraId="294CF71A" w14:textId="77777777" w:rsidR="00C302C1" w:rsidRPr="00CB6495" w:rsidRDefault="00C302C1" w:rsidP="00063246">
      <w:pPr>
        <w:autoSpaceDE w:val="0"/>
        <w:autoSpaceDN w:val="0"/>
        <w:adjustRightInd w:val="0"/>
        <w:spacing w:after="0"/>
        <w:rPr>
          <w:lang w:val="fr-BE" w:eastAsia="en-GB"/>
        </w:rPr>
      </w:pPr>
      <w:r w:rsidRPr="00CB6495">
        <w:rPr>
          <w:lang w:val="fr-BE" w:eastAsia="en-GB"/>
        </w:rPr>
        <w:t>- Les pays ACP;</w:t>
      </w:r>
    </w:p>
    <w:p w14:paraId="08B05B58" w14:textId="77777777" w:rsidR="00C302C1" w:rsidRPr="00CB6495" w:rsidRDefault="00C302C1" w:rsidP="00063246">
      <w:pPr>
        <w:autoSpaceDE w:val="0"/>
        <w:autoSpaceDN w:val="0"/>
        <w:adjustRightInd w:val="0"/>
        <w:spacing w:after="0"/>
        <w:rPr>
          <w:lang w:val="fr-BE" w:eastAsia="en-GB"/>
        </w:rPr>
      </w:pPr>
      <w:r w:rsidRPr="00CB6495">
        <w:rPr>
          <w:lang w:val="fr-BE" w:eastAsia="en-GB"/>
        </w:rPr>
        <w:t xml:space="preserve">- Les </w:t>
      </w:r>
      <w:proofErr w:type="spellStart"/>
      <w:r w:rsidRPr="00CB6495">
        <w:rPr>
          <w:lang w:val="fr-BE" w:eastAsia="en-GB"/>
        </w:rPr>
        <w:t>Etats</w:t>
      </w:r>
      <w:proofErr w:type="spellEnd"/>
      <w:r w:rsidRPr="00CB6495">
        <w:rPr>
          <w:lang w:val="fr-BE" w:eastAsia="en-GB"/>
        </w:rPr>
        <w:t xml:space="preserve"> membres de l'Union européenne ;</w:t>
      </w:r>
    </w:p>
    <w:p w14:paraId="70ACE99A" w14:textId="77777777" w:rsidR="00C302C1" w:rsidRPr="00CB6495" w:rsidRDefault="00C302C1" w:rsidP="00063246">
      <w:pPr>
        <w:autoSpaceDE w:val="0"/>
        <w:autoSpaceDN w:val="0"/>
        <w:adjustRightInd w:val="0"/>
        <w:spacing w:after="0"/>
        <w:rPr>
          <w:lang w:val="fr-BE" w:eastAsia="en-GB"/>
        </w:rPr>
      </w:pPr>
      <w:r w:rsidRPr="00CB6495">
        <w:rPr>
          <w:lang w:val="fr-BE" w:eastAsia="en-GB"/>
        </w:rPr>
        <w:t>- Les bénéficiaires de l'instrument d'aide de préadhésion ;</w:t>
      </w:r>
    </w:p>
    <w:p w14:paraId="348AA059" w14:textId="77777777" w:rsidR="00C302C1" w:rsidRPr="00CB6495" w:rsidRDefault="00C302C1" w:rsidP="00063246">
      <w:pPr>
        <w:autoSpaceDE w:val="0"/>
        <w:autoSpaceDN w:val="0"/>
        <w:adjustRightInd w:val="0"/>
        <w:spacing w:after="0"/>
        <w:rPr>
          <w:lang w:val="fr-BE" w:eastAsia="en-GB"/>
        </w:rPr>
      </w:pPr>
      <w:r w:rsidRPr="00CB6495">
        <w:rPr>
          <w:lang w:val="fr-BE" w:eastAsia="en-GB"/>
        </w:rPr>
        <w:t xml:space="preserve">- Les </w:t>
      </w:r>
      <w:proofErr w:type="spellStart"/>
      <w:r w:rsidRPr="00CB6495">
        <w:rPr>
          <w:lang w:val="fr-BE" w:eastAsia="en-GB"/>
        </w:rPr>
        <w:t>Etats</w:t>
      </w:r>
      <w:proofErr w:type="spellEnd"/>
      <w:r w:rsidRPr="00CB6495">
        <w:rPr>
          <w:lang w:val="fr-BE" w:eastAsia="en-GB"/>
        </w:rPr>
        <w:t xml:space="preserve"> membres de l'Espace économique européen</w:t>
      </w:r>
      <w:r w:rsidR="00C56318" w:rsidRPr="00CB6495">
        <w:rPr>
          <w:lang w:val="fr-BE" w:eastAsia="en-GB"/>
        </w:rPr>
        <w:t> ;</w:t>
      </w:r>
    </w:p>
    <w:p w14:paraId="45364349" w14:textId="77777777" w:rsidR="00C302C1" w:rsidRPr="00CB6495" w:rsidRDefault="00C302C1" w:rsidP="00063246">
      <w:pPr>
        <w:autoSpaceDE w:val="0"/>
        <w:autoSpaceDN w:val="0"/>
        <w:adjustRightInd w:val="0"/>
        <w:spacing w:after="0"/>
        <w:rPr>
          <w:lang w:val="fr-BE" w:eastAsia="en-GB"/>
        </w:rPr>
      </w:pPr>
      <w:r w:rsidRPr="00CB6495">
        <w:rPr>
          <w:lang w:val="fr-BE" w:eastAsia="en-GB"/>
        </w:rPr>
        <w:t>- Les pays et territoires d'outre-mer ;</w:t>
      </w:r>
    </w:p>
    <w:p w14:paraId="4DC00FE6" w14:textId="77777777" w:rsidR="00C302C1" w:rsidRPr="00CB6495" w:rsidRDefault="00C302C1" w:rsidP="00063246">
      <w:pPr>
        <w:autoSpaceDE w:val="0"/>
        <w:autoSpaceDN w:val="0"/>
        <w:adjustRightInd w:val="0"/>
        <w:spacing w:after="0"/>
        <w:rPr>
          <w:lang w:val="fr-BE" w:eastAsia="en-GB"/>
        </w:rPr>
      </w:pPr>
      <w:r w:rsidRPr="00CB6495">
        <w:rPr>
          <w:lang w:val="fr-BE" w:eastAsia="en-GB"/>
        </w:rPr>
        <w:t>- Les pays et territoires en développement, figurant sur la liste des bénéficiaires de l’APD établie par le CAD de l’OCDE, qui ne sont pas membres du G20, sans préjudice du statut de la République d’Afrique du Sud, régi par le protocole 3 de l’accord de partenariat ;</w:t>
      </w:r>
    </w:p>
    <w:p w14:paraId="5C2ED63A" w14:textId="77777777" w:rsidR="00C302C1" w:rsidRPr="00CB6495" w:rsidRDefault="008C0943" w:rsidP="00063246">
      <w:pPr>
        <w:autoSpaceDE w:val="0"/>
        <w:autoSpaceDN w:val="0"/>
        <w:adjustRightInd w:val="0"/>
        <w:spacing w:after="0"/>
        <w:rPr>
          <w:lang w:val="fr-BE" w:eastAsia="en-GB"/>
        </w:rPr>
      </w:pPr>
      <w:r w:rsidRPr="00CB6495">
        <w:rPr>
          <w:lang w:val="fr-BE" w:eastAsia="en-GB"/>
        </w:rPr>
        <w:t>- Les États membres de l’OCDE</w:t>
      </w:r>
      <w:r w:rsidR="00C302C1" w:rsidRPr="00CB6495">
        <w:rPr>
          <w:lang w:val="fr-BE" w:eastAsia="en-GB"/>
        </w:rPr>
        <w:t>, dans le cas de contrats mis en œuvre dans un pays moins avancé (PMA) ou dans un pays pauvre lourdement endetté (PPLE), ou dans le cas de contrats mis en œuvre dans le cadre de programmes régionaux ou mondiaux comprenant au moins un PMA ou un PPLE.</w:t>
      </w:r>
    </w:p>
    <w:p w14:paraId="15D867A5" w14:textId="3533C3E9" w:rsidR="004E40F4" w:rsidRDefault="004E40F4" w:rsidP="00063246">
      <w:pPr>
        <w:autoSpaceDE w:val="0"/>
        <w:autoSpaceDN w:val="0"/>
        <w:adjustRightInd w:val="0"/>
        <w:spacing w:after="0"/>
        <w:rPr>
          <w:b/>
          <w:bCs/>
          <w:color w:val="000000"/>
          <w:lang w:eastAsia="fr-FR"/>
        </w:rPr>
      </w:pPr>
    </w:p>
    <w:p w14:paraId="733E4F40" w14:textId="07AE6E73" w:rsidR="00546F59" w:rsidRDefault="00546F59" w:rsidP="00063246">
      <w:pPr>
        <w:autoSpaceDE w:val="0"/>
        <w:autoSpaceDN w:val="0"/>
        <w:adjustRightInd w:val="0"/>
        <w:spacing w:after="0"/>
        <w:rPr>
          <w:b/>
          <w:bCs/>
          <w:color w:val="000000"/>
          <w:lang w:eastAsia="fr-FR"/>
        </w:rPr>
      </w:pPr>
    </w:p>
    <w:p w14:paraId="11300748" w14:textId="77777777" w:rsidR="0056396C" w:rsidRDefault="0056396C" w:rsidP="00063246">
      <w:pPr>
        <w:autoSpaceDE w:val="0"/>
        <w:autoSpaceDN w:val="0"/>
        <w:adjustRightInd w:val="0"/>
        <w:spacing w:after="0"/>
        <w:rPr>
          <w:b/>
          <w:bCs/>
          <w:color w:val="000000"/>
          <w:lang w:eastAsia="fr-FR"/>
        </w:rPr>
      </w:pPr>
    </w:p>
    <w:p w14:paraId="6B0B921E" w14:textId="77777777" w:rsidR="00A8230D" w:rsidRDefault="00A8230D" w:rsidP="00063246">
      <w:pPr>
        <w:autoSpaceDE w:val="0"/>
        <w:autoSpaceDN w:val="0"/>
        <w:adjustRightInd w:val="0"/>
        <w:spacing w:after="0"/>
        <w:rPr>
          <w:b/>
          <w:bCs/>
          <w:color w:val="000000"/>
          <w:lang w:eastAsia="fr-FR"/>
        </w:rPr>
      </w:pPr>
    </w:p>
    <w:p w14:paraId="00743878" w14:textId="5B1D388E" w:rsidR="00360C69" w:rsidRPr="00CB6495" w:rsidRDefault="004E40F4" w:rsidP="00063246">
      <w:pPr>
        <w:autoSpaceDE w:val="0"/>
        <w:autoSpaceDN w:val="0"/>
        <w:adjustRightInd w:val="0"/>
        <w:spacing w:after="0"/>
        <w:rPr>
          <w:b/>
          <w:bCs/>
          <w:color w:val="000000"/>
          <w:lang w:eastAsia="fr-FR"/>
        </w:rPr>
      </w:pPr>
      <w:r w:rsidRPr="00CB6495">
        <w:rPr>
          <w:b/>
          <w:bCs/>
          <w:color w:val="000000"/>
          <w:lang w:eastAsia="fr-FR"/>
        </w:rPr>
        <w:t xml:space="preserve">ANNEXE </w:t>
      </w:r>
      <w:r w:rsidR="00F867DD" w:rsidRPr="00CB6495">
        <w:rPr>
          <w:b/>
          <w:bCs/>
          <w:color w:val="000000"/>
          <w:lang w:eastAsia="fr-FR"/>
        </w:rPr>
        <w:t>4</w:t>
      </w:r>
      <w:r w:rsidR="002B6BA9" w:rsidRPr="00CB6495">
        <w:rPr>
          <w:b/>
          <w:bCs/>
          <w:color w:val="000000"/>
          <w:lang w:eastAsia="fr-FR"/>
        </w:rPr>
        <w:t xml:space="preserve"> : </w:t>
      </w:r>
      <w:r w:rsidRPr="00CB6495">
        <w:rPr>
          <w:b/>
          <w:bCs/>
          <w:color w:val="000000"/>
          <w:lang w:eastAsia="fr-FR"/>
        </w:rPr>
        <w:t>Note succincte de présentation</w:t>
      </w:r>
    </w:p>
    <w:p w14:paraId="2A3A8264" w14:textId="77777777" w:rsidR="007617F1" w:rsidRPr="00CB6495" w:rsidRDefault="007617F1" w:rsidP="007617F1">
      <w:pPr>
        <w:tabs>
          <w:tab w:val="left" w:pos="567"/>
        </w:tabs>
        <w:spacing w:before="120" w:after="0"/>
        <w:rPr>
          <w:lang w:eastAsia="en-GB"/>
        </w:rPr>
      </w:pPr>
      <w:r w:rsidRPr="00CB6495">
        <w:rPr>
          <w:lang w:eastAsia="en-GB"/>
        </w:rPr>
        <w:t xml:space="preserve">Veuillez suivre </w:t>
      </w:r>
      <w:r w:rsidRPr="00CB6495">
        <w:rPr>
          <w:b/>
          <w:u w:val="single"/>
          <w:lang w:eastAsia="en-GB"/>
        </w:rPr>
        <w:t>scrupuleusement</w:t>
      </w:r>
      <w:r w:rsidRPr="00CB6495">
        <w:rPr>
          <w:b/>
          <w:lang w:eastAsia="en-GB"/>
        </w:rPr>
        <w:t xml:space="preserve"> </w:t>
      </w:r>
      <w:r w:rsidRPr="00CB6495">
        <w:rPr>
          <w:lang w:eastAsia="en-GB"/>
        </w:rPr>
        <w:t>les instructions sur la manière de remplir la note succincte de présentation qui figurent à la fin de ce document.</w:t>
      </w:r>
    </w:p>
    <w:p w14:paraId="6AB93780" w14:textId="77777777" w:rsidR="007617F1" w:rsidRPr="00CB6495" w:rsidRDefault="007617F1" w:rsidP="007617F1">
      <w:pPr>
        <w:widowControl w:val="0"/>
        <w:numPr>
          <w:ilvl w:val="1"/>
          <w:numId w:val="32"/>
        </w:numPr>
        <w:tabs>
          <w:tab w:val="left" w:pos="737"/>
        </w:tabs>
        <w:spacing w:before="240" w:after="120" w:line="276" w:lineRule="auto"/>
        <w:jc w:val="left"/>
        <w:outlineLvl w:val="1"/>
        <w:rPr>
          <w:b/>
          <w:color w:val="000000"/>
          <w:lang w:eastAsia="en-GB"/>
        </w:rPr>
      </w:pPr>
      <w:bookmarkStart w:id="7" w:name="_Toc391635993"/>
      <w:bookmarkStart w:id="8" w:name="_Toc391663627"/>
      <w:bookmarkStart w:id="9" w:name="_Toc391663755"/>
      <w:bookmarkStart w:id="10" w:name="_Toc391663999"/>
      <w:bookmarkStart w:id="11" w:name="_Toc391664122"/>
      <w:bookmarkStart w:id="12" w:name="_Toc391664242"/>
      <w:bookmarkStart w:id="13" w:name="_Toc391664552"/>
      <w:bookmarkStart w:id="14" w:name="_Toc391664672"/>
      <w:bookmarkStart w:id="15" w:name="_Toc391664792"/>
      <w:bookmarkStart w:id="16" w:name="_Toc391664912"/>
      <w:bookmarkStart w:id="17" w:name="_Toc391665032"/>
      <w:bookmarkStart w:id="18" w:name="_Toc391897874"/>
      <w:bookmarkStart w:id="19" w:name="_Toc391635994"/>
      <w:bookmarkStart w:id="20" w:name="_Toc391663628"/>
      <w:bookmarkStart w:id="21" w:name="_Toc391663756"/>
      <w:bookmarkStart w:id="22" w:name="_Toc391664000"/>
      <w:bookmarkStart w:id="23" w:name="_Toc391664123"/>
      <w:bookmarkStart w:id="24" w:name="_Toc391664243"/>
      <w:bookmarkStart w:id="25" w:name="_Toc391664553"/>
      <w:bookmarkStart w:id="26" w:name="_Toc391664673"/>
      <w:bookmarkStart w:id="27" w:name="_Toc391664793"/>
      <w:bookmarkStart w:id="28" w:name="_Toc391664913"/>
      <w:bookmarkStart w:id="29" w:name="_Toc391665033"/>
      <w:bookmarkStart w:id="30" w:name="_Toc391897875"/>
      <w:bookmarkStart w:id="31" w:name="_Toc52952993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B6495">
        <w:rPr>
          <w:b/>
          <w:color w:val="000000"/>
          <w:lang w:eastAsia="en-GB"/>
        </w:rPr>
        <w:t>Résumé de l’action</w:t>
      </w:r>
      <w:bookmarkEnd w:id="31"/>
    </w:p>
    <w:p w14:paraId="5E932C40" w14:textId="77777777" w:rsidR="007617F1" w:rsidRPr="0064401C" w:rsidRDefault="007617F1" w:rsidP="0064401C">
      <w:pPr>
        <w:widowControl w:val="0"/>
        <w:tabs>
          <w:tab w:val="left" w:pos="851"/>
        </w:tabs>
        <w:spacing w:before="240" w:after="0" w:line="276" w:lineRule="auto"/>
        <w:jc w:val="left"/>
        <w:outlineLvl w:val="2"/>
        <w:rPr>
          <w:lang w:eastAsia="en-GB"/>
        </w:rPr>
      </w:pPr>
      <w:bookmarkStart w:id="32" w:name="_Toc529529938"/>
      <w:r w:rsidRPr="0064401C">
        <w:rPr>
          <w:lang w:eastAsia="en-GB"/>
        </w:rPr>
        <w:t>Complétez le tableau ci-dessous :</w:t>
      </w:r>
      <w:bookmarkEnd w:id="32"/>
    </w:p>
    <w:tbl>
      <w:tblPr>
        <w:tblW w:w="9356"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CellMar>
          <w:top w:w="57" w:type="dxa"/>
          <w:bottom w:w="57" w:type="dxa"/>
        </w:tblCellMar>
        <w:tblLook w:val="01E0" w:firstRow="1" w:lastRow="1" w:firstColumn="1" w:lastColumn="1" w:noHBand="0" w:noVBand="0"/>
      </w:tblPr>
      <w:tblGrid>
        <w:gridCol w:w="3119"/>
        <w:gridCol w:w="6237"/>
      </w:tblGrid>
      <w:tr w:rsidR="007617F1" w:rsidRPr="00CB6495" w14:paraId="5E1D6132" w14:textId="77777777" w:rsidTr="008E5471">
        <w:trPr>
          <w:tblCellSpacing w:w="20" w:type="dxa"/>
        </w:trPr>
        <w:tc>
          <w:tcPr>
            <w:tcW w:w="3059" w:type="dxa"/>
            <w:tcBorders>
              <w:top w:val="outset" w:sz="24" w:space="0" w:color="auto"/>
            </w:tcBorders>
            <w:shd w:val="clear" w:color="auto" w:fill="D9D9D9"/>
            <w:vAlign w:val="center"/>
          </w:tcPr>
          <w:p w14:paraId="4F156BAA" w14:textId="77777777" w:rsidR="007617F1" w:rsidRPr="00CB6495" w:rsidRDefault="007617F1" w:rsidP="007617F1">
            <w:pPr>
              <w:spacing w:after="0"/>
              <w:jc w:val="left"/>
              <w:rPr>
                <w:lang w:eastAsia="en-GB"/>
              </w:rPr>
            </w:pPr>
            <w:r w:rsidRPr="00CB6495">
              <w:rPr>
                <w:b/>
                <w:lang w:eastAsia="en-GB"/>
              </w:rPr>
              <w:t>Objectifs de l’action</w:t>
            </w:r>
          </w:p>
        </w:tc>
        <w:tc>
          <w:tcPr>
            <w:tcW w:w="6177" w:type="dxa"/>
            <w:tcBorders>
              <w:top w:val="outset" w:sz="24" w:space="0" w:color="auto"/>
            </w:tcBorders>
          </w:tcPr>
          <w:p w14:paraId="03D03F7D" w14:textId="77777777" w:rsidR="007617F1" w:rsidRPr="00CB6495" w:rsidRDefault="007617F1" w:rsidP="007617F1">
            <w:pPr>
              <w:spacing w:after="120"/>
              <w:rPr>
                <w:i/>
                <w:lang w:eastAsia="en-GB"/>
              </w:rPr>
            </w:pPr>
            <w:r w:rsidRPr="00CB6495">
              <w:rPr>
                <w:i/>
                <w:lang w:eastAsia="en-GB"/>
              </w:rPr>
              <w:t>&lt;Objectifs globaux (impact)&gt;</w:t>
            </w:r>
          </w:p>
          <w:p w14:paraId="67205302" w14:textId="77777777" w:rsidR="007617F1" w:rsidRPr="00CB6495" w:rsidRDefault="007617F1" w:rsidP="007617F1">
            <w:pPr>
              <w:spacing w:after="0"/>
              <w:rPr>
                <w:lang w:eastAsia="en-GB"/>
              </w:rPr>
            </w:pPr>
            <w:r w:rsidRPr="00CB6495">
              <w:rPr>
                <w:i/>
                <w:lang w:eastAsia="en-GB"/>
              </w:rPr>
              <w:t>&lt;Objectifs spécifiques (effets directs)&gt;</w:t>
            </w:r>
          </w:p>
        </w:tc>
      </w:tr>
      <w:tr w:rsidR="007617F1" w:rsidRPr="00CB6495" w14:paraId="2BF61C8F" w14:textId="77777777" w:rsidTr="008E5471">
        <w:trPr>
          <w:tblCellSpacing w:w="20" w:type="dxa"/>
        </w:trPr>
        <w:tc>
          <w:tcPr>
            <w:tcW w:w="3059" w:type="dxa"/>
            <w:shd w:val="clear" w:color="auto" w:fill="D9D9D9"/>
            <w:vAlign w:val="center"/>
          </w:tcPr>
          <w:p w14:paraId="2826A377" w14:textId="77777777" w:rsidR="007617F1" w:rsidRPr="00CB6495" w:rsidRDefault="007617F1" w:rsidP="007617F1">
            <w:pPr>
              <w:spacing w:after="0"/>
              <w:jc w:val="left"/>
              <w:rPr>
                <w:lang w:eastAsia="en-GB"/>
              </w:rPr>
            </w:pPr>
            <w:r w:rsidRPr="00CB6495">
              <w:rPr>
                <w:b/>
                <w:lang w:eastAsia="en-GB"/>
              </w:rPr>
              <w:t>Groupe(s) cible(s)</w:t>
            </w:r>
            <w:r w:rsidRPr="00CB6495">
              <w:rPr>
                <w:vertAlign w:val="superscript"/>
                <w:lang w:eastAsia="zh-CN"/>
              </w:rPr>
              <w:footnoteReference w:id="9"/>
            </w:r>
          </w:p>
        </w:tc>
        <w:tc>
          <w:tcPr>
            <w:tcW w:w="6177" w:type="dxa"/>
          </w:tcPr>
          <w:p w14:paraId="6D59E013" w14:textId="77777777" w:rsidR="007617F1" w:rsidRPr="00CB6495" w:rsidRDefault="007617F1" w:rsidP="007617F1">
            <w:pPr>
              <w:spacing w:after="0"/>
              <w:rPr>
                <w:lang w:eastAsia="en-GB"/>
              </w:rPr>
            </w:pPr>
          </w:p>
        </w:tc>
      </w:tr>
      <w:tr w:rsidR="007617F1" w:rsidRPr="00CB6495" w14:paraId="7B4713DF" w14:textId="77777777" w:rsidTr="008E5471">
        <w:trPr>
          <w:tblCellSpacing w:w="20" w:type="dxa"/>
        </w:trPr>
        <w:tc>
          <w:tcPr>
            <w:tcW w:w="3059" w:type="dxa"/>
            <w:shd w:val="clear" w:color="auto" w:fill="D9D9D9"/>
            <w:vAlign w:val="center"/>
          </w:tcPr>
          <w:p w14:paraId="1BB263C2" w14:textId="77777777" w:rsidR="007617F1" w:rsidRPr="00CB6495" w:rsidRDefault="007617F1" w:rsidP="007617F1">
            <w:pPr>
              <w:spacing w:after="0"/>
              <w:jc w:val="left"/>
              <w:rPr>
                <w:lang w:eastAsia="en-GB"/>
              </w:rPr>
            </w:pPr>
            <w:r w:rsidRPr="00CB6495">
              <w:rPr>
                <w:b/>
                <w:lang w:eastAsia="en-GB"/>
              </w:rPr>
              <w:t>Bénéficiaires finaux</w:t>
            </w:r>
            <w:r w:rsidRPr="00CB6495">
              <w:rPr>
                <w:vertAlign w:val="superscript"/>
                <w:lang w:eastAsia="zh-CN"/>
              </w:rPr>
              <w:footnoteReference w:id="10"/>
            </w:r>
          </w:p>
        </w:tc>
        <w:tc>
          <w:tcPr>
            <w:tcW w:w="6177" w:type="dxa"/>
          </w:tcPr>
          <w:p w14:paraId="25A9B9BB" w14:textId="77777777" w:rsidR="007617F1" w:rsidRPr="00CB6495" w:rsidRDefault="007617F1" w:rsidP="007617F1">
            <w:pPr>
              <w:spacing w:after="0"/>
              <w:rPr>
                <w:lang w:eastAsia="en-GB"/>
              </w:rPr>
            </w:pPr>
          </w:p>
        </w:tc>
      </w:tr>
      <w:tr w:rsidR="007617F1" w:rsidRPr="00CB6495" w14:paraId="0669911D" w14:textId="77777777" w:rsidTr="008E5471">
        <w:trPr>
          <w:tblCellSpacing w:w="20" w:type="dxa"/>
        </w:trPr>
        <w:tc>
          <w:tcPr>
            <w:tcW w:w="3059" w:type="dxa"/>
            <w:shd w:val="clear" w:color="auto" w:fill="D9D9D9"/>
            <w:vAlign w:val="center"/>
          </w:tcPr>
          <w:p w14:paraId="70D24327" w14:textId="77777777" w:rsidR="007617F1" w:rsidRPr="00CB6495" w:rsidRDefault="007617F1" w:rsidP="007617F1">
            <w:pPr>
              <w:spacing w:after="0"/>
              <w:jc w:val="left"/>
              <w:rPr>
                <w:lang w:eastAsia="en-GB"/>
              </w:rPr>
            </w:pPr>
            <w:r w:rsidRPr="00CB6495">
              <w:rPr>
                <w:b/>
                <w:lang w:eastAsia="en-GB"/>
              </w:rPr>
              <w:t>Produits escomptés</w:t>
            </w:r>
          </w:p>
        </w:tc>
        <w:tc>
          <w:tcPr>
            <w:tcW w:w="6177" w:type="dxa"/>
          </w:tcPr>
          <w:p w14:paraId="4D6713A5" w14:textId="77777777" w:rsidR="007617F1" w:rsidRPr="00CB6495" w:rsidRDefault="007617F1" w:rsidP="007617F1">
            <w:pPr>
              <w:spacing w:after="0"/>
              <w:rPr>
                <w:lang w:eastAsia="en-GB"/>
              </w:rPr>
            </w:pPr>
          </w:p>
        </w:tc>
      </w:tr>
      <w:tr w:rsidR="007617F1" w:rsidRPr="00CB6495" w14:paraId="47D63DEE" w14:textId="77777777" w:rsidTr="008E5471">
        <w:trPr>
          <w:tblCellSpacing w:w="20" w:type="dxa"/>
        </w:trPr>
        <w:tc>
          <w:tcPr>
            <w:tcW w:w="3059" w:type="dxa"/>
            <w:tcBorders>
              <w:bottom w:val="outset" w:sz="24" w:space="0" w:color="auto"/>
            </w:tcBorders>
            <w:shd w:val="clear" w:color="auto" w:fill="D9D9D9"/>
            <w:vAlign w:val="center"/>
          </w:tcPr>
          <w:p w14:paraId="1AF0B5CB" w14:textId="77777777" w:rsidR="007617F1" w:rsidRPr="00CB6495" w:rsidRDefault="007617F1" w:rsidP="007617F1">
            <w:pPr>
              <w:spacing w:after="0"/>
              <w:jc w:val="left"/>
              <w:rPr>
                <w:lang w:eastAsia="en-GB"/>
              </w:rPr>
            </w:pPr>
            <w:r w:rsidRPr="00CB6495">
              <w:rPr>
                <w:b/>
                <w:lang w:eastAsia="en-GB"/>
              </w:rPr>
              <w:t xml:space="preserve">Activités principales </w:t>
            </w:r>
          </w:p>
        </w:tc>
        <w:tc>
          <w:tcPr>
            <w:tcW w:w="6177" w:type="dxa"/>
            <w:tcBorders>
              <w:bottom w:val="outset" w:sz="24" w:space="0" w:color="auto"/>
            </w:tcBorders>
          </w:tcPr>
          <w:p w14:paraId="1F7ADF53" w14:textId="77777777" w:rsidR="007617F1" w:rsidRPr="00CB6495" w:rsidRDefault="007617F1" w:rsidP="007617F1">
            <w:pPr>
              <w:spacing w:after="0"/>
              <w:rPr>
                <w:lang w:eastAsia="en-GB"/>
              </w:rPr>
            </w:pPr>
          </w:p>
        </w:tc>
      </w:tr>
    </w:tbl>
    <w:p w14:paraId="0112B7F2" w14:textId="77777777" w:rsidR="007617F1" w:rsidRPr="00CB6495" w:rsidRDefault="007617F1" w:rsidP="007617F1">
      <w:pPr>
        <w:spacing w:after="0"/>
        <w:jc w:val="left"/>
        <w:rPr>
          <w:lang w:eastAsia="en-GB"/>
        </w:rPr>
      </w:pPr>
    </w:p>
    <w:p w14:paraId="46276248" w14:textId="4E7B94A0" w:rsidR="007617F1" w:rsidRPr="00CB6495" w:rsidRDefault="007617F1" w:rsidP="007617F1">
      <w:pPr>
        <w:widowControl w:val="0"/>
        <w:numPr>
          <w:ilvl w:val="1"/>
          <w:numId w:val="32"/>
        </w:numPr>
        <w:tabs>
          <w:tab w:val="left" w:pos="737"/>
        </w:tabs>
        <w:spacing w:before="240" w:after="120" w:line="276" w:lineRule="auto"/>
        <w:jc w:val="left"/>
        <w:outlineLvl w:val="1"/>
        <w:rPr>
          <w:b/>
          <w:color w:val="000000"/>
          <w:lang w:eastAsia="en-GB"/>
        </w:rPr>
      </w:pPr>
      <w:bookmarkStart w:id="33" w:name="_Toc529529939"/>
      <w:r w:rsidRPr="00CB6495">
        <w:rPr>
          <w:b/>
          <w:color w:val="000000"/>
          <w:lang w:eastAsia="en-GB"/>
        </w:rPr>
        <w:t xml:space="preserve">Description de l’action : (maximum </w:t>
      </w:r>
      <w:r w:rsidR="00F90CFE">
        <w:rPr>
          <w:b/>
          <w:color w:val="000000"/>
          <w:lang w:eastAsia="en-GB"/>
        </w:rPr>
        <w:t>4</w:t>
      </w:r>
      <w:r w:rsidR="00F90CFE" w:rsidRPr="00CB6495">
        <w:rPr>
          <w:b/>
          <w:color w:val="000000"/>
          <w:lang w:eastAsia="en-GB"/>
        </w:rPr>
        <w:t xml:space="preserve"> </w:t>
      </w:r>
      <w:r w:rsidRPr="00CB6495">
        <w:rPr>
          <w:b/>
          <w:color w:val="000000"/>
          <w:lang w:eastAsia="en-GB"/>
        </w:rPr>
        <w:t>pages)</w:t>
      </w:r>
      <w:bookmarkEnd w:id="33"/>
    </w:p>
    <w:p w14:paraId="475644DA" w14:textId="77777777" w:rsidR="00856555" w:rsidRPr="00CB6495" w:rsidRDefault="00856555" w:rsidP="009B7A72">
      <w:pPr>
        <w:spacing w:after="0"/>
        <w:rPr>
          <w:lang w:eastAsia="en-GB"/>
        </w:rPr>
      </w:pPr>
      <w:r w:rsidRPr="00CB6495">
        <w:rPr>
          <w:lang w:eastAsia="en-GB"/>
        </w:rPr>
        <w:t>i.</w:t>
      </w:r>
      <w:r w:rsidRPr="00CB6495">
        <w:rPr>
          <w:lang w:eastAsia="en-GB"/>
        </w:rPr>
        <w:tab/>
        <w:t>Exposez le contexte dans lequel s’inscrit la préparation de l’action, en particulier le contexte sectoriel/national/régional (y compris les principaux défis). Mentionnez toute analyse/étude spécifique réalisée pour étayer la conception de l’action (analyse du contexte).</w:t>
      </w:r>
    </w:p>
    <w:p w14:paraId="7949A2DD" w14:textId="77777777" w:rsidR="00856555" w:rsidRPr="00CB6495" w:rsidRDefault="00856555" w:rsidP="009B7A72">
      <w:pPr>
        <w:spacing w:after="0"/>
        <w:jc w:val="left"/>
        <w:rPr>
          <w:lang w:eastAsia="en-GB"/>
        </w:rPr>
      </w:pPr>
    </w:p>
    <w:p w14:paraId="539C3583" w14:textId="77777777" w:rsidR="00856555" w:rsidRPr="00CB6495" w:rsidRDefault="00856555" w:rsidP="009B7A72">
      <w:pPr>
        <w:spacing w:after="0"/>
        <w:jc w:val="left"/>
        <w:rPr>
          <w:lang w:eastAsia="en-GB"/>
        </w:rPr>
      </w:pPr>
      <w:r w:rsidRPr="00CB6495">
        <w:rPr>
          <w:lang w:eastAsia="en-GB"/>
        </w:rPr>
        <w:t>ii.</w:t>
      </w:r>
      <w:r w:rsidRPr="00CB6495">
        <w:rPr>
          <w:lang w:eastAsia="en-GB"/>
        </w:rPr>
        <w:tab/>
        <w:t>Expliquez les objectifs de l’action indiqués dans le tableau figurant à la section 1.1.</w:t>
      </w:r>
    </w:p>
    <w:p w14:paraId="18F9E2C3" w14:textId="77777777" w:rsidR="00856555" w:rsidRPr="00CB6495" w:rsidRDefault="00856555" w:rsidP="009B7A72">
      <w:pPr>
        <w:spacing w:after="0"/>
        <w:jc w:val="left"/>
        <w:rPr>
          <w:lang w:eastAsia="en-GB"/>
        </w:rPr>
      </w:pPr>
    </w:p>
    <w:p w14:paraId="2ABDC605" w14:textId="77777777" w:rsidR="00856555" w:rsidRPr="00CB6495" w:rsidRDefault="00856555" w:rsidP="009B7A72">
      <w:pPr>
        <w:spacing w:after="0"/>
        <w:jc w:val="left"/>
        <w:rPr>
          <w:lang w:eastAsia="en-GB"/>
        </w:rPr>
      </w:pPr>
      <w:r w:rsidRPr="00CB6495">
        <w:rPr>
          <w:lang w:eastAsia="en-GB"/>
        </w:rPr>
        <w:t>iii.</w:t>
      </w:r>
      <w:r w:rsidRPr="00CB6495">
        <w:rPr>
          <w:lang w:eastAsia="en-GB"/>
        </w:rPr>
        <w:tab/>
        <w:t>Décrivez les principaux groupes de parties prenantes, leur attitude vis-à-vis de l’action et les éventuelles consultations qui ont eu lieu.</w:t>
      </w:r>
    </w:p>
    <w:p w14:paraId="457D0AA9" w14:textId="77777777" w:rsidR="00856555" w:rsidRPr="00CB6495" w:rsidRDefault="00856555" w:rsidP="009B7A72">
      <w:pPr>
        <w:spacing w:after="0"/>
        <w:jc w:val="left"/>
        <w:rPr>
          <w:lang w:eastAsia="en-GB"/>
        </w:rPr>
      </w:pPr>
    </w:p>
    <w:p w14:paraId="4D628914" w14:textId="77777777" w:rsidR="00856555" w:rsidRPr="00CB6495" w:rsidRDefault="00856555" w:rsidP="009B7A72">
      <w:pPr>
        <w:spacing w:after="0"/>
        <w:rPr>
          <w:lang w:eastAsia="en-GB"/>
        </w:rPr>
      </w:pPr>
      <w:r w:rsidRPr="00CB6495">
        <w:rPr>
          <w:lang w:eastAsia="en-GB"/>
        </w:rPr>
        <w:t>iv.</w:t>
      </w:r>
      <w:r w:rsidRPr="00CB6495">
        <w:rPr>
          <w:lang w:eastAsia="en-GB"/>
        </w:rPr>
        <w:tab/>
        <w:t>Exposez brièvement la logique d’intervention dans la laquelle s’inscrit l’action, en indiquant les produits, les effets directs et l’impact escomptés et en mettant en évidence les principaux risques et hypothèses liés à leur réalisation.</w:t>
      </w:r>
    </w:p>
    <w:p w14:paraId="690EDB98" w14:textId="77777777" w:rsidR="00856555" w:rsidRPr="00CB6495" w:rsidRDefault="00856555" w:rsidP="009B7A72">
      <w:pPr>
        <w:spacing w:after="0"/>
        <w:rPr>
          <w:lang w:eastAsia="en-GB"/>
        </w:rPr>
      </w:pPr>
    </w:p>
    <w:p w14:paraId="5831A73F" w14:textId="77777777" w:rsidR="00856555" w:rsidRPr="00CB6495" w:rsidRDefault="00856555" w:rsidP="009B7A72">
      <w:pPr>
        <w:spacing w:after="0"/>
        <w:rPr>
          <w:lang w:eastAsia="en-GB"/>
        </w:rPr>
      </w:pPr>
      <w:r w:rsidRPr="00CB6495">
        <w:rPr>
          <w:lang w:eastAsia="en-GB"/>
        </w:rPr>
        <w:t>v.</w:t>
      </w:r>
      <w:r w:rsidRPr="00CB6495">
        <w:rPr>
          <w:lang w:eastAsia="en-GB"/>
        </w:rPr>
        <w:tab/>
        <w:t xml:space="preserve">Présentez brièvement le type d’activités proposées, en décrivant les liens/rapports entre les groupes d’activités. </w:t>
      </w:r>
    </w:p>
    <w:p w14:paraId="7A0B4D20" w14:textId="77777777" w:rsidR="00856555" w:rsidRPr="00CB6495" w:rsidRDefault="00856555" w:rsidP="009B7A72">
      <w:pPr>
        <w:spacing w:after="0"/>
        <w:rPr>
          <w:lang w:eastAsia="en-GB"/>
        </w:rPr>
      </w:pPr>
    </w:p>
    <w:p w14:paraId="03E9F3B5" w14:textId="665171EB" w:rsidR="00856555" w:rsidRPr="00CB6495" w:rsidRDefault="00856555" w:rsidP="009B7A72">
      <w:pPr>
        <w:spacing w:after="0"/>
        <w:rPr>
          <w:lang w:eastAsia="en-GB"/>
        </w:rPr>
      </w:pPr>
      <w:r w:rsidRPr="00CB6495">
        <w:rPr>
          <w:lang w:eastAsia="en-GB"/>
        </w:rPr>
        <w:t>vi.</w:t>
      </w:r>
      <w:r w:rsidRPr="00CB6495">
        <w:rPr>
          <w:lang w:eastAsia="en-GB"/>
        </w:rPr>
        <w:tab/>
        <w:t xml:space="preserve">Expliquez de quelle manière l'action intègrera les questions transversales pertinentes telles que la promotion des droits de l’homme, l’égalité entre les hommes et les femmes, la démocratie, la bonne gouvernance, l’aide à la jeunesse, les droits des enfants et les peuples autochtones, la durabilité environnementale </w:t>
      </w:r>
    </w:p>
    <w:p w14:paraId="1E9ACEF2" w14:textId="77777777" w:rsidR="00856555" w:rsidRPr="00CB6495" w:rsidRDefault="00856555" w:rsidP="009B7A72">
      <w:pPr>
        <w:spacing w:after="0"/>
        <w:rPr>
          <w:lang w:eastAsia="en-GB"/>
        </w:rPr>
      </w:pPr>
    </w:p>
    <w:p w14:paraId="3401D93B" w14:textId="77777777" w:rsidR="00856555" w:rsidRPr="00CB6495" w:rsidRDefault="00856555" w:rsidP="009B7A72">
      <w:pPr>
        <w:spacing w:after="0"/>
        <w:rPr>
          <w:lang w:eastAsia="en-GB"/>
        </w:rPr>
      </w:pPr>
      <w:r w:rsidRPr="00CB6495">
        <w:rPr>
          <w:lang w:eastAsia="en-GB"/>
        </w:rPr>
        <w:t>vii.</w:t>
      </w:r>
      <w:r w:rsidRPr="00CB6495">
        <w:rPr>
          <w:lang w:eastAsia="en-GB"/>
        </w:rPr>
        <w:tab/>
        <w:t>Donnez un aperçu du calendrier indicatif de l’action accompagné d’une description des facteurs spécifiques qui ont été pris en compte.</w:t>
      </w:r>
    </w:p>
    <w:p w14:paraId="39BA4E5D" w14:textId="40F2FF1D" w:rsidR="007617F1" w:rsidRPr="00CB6495" w:rsidRDefault="007617F1" w:rsidP="009B7A72">
      <w:pPr>
        <w:spacing w:after="0"/>
        <w:rPr>
          <w:lang w:eastAsia="en-GB"/>
        </w:rPr>
      </w:pPr>
    </w:p>
    <w:p w14:paraId="3B5D083F" w14:textId="426018DD" w:rsidR="007617F1" w:rsidRDefault="007617F1" w:rsidP="009B7A72">
      <w:pPr>
        <w:widowControl w:val="0"/>
        <w:numPr>
          <w:ilvl w:val="1"/>
          <w:numId w:val="32"/>
        </w:numPr>
        <w:tabs>
          <w:tab w:val="left" w:pos="737"/>
        </w:tabs>
        <w:spacing w:after="0"/>
        <w:jc w:val="left"/>
        <w:outlineLvl w:val="1"/>
        <w:rPr>
          <w:b/>
          <w:color w:val="000000"/>
          <w:lang w:eastAsia="en-GB"/>
        </w:rPr>
      </w:pPr>
      <w:bookmarkStart w:id="34" w:name="_Toc529529940"/>
      <w:r w:rsidRPr="00CB6495">
        <w:rPr>
          <w:b/>
          <w:color w:val="000000"/>
          <w:lang w:eastAsia="en-GB"/>
        </w:rPr>
        <w:t>Pertinence de l'action (maximum 3 pages)</w:t>
      </w:r>
      <w:bookmarkStart w:id="35" w:name="_Toc418083548"/>
      <w:bookmarkStart w:id="36" w:name="_Toc418083608"/>
      <w:bookmarkStart w:id="37" w:name="_Toc418083746"/>
      <w:bookmarkStart w:id="38" w:name="_Toc418180765"/>
      <w:bookmarkStart w:id="39" w:name="_Toc418620996"/>
      <w:bookmarkStart w:id="40" w:name="_Toc418621101"/>
      <w:bookmarkStart w:id="41" w:name="_Toc418621152"/>
      <w:bookmarkStart w:id="42" w:name="_Toc418621202"/>
      <w:bookmarkStart w:id="43" w:name="_Toc418621438"/>
      <w:bookmarkStart w:id="44" w:name="_Toc418621464"/>
      <w:bookmarkStart w:id="45" w:name="_Toc418621499"/>
      <w:bookmarkStart w:id="46" w:name="_Toc418621626"/>
      <w:bookmarkStart w:id="47" w:name="_Toc418687952"/>
      <w:bookmarkStart w:id="48" w:name="_Toc418688304"/>
      <w:bookmarkStart w:id="49" w:name="_Toc418688490"/>
      <w:bookmarkStart w:id="50" w:name="_Toc418083549"/>
      <w:bookmarkStart w:id="51" w:name="_Toc418083609"/>
      <w:bookmarkStart w:id="52" w:name="_Toc418083747"/>
      <w:bookmarkStart w:id="53" w:name="_Toc418180766"/>
      <w:bookmarkStart w:id="54" w:name="_Toc418620997"/>
      <w:bookmarkStart w:id="55" w:name="_Toc418621102"/>
      <w:bookmarkStart w:id="56" w:name="_Toc418621153"/>
      <w:bookmarkStart w:id="57" w:name="_Toc418621203"/>
      <w:bookmarkStart w:id="58" w:name="_Toc418621439"/>
      <w:bookmarkStart w:id="59" w:name="_Toc418621465"/>
      <w:bookmarkStart w:id="60" w:name="_Toc418621500"/>
      <w:bookmarkStart w:id="61" w:name="_Toc418621627"/>
      <w:bookmarkStart w:id="62" w:name="_Toc418687953"/>
      <w:bookmarkStart w:id="63" w:name="_Toc418688305"/>
      <w:bookmarkStart w:id="64" w:name="_Toc418688491"/>
      <w:bookmarkStart w:id="65" w:name="_Toc418694251"/>
      <w:bookmarkStart w:id="66" w:name="_Toc418694319"/>
      <w:bookmarkStart w:id="67" w:name="_Toc419204937"/>
      <w:bookmarkStart w:id="68" w:name="_Toc418083550"/>
      <w:bookmarkStart w:id="69" w:name="_Toc418083610"/>
      <w:bookmarkStart w:id="70" w:name="_Toc418083748"/>
      <w:bookmarkStart w:id="71" w:name="_Toc418180767"/>
      <w:bookmarkStart w:id="72" w:name="_Toc418620998"/>
      <w:bookmarkStart w:id="73" w:name="_Toc418621103"/>
      <w:bookmarkStart w:id="74" w:name="_Toc418621154"/>
      <w:bookmarkStart w:id="75" w:name="_Toc418621204"/>
      <w:bookmarkStart w:id="76" w:name="_Toc418621440"/>
      <w:bookmarkStart w:id="77" w:name="_Toc418621466"/>
      <w:bookmarkStart w:id="78" w:name="_Toc418621501"/>
      <w:bookmarkStart w:id="79" w:name="_Toc418621628"/>
      <w:bookmarkStart w:id="80" w:name="_Toc418687954"/>
      <w:bookmarkStart w:id="81" w:name="_Toc418688306"/>
      <w:bookmarkStart w:id="82" w:name="_Toc418688492"/>
      <w:bookmarkStart w:id="83" w:name="_Toc418694252"/>
      <w:bookmarkStart w:id="84" w:name="_Toc418694320"/>
      <w:bookmarkStart w:id="85" w:name="_Toc419204938"/>
      <w:bookmarkStart w:id="86" w:name="_Toc418083551"/>
      <w:bookmarkStart w:id="87" w:name="_Toc418083611"/>
      <w:bookmarkStart w:id="88" w:name="_Toc418083749"/>
      <w:bookmarkStart w:id="89" w:name="_Toc418180768"/>
      <w:bookmarkStart w:id="90" w:name="_Toc418620999"/>
      <w:bookmarkStart w:id="91" w:name="_Toc418621104"/>
      <w:bookmarkStart w:id="92" w:name="_Toc418621155"/>
      <w:bookmarkStart w:id="93" w:name="_Toc418621205"/>
      <w:bookmarkStart w:id="94" w:name="_Toc418621441"/>
      <w:bookmarkStart w:id="95" w:name="_Toc418621467"/>
      <w:bookmarkStart w:id="96" w:name="_Toc418621502"/>
      <w:bookmarkStart w:id="97" w:name="_Toc418621629"/>
      <w:bookmarkStart w:id="98" w:name="_Toc418687955"/>
      <w:bookmarkStart w:id="99" w:name="_Toc418688307"/>
      <w:bookmarkStart w:id="100" w:name="_Toc418688493"/>
      <w:bookmarkStart w:id="101" w:name="_Toc418694253"/>
      <w:bookmarkStart w:id="102" w:name="_Toc418694321"/>
      <w:bookmarkStart w:id="103" w:name="_Toc419204939"/>
      <w:bookmarkStart w:id="104" w:name="_Toc418083552"/>
      <w:bookmarkStart w:id="105" w:name="_Toc418083612"/>
      <w:bookmarkStart w:id="106" w:name="_Toc418083750"/>
      <w:bookmarkStart w:id="107" w:name="_Toc418180769"/>
      <w:bookmarkStart w:id="108" w:name="_Toc418621000"/>
      <w:bookmarkStart w:id="109" w:name="_Toc418621105"/>
      <w:bookmarkStart w:id="110" w:name="_Toc418621156"/>
      <w:bookmarkStart w:id="111" w:name="_Toc418621206"/>
      <w:bookmarkStart w:id="112" w:name="_Toc418621442"/>
      <w:bookmarkStart w:id="113" w:name="_Toc418621468"/>
      <w:bookmarkStart w:id="114" w:name="_Toc418621503"/>
      <w:bookmarkStart w:id="115" w:name="_Toc418621630"/>
      <w:bookmarkStart w:id="116" w:name="_Toc418687956"/>
      <w:bookmarkStart w:id="117" w:name="_Toc418688308"/>
      <w:bookmarkStart w:id="118" w:name="_Toc418688494"/>
      <w:bookmarkStart w:id="119" w:name="_Toc418694254"/>
      <w:bookmarkStart w:id="120" w:name="_Toc418694322"/>
      <w:bookmarkStart w:id="121" w:name="_Toc41920494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BA6B0DF" w14:textId="77777777" w:rsidR="009B7A72" w:rsidRPr="00CB6495" w:rsidRDefault="009B7A72" w:rsidP="009B7A72">
      <w:pPr>
        <w:widowControl w:val="0"/>
        <w:tabs>
          <w:tab w:val="left" w:pos="737"/>
        </w:tabs>
        <w:spacing w:after="0"/>
        <w:jc w:val="left"/>
        <w:outlineLvl w:val="1"/>
        <w:rPr>
          <w:b/>
          <w:color w:val="000000"/>
          <w:lang w:eastAsia="en-GB"/>
        </w:rPr>
      </w:pPr>
    </w:p>
    <w:p w14:paraId="7B123725" w14:textId="75E11009" w:rsidR="007617F1" w:rsidRPr="00CB6495" w:rsidRDefault="007617F1" w:rsidP="009B7A72">
      <w:pPr>
        <w:widowControl w:val="0"/>
        <w:numPr>
          <w:ilvl w:val="2"/>
          <w:numId w:val="32"/>
        </w:numPr>
        <w:tabs>
          <w:tab w:val="left" w:pos="851"/>
        </w:tabs>
        <w:spacing w:after="0"/>
        <w:outlineLvl w:val="2"/>
        <w:rPr>
          <w:b/>
          <w:lang w:eastAsia="en-GB"/>
        </w:rPr>
      </w:pPr>
      <w:bookmarkStart w:id="122" w:name="_Toc529529941"/>
      <w:r w:rsidRPr="00CB6495">
        <w:rPr>
          <w:b/>
          <w:lang w:eastAsia="en-GB"/>
        </w:rPr>
        <w:t>Pertinence par rappor</w:t>
      </w:r>
      <w:r w:rsidR="00DC5EA0" w:rsidRPr="00CB6495">
        <w:rPr>
          <w:b/>
          <w:lang w:eastAsia="en-GB"/>
        </w:rPr>
        <w:t xml:space="preserve">t aux objectifs </w:t>
      </w:r>
      <w:r w:rsidRPr="00CB6495">
        <w:rPr>
          <w:b/>
          <w:lang w:eastAsia="en-GB"/>
        </w:rPr>
        <w:t xml:space="preserve"> de l’appel </w:t>
      </w:r>
      <w:bookmarkEnd w:id="122"/>
    </w:p>
    <w:p w14:paraId="04DA739E" w14:textId="4D666646" w:rsidR="007617F1" w:rsidRDefault="007617F1" w:rsidP="009B7A72">
      <w:pPr>
        <w:spacing w:after="0"/>
        <w:rPr>
          <w:lang w:eastAsia="en-GB"/>
        </w:rPr>
      </w:pPr>
      <w:r w:rsidRPr="00CB6495">
        <w:rPr>
          <w:lang w:eastAsia="en-GB"/>
        </w:rPr>
        <w:t>&lt; insérez le texte ici &gt;</w:t>
      </w:r>
    </w:p>
    <w:p w14:paraId="6C6E59A7" w14:textId="77777777" w:rsidR="009B7A72" w:rsidRPr="00CB6495" w:rsidRDefault="009B7A72" w:rsidP="009B7A72">
      <w:pPr>
        <w:spacing w:after="0"/>
        <w:rPr>
          <w:lang w:eastAsia="en-GB"/>
        </w:rPr>
      </w:pPr>
    </w:p>
    <w:p w14:paraId="70DC3CE4" w14:textId="45CE3B8D" w:rsidR="007617F1" w:rsidRPr="00CB6495" w:rsidRDefault="00DC5EA0" w:rsidP="009B7A72">
      <w:pPr>
        <w:widowControl w:val="0"/>
        <w:numPr>
          <w:ilvl w:val="2"/>
          <w:numId w:val="32"/>
        </w:numPr>
        <w:tabs>
          <w:tab w:val="left" w:pos="851"/>
        </w:tabs>
        <w:spacing w:after="0"/>
        <w:outlineLvl w:val="2"/>
        <w:rPr>
          <w:b/>
          <w:lang w:eastAsia="en-GB"/>
        </w:rPr>
      </w:pPr>
      <w:r w:rsidRPr="00CB6495">
        <w:rPr>
          <w:b/>
          <w:lang w:eastAsia="en-GB"/>
        </w:rPr>
        <w:t>Pertinence par rapport aux besoins particuliers et contrain</w:t>
      </w:r>
      <w:r w:rsidR="00CE312C" w:rsidRPr="00CB6495">
        <w:rPr>
          <w:b/>
          <w:lang w:eastAsia="en-GB"/>
        </w:rPr>
        <w:t xml:space="preserve">tes des zones cibles (y compris </w:t>
      </w:r>
      <w:r w:rsidRPr="00CB6495">
        <w:rPr>
          <w:b/>
          <w:lang w:eastAsia="en-GB"/>
        </w:rPr>
        <w:t>la synergie avec d'autres initiatives de l'UE et d'autres partenaires).</w:t>
      </w:r>
    </w:p>
    <w:p w14:paraId="4C18DA08" w14:textId="5806A011" w:rsidR="007617F1" w:rsidRDefault="007617F1" w:rsidP="009B7A72">
      <w:pPr>
        <w:spacing w:after="0"/>
        <w:rPr>
          <w:lang w:eastAsia="en-GB"/>
        </w:rPr>
      </w:pPr>
      <w:r w:rsidRPr="00CB6495">
        <w:rPr>
          <w:lang w:eastAsia="en-GB"/>
        </w:rPr>
        <w:t>&lt; insérez le texte ici &gt;</w:t>
      </w:r>
    </w:p>
    <w:p w14:paraId="113788CA" w14:textId="77777777" w:rsidR="009B7A72" w:rsidRPr="00CB6495" w:rsidRDefault="009B7A72" w:rsidP="009B7A72">
      <w:pPr>
        <w:spacing w:after="0"/>
        <w:rPr>
          <w:lang w:eastAsia="en-GB"/>
        </w:rPr>
      </w:pPr>
    </w:p>
    <w:p w14:paraId="5F2C4199" w14:textId="511D65D6" w:rsidR="00803D96" w:rsidRPr="00CB6495" w:rsidRDefault="00457872" w:rsidP="009B7A72">
      <w:pPr>
        <w:spacing w:after="0"/>
        <w:rPr>
          <w:b/>
          <w:lang w:eastAsia="en-GB"/>
        </w:rPr>
      </w:pPr>
      <w:r w:rsidRPr="00CB6495">
        <w:rPr>
          <w:b/>
          <w:lang w:eastAsia="en-GB"/>
        </w:rPr>
        <w:t>1.3.</w:t>
      </w:r>
      <w:r w:rsidR="00B40F96" w:rsidRPr="00CB6495">
        <w:rPr>
          <w:b/>
          <w:lang w:eastAsia="en-GB"/>
        </w:rPr>
        <w:t>3</w:t>
      </w:r>
      <w:r w:rsidRPr="00CB6495">
        <w:rPr>
          <w:b/>
          <w:lang w:eastAsia="en-GB"/>
        </w:rPr>
        <w:t xml:space="preserve">.     Prise en compte des contraintes et risques, prise en compte des </w:t>
      </w:r>
      <w:r w:rsidR="00803D96" w:rsidRPr="00CB6495">
        <w:rPr>
          <w:b/>
          <w:lang w:eastAsia="en-GB"/>
        </w:rPr>
        <w:t>contraintes du personnel</w:t>
      </w:r>
    </w:p>
    <w:p w14:paraId="149A1520" w14:textId="77777777" w:rsidR="00CE312C" w:rsidRPr="00CB6495" w:rsidRDefault="00803D96" w:rsidP="009B7A72">
      <w:pPr>
        <w:spacing w:after="0"/>
        <w:rPr>
          <w:lang w:eastAsia="en-GB"/>
        </w:rPr>
      </w:pPr>
      <w:r w:rsidRPr="00CB6495">
        <w:rPr>
          <w:lang w:eastAsia="en-GB"/>
        </w:rPr>
        <w:t>&lt; insérez le texte ici &gt;</w:t>
      </w:r>
    </w:p>
    <w:p w14:paraId="21FB000B" w14:textId="77777777" w:rsidR="00CE312C" w:rsidRPr="00CB6495" w:rsidRDefault="00CE312C" w:rsidP="009B7A72">
      <w:pPr>
        <w:spacing w:after="0"/>
        <w:rPr>
          <w:lang w:eastAsia="en-GB"/>
        </w:rPr>
      </w:pPr>
    </w:p>
    <w:p w14:paraId="63CB203A" w14:textId="678828EF" w:rsidR="00CE312C" w:rsidRPr="00CB6495" w:rsidRDefault="00CE312C" w:rsidP="009B7A72">
      <w:pPr>
        <w:spacing w:after="0"/>
        <w:rPr>
          <w:b/>
          <w:lang w:eastAsia="en-GB"/>
        </w:rPr>
      </w:pPr>
      <w:r w:rsidRPr="00CB6495">
        <w:rPr>
          <w:b/>
          <w:lang w:eastAsia="en-GB"/>
        </w:rPr>
        <w:t>1.3.</w:t>
      </w:r>
      <w:r w:rsidR="00B40F96" w:rsidRPr="00CB6495">
        <w:rPr>
          <w:b/>
          <w:lang w:eastAsia="en-GB"/>
        </w:rPr>
        <w:t>4</w:t>
      </w:r>
      <w:r w:rsidRPr="00CB6495">
        <w:rPr>
          <w:b/>
          <w:lang w:eastAsia="en-GB"/>
        </w:rPr>
        <w:t>.</w:t>
      </w:r>
      <w:r w:rsidRPr="00CB6495">
        <w:rPr>
          <w:lang w:eastAsia="en-GB"/>
        </w:rPr>
        <w:t xml:space="preserve">     </w:t>
      </w:r>
      <w:r w:rsidRPr="00CB6495">
        <w:rPr>
          <w:b/>
          <w:lang w:eastAsia="en-GB"/>
        </w:rPr>
        <w:t>Questions transversales aspects: aspects environnementaux, genre, droits de l’homme, le respect du principe de « ne pas nuire».</w:t>
      </w:r>
    </w:p>
    <w:p w14:paraId="0249D29E" w14:textId="77777777" w:rsidR="00FE0FF7" w:rsidRPr="00CB6495" w:rsidRDefault="00CE312C" w:rsidP="009B7A72">
      <w:pPr>
        <w:spacing w:after="0"/>
        <w:rPr>
          <w:lang w:eastAsia="en-GB"/>
        </w:rPr>
      </w:pPr>
      <w:r w:rsidRPr="00CB6495">
        <w:rPr>
          <w:lang w:eastAsia="en-GB"/>
        </w:rPr>
        <w:t>&lt; insérez le texte ici &gt;</w:t>
      </w:r>
    </w:p>
    <w:p w14:paraId="5848FDAD" w14:textId="77777777" w:rsidR="00FE0FF7" w:rsidRPr="00CB6495" w:rsidRDefault="00FE0FF7" w:rsidP="009B7A72">
      <w:pPr>
        <w:spacing w:after="0"/>
        <w:rPr>
          <w:lang w:eastAsia="en-GB"/>
        </w:rPr>
      </w:pPr>
    </w:p>
    <w:p w14:paraId="40D1E00B" w14:textId="77777777" w:rsidR="00FE0FF7" w:rsidRPr="00CB6495" w:rsidRDefault="00FE0FF7" w:rsidP="009B7A72">
      <w:pPr>
        <w:spacing w:after="0"/>
        <w:rPr>
          <w:lang w:eastAsia="en-GB"/>
        </w:rPr>
      </w:pPr>
    </w:p>
    <w:p w14:paraId="4E8CD14C" w14:textId="0D9AF4D8" w:rsidR="00FE0FF7" w:rsidRDefault="00FE0FF7" w:rsidP="009B7A72">
      <w:pPr>
        <w:spacing w:after="0"/>
        <w:rPr>
          <w:lang w:eastAsia="en-GB"/>
        </w:rPr>
      </w:pPr>
    </w:p>
    <w:p w14:paraId="0CAFC828" w14:textId="77777777" w:rsidR="009B7A72" w:rsidRPr="00CB6495" w:rsidRDefault="009B7A72" w:rsidP="009B7A72">
      <w:pPr>
        <w:spacing w:after="0"/>
        <w:rPr>
          <w:lang w:eastAsia="en-GB"/>
        </w:rPr>
      </w:pPr>
    </w:p>
    <w:p w14:paraId="05B03FED" w14:textId="6763A1C4" w:rsidR="00FE0FF7" w:rsidRPr="00CB6495" w:rsidRDefault="004E40F4" w:rsidP="009B7A72">
      <w:pPr>
        <w:spacing w:after="0"/>
        <w:rPr>
          <w:b/>
          <w:lang w:eastAsia="en-GB"/>
        </w:rPr>
      </w:pPr>
      <w:r w:rsidRPr="00CB6495">
        <w:rPr>
          <w:b/>
          <w:lang w:eastAsia="en-GB"/>
        </w:rPr>
        <w:t>ANNEXE</w:t>
      </w:r>
      <w:r w:rsidR="00FE0FF7" w:rsidRPr="00CB6495">
        <w:rPr>
          <w:b/>
          <w:lang w:eastAsia="en-GB"/>
        </w:rPr>
        <w:t xml:space="preserve"> </w:t>
      </w:r>
      <w:r w:rsidR="00F62EBE" w:rsidRPr="00CB6495">
        <w:rPr>
          <w:b/>
          <w:lang w:eastAsia="en-GB"/>
        </w:rPr>
        <w:t>5</w:t>
      </w:r>
      <w:r w:rsidRPr="00CB6495">
        <w:rPr>
          <w:b/>
          <w:lang w:eastAsia="en-GB"/>
        </w:rPr>
        <w:t xml:space="preserve"> </w:t>
      </w:r>
      <w:r w:rsidR="00FE0FF7" w:rsidRPr="00CB6495">
        <w:rPr>
          <w:b/>
          <w:lang w:eastAsia="en-GB"/>
        </w:rPr>
        <w:t xml:space="preserve">- </w:t>
      </w:r>
      <w:r w:rsidRPr="00CB6495">
        <w:rPr>
          <w:b/>
          <w:lang w:eastAsia="en-GB"/>
        </w:rPr>
        <w:t>Déclaration du demandeur principal (Note succincte de présentation)</w:t>
      </w:r>
    </w:p>
    <w:p w14:paraId="2262C2F2" w14:textId="77777777" w:rsidR="00FE0FF7" w:rsidRPr="00CB6495" w:rsidRDefault="00FE0FF7" w:rsidP="009B7A72">
      <w:pPr>
        <w:spacing w:after="0"/>
        <w:rPr>
          <w:lang w:eastAsia="en-GB"/>
        </w:rPr>
      </w:pPr>
    </w:p>
    <w:p w14:paraId="55912237" w14:textId="77777777" w:rsidR="00FE0FF7" w:rsidRPr="00CB6495" w:rsidRDefault="00FE0FF7" w:rsidP="009B7A72">
      <w:pPr>
        <w:spacing w:after="0"/>
        <w:rPr>
          <w:lang w:eastAsia="en-GB"/>
        </w:rPr>
      </w:pPr>
      <w:r w:rsidRPr="00CB6495">
        <w:rPr>
          <w:lang w:eastAsia="en-GB"/>
        </w:rPr>
        <w:t>Le demandeur principal, représenté par le soussigné en tant que signataire habilité par le demandeur principal et, dans le cadre de la présente demande, représentant les éventuels codemandeurs et entités affiliées dans l’action proposée, déclare par la présente que :</w:t>
      </w:r>
    </w:p>
    <w:p w14:paraId="6EF00591" w14:textId="77777777" w:rsidR="00FE0FF7" w:rsidRPr="00CB6495" w:rsidRDefault="00FE0FF7" w:rsidP="009B7A72">
      <w:pPr>
        <w:spacing w:after="0"/>
        <w:rPr>
          <w:lang w:eastAsia="en-GB"/>
        </w:rPr>
      </w:pPr>
    </w:p>
    <w:p w14:paraId="3BDA7DE2" w14:textId="7441BCC8" w:rsidR="00FE0FF7" w:rsidRPr="00CB6495" w:rsidRDefault="00FE0FF7" w:rsidP="009B7A72">
      <w:pPr>
        <w:spacing w:after="0"/>
        <w:rPr>
          <w:lang w:eastAsia="en-GB"/>
        </w:rPr>
      </w:pPr>
      <w:r w:rsidRPr="00CB6495">
        <w:rPr>
          <w:lang w:eastAsia="en-GB"/>
        </w:rPr>
        <w:t></w:t>
      </w:r>
      <w:r w:rsidRPr="00CB6495">
        <w:rPr>
          <w:lang w:eastAsia="en-GB"/>
        </w:rPr>
        <w:tab/>
        <w:t xml:space="preserve">le demandeur principal dispose des sources de financement et des compétences et qualifications professionnelles mentionnées </w:t>
      </w:r>
      <w:r w:rsidR="00060B9C">
        <w:rPr>
          <w:lang w:eastAsia="en-GB"/>
        </w:rPr>
        <w:t>dans le point 11 de l’AMI</w:t>
      </w:r>
      <w:r w:rsidRPr="00CB6495">
        <w:rPr>
          <w:lang w:eastAsia="en-GB"/>
        </w:rPr>
        <w:t xml:space="preserve"> ;</w:t>
      </w:r>
    </w:p>
    <w:p w14:paraId="09127375" w14:textId="77777777" w:rsidR="00FE0FF7" w:rsidRPr="00CB6495" w:rsidRDefault="00FE0FF7" w:rsidP="009B7A72">
      <w:pPr>
        <w:spacing w:after="0"/>
        <w:rPr>
          <w:lang w:eastAsia="en-GB"/>
        </w:rPr>
      </w:pPr>
    </w:p>
    <w:p w14:paraId="481C2224" w14:textId="77777777" w:rsidR="00FE0FF7" w:rsidRPr="00CB6495" w:rsidRDefault="00FE0FF7" w:rsidP="009B7A72">
      <w:pPr>
        <w:spacing w:after="0"/>
        <w:rPr>
          <w:lang w:eastAsia="en-GB"/>
        </w:rPr>
      </w:pPr>
      <w:r w:rsidRPr="00CB6495">
        <w:rPr>
          <w:lang w:eastAsia="en-GB"/>
        </w:rPr>
        <w:lastRenderedPageBreak/>
        <w:t></w:t>
      </w:r>
      <w:r w:rsidRPr="00CB6495">
        <w:rPr>
          <w:lang w:eastAsia="en-GB"/>
        </w:rPr>
        <w:tab/>
        <w:t>le demandeur principal s’engage à respecter les obligations prévues dans la déclaration des entités affiliées qui figure dans le formulaire de demande de subvention et les principes de bonnes pratiques en matière de partenariat ;</w:t>
      </w:r>
    </w:p>
    <w:p w14:paraId="23E3F2A6" w14:textId="77777777" w:rsidR="00FE0FF7" w:rsidRPr="00CB6495" w:rsidRDefault="00FE0FF7" w:rsidP="009B7A72">
      <w:pPr>
        <w:spacing w:after="0"/>
        <w:rPr>
          <w:lang w:eastAsia="en-GB"/>
        </w:rPr>
      </w:pPr>
    </w:p>
    <w:p w14:paraId="7A568D26" w14:textId="77777777" w:rsidR="00FE0FF7" w:rsidRPr="00CB6495" w:rsidRDefault="00FE0FF7" w:rsidP="009B7A72">
      <w:pPr>
        <w:spacing w:after="0"/>
        <w:rPr>
          <w:lang w:eastAsia="en-GB"/>
        </w:rPr>
      </w:pPr>
      <w:r w:rsidRPr="00CB6495">
        <w:rPr>
          <w:lang w:eastAsia="en-GB"/>
        </w:rPr>
        <w:t></w:t>
      </w:r>
      <w:r w:rsidRPr="00CB6495">
        <w:rPr>
          <w:lang w:eastAsia="en-GB"/>
        </w:rPr>
        <w:tab/>
        <w:t>le demandeur principal est directement responsable de la préparation, de la gestion et de la mise en œuvre de l’action avec les codemandeurs et les entités affiliées, le cas échéant, et n'agit pas en tant intermédiaire ;</w:t>
      </w:r>
    </w:p>
    <w:p w14:paraId="7AE0850C" w14:textId="77777777" w:rsidR="00FE0FF7" w:rsidRPr="00CB6495" w:rsidRDefault="00FE0FF7" w:rsidP="009B7A72">
      <w:pPr>
        <w:spacing w:after="0"/>
        <w:rPr>
          <w:lang w:eastAsia="en-GB"/>
        </w:rPr>
      </w:pPr>
    </w:p>
    <w:p w14:paraId="6571F558" w14:textId="3149EB7A" w:rsidR="00FE0FF7" w:rsidRPr="00CB6495" w:rsidRDefault="00FE0FF7" w:rsidP="009B7A72">
      <w:pPr>
        <w:spacing w:after="0"/>
        <w:rPr>
          <w:lang w:eastAsia="en-GB"/>
        </w:rPr>
      </w:pPr>
      <w:r w:rsidRPr="00CB6495">
        <w:rPr>
          <w:lang w:eastAsia="en-GB"/>
        </w:rPr>
        <w:t></w:t>
      </w:r>
      <w:r w:rsidRPr="00CB6495">
        <w:rPr>
          <w:lang w:eastAsia="en-GB"/>
        </w:rPr>
        <w:tab/>
        <w:t xml:space="preserve">le demandeur principal, les codemandeurs et les entités affiliées ne se trouvent dans aucune des situations justifiant leur exclusion de la participation aux procédures d’attribution de marchés publics et de subventions qui sont énumérées à la section 2.6.10.1 du guide pratique (disponible sur internet à l’adresse suivante : </w:t>
      </w:r>
      <w:hyperlink r:id="rId17" w:history="1">
        <w:r w:rsidR="004E40F4" w:rsidRPr="00CB6495">
          <w:rPr>
            <w:rStyle w:val="Hyperlink"/>
            <w:lang w:eastAsia="en-GB"/>
          </w:rPr>
          <w:t>http://ec.europa.eu/europeaid/prag/document.do</w:t>
        </w:r>
      </w:hyperlink>
      <w:r w:rsidRPr="00CB6495">
        <w:rPr>
          <w:lang w:eastAsia="en-GB"/>
        </w:rPr>
        <w:t xml:space="preserve"> ;</w:t>
      </w:r>
    </w:p>
    <w:p w14:paraId="126E7BAA" w14:textId="77777777" w:rsidR="00FE0FF7" w:rsidRPr="00CB6495" w:rsidRDefault="00FE0FF7" w:rsidP="009B7A72">
      <w:pPr>
        <w:spacing w:after="0"/>
        <w:rPr>
          <w:lang w:eastAsia="en-GB"/>
        </w:rPr>
      </w:pPr>
    </w:p>
    <w:p w14:paraId="338AF14A" w14:textId="18F44A08" w:rsidR="00FE0FF7" w:rsidRPr="00CB6495" w:rsidRDefault="00FE0FF7" w:rsidP="009B7A72">
      <w:pPr>
        <w:spacing w:after="0"/>
        <w:rPr>
          <w:lang w:eastAsia="en-GB"/>
        </w:rPr>
      </w:pPr>
      <w:r w:rsidRPr="00CB6495">
        <w:rPr>
          <w:lang w:eastAsia="en-GB"/>
        </w:rPr>
        <w:t></w:t>
      </w:r>
      <w:r w:rsidRPr="00CB6495">
        <w:rPr>
          <w:lang w:eastAsia="en-GB"/>
        </w:rPr>
        <w:tab/>
        <w:t>en outre, le demandeur principal et, le cas échéant, les codemandeurs et les entités affiliées reconnaissent et acceptent que, s’ils participent alors qu’ils se trouvent dans l’une de ces situations, ils peuvent être exclus d’autres procédures conformément au règlement financier en vigueur ;</w:t>
      </w:r>
    </w:p>
    <w:p w14:paraId="74577720" w14:textId="77777777" w:rsidR="00FE0FF7" w:rsidRPr="00CB6495" w:rsidRDefault="00FE0FF7" w:rsidP="009B7A72">
      <w:pPr>
        <w:spacing w:after="0"/>
        <w:rPr>
          <w:lang w:eastAsia="en-GB"/>
        </w:rPr>
      </w:pPr>
    </w:p>
    <w:p w14:paraId="51100883" w14:textId="5D1CECCB" w:rsidR="00FE0FF7" w:rsidRPr="00CB6495" w:rsidRDefault="00FE0FF7" w:rsidP="009B7A72">
      <w:pPr>
        <w:spacing w:after="0"/>
        <w:rPr>
          <w:lang w:eastAsia="en-GB"/>
        </w:rPr>
      </w:pPr>
      <w:r w:rsidRPr="00CB6495">
        <w:rPr>
          <w:lang w:eastAsia="en-GB"/>
        </w:rPr>
        <w:t></w:t>
      </w:r>
      <w:r w:rsidRPr="00CB6495">
        <w:rPr>
          <w:lang w:eastAsia="en-GB"/>
        </w:rPr>
        <w:tab/>
        <w:t xml:space="preserve">le demandeur principal et chaque codemandeur et entité affiliée (le cas échéant) sont éligibles conformément aux critères énoncés </w:t>
      </w:r>
      <w:r w:rsidR="00F90CFE">
        <w:rPr>
          <w:lang w:eastAsia="en-GB"/>
        </w:rPr>
        <w:t>dans le point 11 de l’</w:t>
      </w:r>
      <w:proofErr w:type="spellStart"/>
      <w:r w:rsidR="00F90CFE">
        <w:rPr>
          <w:lang w:eastAsia="en-GB"/>
        </w:rPr>
        <w:t>AMI</w:t>
      </w:r>
      <w:r w:rsidRPr="00CB6495">
        <w:rPr>
          <w:lang w:eastAsia="en-GB"/>
        </w:rPr>
        <w:t>s</w:t>
      </w:r>
      <w:proofErr w:type="spellEnd"/>
      <w:r w:rsidRPr="00CB6495">
        <w:rPr>
          <w:lang w:eastAsia="en-GB"/>
        </w:rPr>
        <w:t xml:space="preserve"> ;</w:t>
      </w:r>
    </w:p>
    <w:p w14:paraId="5A81FF42" w14:textId="77777777" w:rsidR="00FE0FF7" w:rsidRPr="00CB6495" w:rsidRDefault="00FE0FF7" w:rsidP="009B7A72">
      <w:pPr>
        <w:spacing w:after="0"/>
        <w:rPr>
          <w:lang w:eastAsia="en-GB"/>
        </w:rPr>
      </w:pPr>
    </w:p>
    <w:p w14:paraId="6F236274" w14:textId="643F140D" w:rsidR="00FE0FF7" w:rsidRPr="00CB6495" w:rsidRDefault="00FE0FF7" w:rsidP="009B7A72">
      <w:pPr>
        <w:spacing w:after="0"/>
        <w:rPr>
          <w:lang w:eastAsia="en-GB"/>
        </w:rPr>
      </w:pPr>
      <w:r w:rsidRPr="00CB6495">
        <w:rPr>
          <w:lang w:eastAsia="en-GB"/>
        </w:rPr>
        <w:t></w:t>
      </w:r>
      <w:r w:rsidRPr="00CB6495">
        <w:rPr>
          <w:lang w:eastAsia="en-GB"/>
        </w:rPr>
        <w:tab/>
        <w:t>s’ils sont recommandés pour l’octroi d’une subvention, le demandeur principal, les codemandeurs et les entités affiliées acceptent les conditions contractuelles fixées dans le contrat type de subvention annexé aux lignes directrices à l’intention des demandeurs (annexe G</w:t>
      </w:r>
      <w:r w:rsidR="004E40F4" w:rsidRPr="00CB6495">
        <w:rPr>
          <w:lang w:eastAsia="en-GB"/>
        </w:rPr>
        <w:t xml:space="preserve"> de l’annexe 6 du présent AMI</w:t>
      </w:r>
      <w:r w:rsidRPr="00CB6495">
        <w:rPr>
          <w:lang w:eastAsia="en-GB"/>
        </w:rPr>
        <w:t>) (ou dans la convention de contribution, lorsque le demandeur principal est une organisation dont les piliers ont fait l’objet d’une évaluation positive par la Commission européenne).</w:t>
      </w:r>
    </w:p>
    <w:p w14:paraId="482A71C0" w14:textId="77777777" w:rsidR="00FE0FF7" w:rsidRPr="00CB6495" w:rsidRDefault="00FE0FF7" w:rsidP="009B7A72">
      <w:pPr>
        <w:spacing w:after="0"/>
        <w:rPr>
          <w:lang w:eastAsia="en-GB"/>
        </w:rPr>
      </w:pPr>
    </w:p>
    <w:p w14:paraId="3B84E651" w14:textId="77777777" w:rsidR="00FE0FF7" w:rsidRPr="00CB6495" w:rsidRDefault="00FE0FF7" w:rsidP="009B7A72">
      <w:pPr>
        <w:spacing w:after="0"/>
        <w:rPr>
          <w:lang w:eastAsia="en-GB"/>
        </w:rPr>
      </w:pPr>
      <w:r w:rsidRPr="00CB6495">
        <w:rPr>
          <w:lang w:eastAsia="en-GB"/>
        </w:rPr>
        <w:t>Nous reconnaissons que, si nous participons alors que nous nous trouvons dans l'une des situations énumérées à la section 2.6.10.1 du guide pratique 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pouvant atteindre 10 % de la valeur totale estimée de la subvention octroyée et que cette information peut être publiée sur le site internet de la Commission, conformément au règlement financier en vigueur. 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14:paraId="1F5AA65F" w14:textId="77777777" w:rsidR="00FE0FF7" w:rsidRPr="00CB6495" w:rsidRDefault="00FE0FF7" w:rsidP="009B7A72">
      <w:pPr>
        <w:spacing w:after="0"/>
        <w:rPr>
          <w:lang w:eastAsia="en-GB"/>
        </w:rPr>
      </w:pPr>
    </w:p>
    <w:p w14:paraId="748473BC" w14:textId="77777777" w:rsidR="00FE0FF7" w:rsidRPr="00CB6495" w:rsidRDefault="00FE0FF7" w:rsidP="009B7A72">
      <w:pPr>
        <w:spacing w:after="0"/>
        <w:rPr>
          <w:lang w:eastAsia="en-GB"/>
        </w:rPr>
      </w:pPr>
      <w:r w:rsidRPr="00CB6495">
        <w:rPr>
          <w:lang w:eastAsia="en-GB"/>
        </w:rPr>
        <w:t>Signé au nom du demandeur principal</w:t>
      </w:r>
    </w:p>
    <w:p w14:paraId="73AD5942" w14:textId="77777777" w:rsidR="00FE0FF7" w:rsidRPr="00CB6495" w:rsidRDefault="00FE0FF7" w:rsidP="009B7A72">
      <w:pPr>
        <w:spacing w:after="0"/>
        <w:rPr>
          <w:lang w:eastAsia="en-GB"/>
        </w:rPr>
      </w:pPr>
    </w:p>
    <w:p w14:paraId="1858E9FC" w14:textId="77777777" w:rsidR="00FE0FF7" w:rsidRPr="00CB6495" w:rsidRDefault="00FE0FF7" w:rsidP="009B7A72">
      <w:pPr>
        <w:spacing w:after="0"/>
        <w:rPr>
          <w:lang w:eastAsia="en-GB"/>
        </w:rPr>
      </w:pPr>
      <w:r w:rsidRPr="00CB6495">
        <w:rPr>
          <w:lang w:eastAsia="en-GB"/>
        </w:rPr>
        <w:t>Nom</w:t>
      </w:r>
      <w:r w:rsidRPr="00CB6495">
        <w:rPr>
          <w:lang w:eastAsia="en-GB"/>
        </w:rPr>
        <w:tab/>
      </w:r>
    </w:p>
    <w:p w14:paraId="5C463582" w14:textId="77777777" w:rsidR="00FE0FF7" w:rsidRPr="00CB6495" w:rsidRDefault="00FE0FF7" w:rsidP="009B7A72">
      <w:pPr>
        <w:spacing w:after="0"/>
        <w:rPr>
          <w:lang w:eastAsia="en-GB"/>
        </w:rPr>
      </w:pPr>
    </w:p>
    <w:p w14:paraId="26153799" w14:textId="77777777" w:rsidR="00FE0FF7" w:rsidRPr="00CB6495" w:rsidRDefault="00FE0FF7" w:rsidP="009B7A72">
      <w:pPr>
        <w:spacing w:after="0"/>
        <w:rPr>
          <w:lang w:eastAsia="en-GB"/>
        </w:rPr>
      </w:pPr>
      <w:r w:rsidRPr="00CB6495">
        <w:rPr>
          <w:lang w:eastAsia="en-GB"/>
        </w:rPr>
        <w:t>Signature</w:t>
      </w:r>
    </w:p>
    <w:p w14:paraId="1702B443" w14:textId="77777777" w:rsidR="00FE0FF7" w:rsidRPr="00CB6495" w:rsidRDefault="00FE0FF7" w:rsidP="009B7A72">
      <w:pPr>
        <w:spacing w:after="0"/>
        <w:rPr>
          <w:lang w:eastAsia="en-GB"/>
        </w:rPr>
      </w:pPr>
      <w:r w:rsidRPr="00CB6495">
        <w:rPr>
          <w:lang w:eastAsia="en-GB"/>
        </w:rPr>
        <w:tab/>
      </w:r>
    </w:p>
    <w:p w14:paraId="5DCA3359" w14:textId="77777777" w:rsidR="00FE0FF7" w:rsidRPr="00CB6495" w:rsidRDefault="00FE0FF7" w:rsidP="009B7A72">
      <w:pPr>
        <w:spacing w:after="0"/>
        <w:rPr>
          <w:lang w:eastAsia="en-GB"/>
        </w:rPr>
      </w:pPr>
      <w:r w:rsidRPr="00CB6495">
        <w:rPr>
          <w:lang w:eastAsia="en-GB"/>
        </w:rPr>
        <w:t>Fonction</w:t>
      </w:r>
      <w:r w:rsidRPr="00CB6495">
        <w:rPr>
          <w:lang w:eastAsia="en-GB"/>
        </w:rPr>
        <w:tab/>
      </w:r>
    </w:p>
    <w:p w14:paraId="6418CED3" w14:textId="77777777" w:rsidR="009B7A72" w:rsidRDefault="009B7A72" w:rsidP="009B7A72">
      <w:pPr>
        <w:spacing w:after="0"/>
        <w:rPr>
          <w:lang w:eastAsia="en-GB"/>
        </w:rPr>
      </w:pPr>
    </w:p>
    <w:p w14:paraId="3120C256" w14:textId="309876F8" w:rsidR="00FE0FF7" w:rsidRPr="00CB6495" w:rsidRDefault="00FE0FF7" w:rsidP="009B7A72">
      <w:pPr>
        <w:spacing w:after="0"/>
        <w:rPr>
          <w:lang w:eastAsia="en-GB"/>
        </w:rPr>
      </w:pPr>
      <w:r w:rsidRPr="00CB6495">
        <w:rPr>
          <w:lang w:eastAsia="en-GB"/>
        </w:rPr>
        <w:t>Date</w:t>
      </w:r>
      <w:r w:rsidRPr="00CB6495">
        <w:rPr>
          <w:lang w:eastAsia="en-GB"/>
        </w:rPr>
        <w:tab/>
      </w:r>
    </w:p>
    <w:p w14:paraId="50CC3163" w14:textId="77777777" w:rsidR="00FE0FF7" w:rsidRPr="00CB6495" w:rsidRDefault="00FE0FF7" w:rsidP="00FE0FF7">
      <w:pPr>
        <w:spacing w:after="0"/>
        <w:rPr>
          <w:lang w:eastAsia="en-GB"/>
        </w:rPr>
      </w:pPr>
    </w:p>
    <w:p w14:paraId="79067EAF" w14:textId="23048CD9" w:rsidR="006B194F" w:rsidRDefault="006B194F" w:rsidP="00FE0FF7">
      <w:pPr>
        <w:spacing w:after="0"/>
        <w:rPr>
          <w:b/>
          <w:lang w:eastAsia="en-GB"/>
        </w:rPr>
      </w:pPr>
    </w:p>
    <w:p w14:paraId="551AF5BA" w14:textId="1927A75A" w:rsidR="004E40F4" w:rsidRDefault="004E40F4" w:rsidP="00FE0FF7">
      <w:pPr>
        <w:spacing w:after="0"/>
        <w:rPr>
          <w:b/>
          <w:lang w:eastAsia="en-GB"/>
        </w:rPr>
      </w:pPr>
    </w:p>
    <w:p w14:paraId="214BEFB4" w14:textId="77777777" w:rsidR="009B7A72" w:rsidRPr="00CB6495" w:rsidRDefault="009B7A72" w:rsidP="00FE0FF7">
      <w:pPr>
        <w:spacing w:after="0"/>
        <w:rPr>
          <w:b/>
          <w:lang w:eastAsia="en-GB"/>
        </w:rPr>
      </w:pPr>
    </w:p>
    <w:p w14:paraId="60CA2649" w14:textId="375D9A31" w:rsidR="001845BA" w:rsidRPr="00CB6495" w:rsidRDefault="004E40F4" w:rsidP="00FE0FF7">
      <w:pPr>
        <w:spacing w:after="0"/>
        <w:rPr>
          <w:b/>
          <w:lang w:eastAsia="en-GB"/>
        </w:rPr>
      </w:pPr>
      <w:r w:rsidRPr="00CB6495">
        <w:rPr>
          <w:b/>
          <w:lang w:eastAsia="en-GB"/>
        </w:rPr>
        <w:t xml:space="preserve">ANNEXE </w:t>
      </w:r>
      <w:r w:rsidR="00F62EBE" w:rsidRPr="00CB6495">
        <w:rPr>
          <w:b/>
          <w:lang w:eastAsia="en-GB"/>
        </w:rPr>
        <w:t>6</w:t>
      </w:r>
      <w:r w:rsidRPr="00CB6495">
        <w:rPr>
          <w:b/>
          <w:lang w:eastAsia="en-GB"/>
        </w:rPr>
        <w:t xml:space="preserve"> </w:t>
      </w:r>
      <w:r w:rsidR="007A337F" w:rsidRPr="00CB6495">
        <w:rPr>
          <w:b/>
          <w:lang w:eastAsia="en-GB"/>
        </w:rPr>
        <w:t>-</w:t>
      </w:r>
      <w:r w:rsidR="00C15AA0" w:rsidRPr="00CB6495">
        <w:t xml:space="preserve"> </w:t>
      </w:r>
      <w:r w:rsidR="00C15AA0" w:rsidRPr="00CB6495">
        <w:rPr>
          <w:b/>
          <w:lang w:eastAsia="en-GB"/>
        </w:rPr>
        <w:t>Documents à remplir avec la demande complète</w:t>
      </w:r>
    </w:p>
    <w:p w14:paraId="462B96DC" w14:textId="77777777" w:rsidR="001845BA" w:rsidRPr="00CB6495" w:rsidRDefault="001845BA" w:rsidP="00FE0FF7">
      <w:pPr>
        <w:spacing w:after="0"/>
        <w:rPr>
          <w:lang w:eastAsia="en-GB"/>
        </w:rPr>
      </w:pPr>
    </w:p>
    <w:p w14:paraId="06D6BD48" w14:textId="77777777" w:rsidR="007A337F" w:rsidRPr="00CB6495" w:rsidRDefault="007A337F" w:rsidP="007A337F">
      <w:pPr>
        <w:spacing w:after="0"/>
        <w:rPr>
          <w:lang w:eastAsia="en-GB"/>
        </w:rPr>
      </w:pPr>
      <w:r w:rsidRPr="00CB6495">
        <w:rPr>
          <w:lang w:eastAsia="en-GB"/>
        </w:rPr>
        <w:t>Annexe A :</w:t>
      </w:r>
      <w:r w:rsidRPr="00CB6495">
        <w:rPr>
          <w:lang w:eastAsia="en-GB"/>
        </w:rPr>
        <w:tab/>
        <w:t>formulaire de demande de subvention (format Word)</w:t>
      </w:r>
    </w:p>
    <w:p w14:paraId="77281A31" w14:textId="77777777" w:rsidR="007A337F" w:rsidRPr="00CB6495" w:rsidRDefault="007A337F" w:rsidP="007A337F">
      <w:pPr>
        <w:spacing w:after="0"/>
        <w:rPr>
          <w:lang w:eastAsia="en-GB"/>
        </w:rPr>
      </w:pPr>
      <w:r w:rsidRPr="00CB6495">
        <w:rPr>
          <w:lang w:eastAsia="en-GB"/>
        </w:rPr>
        <w:t>Annexe B :</w:t>
      </w:r>
      <w:r w:rsidRPr="00CB6495">
        <w:rPr>
          <w:lang w:eastAsia="en-GB"/>
        </w:rPr>
        <w:tab/>
        <w:t>budget (format Excel)</w:t>
      </w:r>
    </w:p>
    <w:p w14:paraId="5881BBFE" w14:textId="77777777" w:rsidR="007A337F" w:rsidRPr="00CB6495" w:rsidRDefault="007A337F" w:rsidP="007A337F">
      <w:pPr>
        <w:spacing w:after="0"/>
        <w:rPr>
          <w:lang w:eastAsia="en-GB"/>
        </w:rPr>
      </w:pPr>
      <w:r w:rsidRPr="00CB6495">
        <w:rPr>
          <w:lang w:eastAsia="en-GB"/>
        </w:rPr>
        <w:t>Annexe C :</w:t>
      </w:r>
      <w:r w:rsidRPr="00CB6495">
        <w:rPr>
          <w:lang w:eastAsia="en-GB"/>
        </w:rPr>
        <w:tab/>
        <w:t>cadre logique (format Excel)</w:t>
      </w:r>
    </w:p>
    <w:p w14:paraId="0415D239" w14:textId="081A5439" w:rsidR="007A337F" w:rsidRPr="00CB6495" w:rsidRDefault="007A337F" w:rsidP="007A337F">
      <w:pPr>
        <w:spacing w:after="0"/>
        <w:rPr>
          <w:lang w:eastAsia="en-GB"/>
        </w:rPr>
      </w:pPr>
      <w:r w:rsidRPr="00CB6495">
        <w:rPr>
          <w:lang w:eastAsia="en-GB"/>
        </w:rPr>
        <w:t>Annexe D :</w:t>
      </w:r>
      <w:r w:rsidRPr="00CB6495">
        <w:rPr>
          <w:lang w:eastAsia="en-GB"/>
        </w:rPr>
        <w:tab/>
        <w:t xml:space="preserve">formulaire « entité légale » </w:t>
      </w:r>
    </w:p>
    <w:p w14:paraId="542E8B1B" w14:textId="751DB225" w:rsidR="007A337F" w:rsidRPr="00CB6495" w:rsidRDefault="007A337F" w:rsidP="007A337F">
      <w:pPr>
        <w:spacing w:after="0"/>
        <w:rPr>
          <w:lang w:eastAsia="en-GB"/>
        </w:rPr>
      </w:pPr>
      <w:r w:rsidRPr="00CB6495">
        <w:rPr>
          <w:lang w:eastAsia="en-GB"/>
        </w:rPr>
        <w:t>Annexe E :</w:t>
      </w:r>
      <w:r w:rsidRPr="00CB6495">
        <w:rPr>
          <w:lang w:eastAsia="en-GB"/>
        </w:rPr>
        <w:tab/>
        <w:t>formulaire « signalétique financier »</w:t>
      </w:r>
    </w:p>
    <w:p w14:paraId="3A2FFD58" w14:textId="77777777" w:rsidR="007A337F" w:rsidRPr="00CB6495" w:rsidRDefault="007A337F" w:rsidP="007A337F">
      <w:pPr>
        <w:spacing w:after="0"/>
        <w:rPr>
          <w:lang w:eastAsia="en-GB"/>
        </w:rPr>
      </w:pPr>
    </w:p>
    <w:p w14:paraId="1BB34E84" w14:textId="68674DF7" w:rsidR="007A337F" w:rsidRPr="00CB6495" w:rsidRDefault="004E40F4" w:rsidP="007A337F">
      <w:pPr>
        <w:spacing w:after="0"/>
        <w:rPr>
          <w:b/>
          <w:lang w:eastAsia="en-GB"/>
        </w:rPr>
      </w:pPr>
      <w:r w:rsidRPr="00CB6495">
        <w:rPr>
          <w:b/>
          <w:lang w:eastAsia="en-GB"/>
        </w:rPr>
        <w:t xml:space="preserve">Documents pour information </w:t>
      </w:r>
    </w:p>
    <w:p w14:paraId="5E16EEFC" w14:textId="77777777" w:rsidR="007A337F" w:rsidRPr="00CB6495" w:rsidRDefault="007A337F" w:rsidP="007A337F">
      <w:pPr>
        <w:spacing w:after="0"/>
        <w:rPr>
          <w:lang w:eastAsia="en-GB"/>
        </w:rPr>
      </w:pPr>
    </w:p>
    <w:p w14:paraId="48D7D46D" w14:textId="77777777" w:rsidR="007A337F" w:rsidRPr="00CB6495" w:rsidRDefault="007A337F" w:rsidP="007A337F">
      <w:pPr>
        <w:spacing w:after="0"/>
        <w:rPr>
          <w:lang w:eastAsia="en-GB"/>
        </w:rPr>
      </w:pPr>
      <w:r w:rsidRPr="00CB6495">
        <w:rPr>
          <w:lang w:eastAsia="en-GB"/>
        </w:rPr>
        <w:t>Annexe G :</w:t>
      </w:r>
      <w:r w:rsidRPr="00CB6495">
        <w:rPr>
          <w:lang w:eastAsia="en-GB"/>
        </w:rPr>
        <w:tab/>
        <w:t>contrat de subvention</w:t>
      </w:r>
    </w:p>
    <w:p w14:paraId="1AFD3576" w14:textId="701628A5" w:rsidR="007A337F" w:rsidRPr="00CB6495" w:rsidRDefault="007A337F" w:rsidP="007A337F">
      <w:pPr>
        <w:spacing w:after="0"/>
        <w:rPr>
          <w:lang w:eastAsia="en-GB"/>
        </w:rPr>
      </w:pPr>
      <w:r w:rsidRPr="00CB6495">
        <w:rPr>
          <w:lang w:eastAsia="en-GB"/>
        </w:rPr>
        <w:t>Annexe II :</w:t>
      </w:r>
      <w:r w:rsidRPr="00CB6495">
        <w:rPr>
          <w:lang w:eastAsia="en-GB"/>
        </w:rPr>
        <w:tab/>
        <w:t xml:space="preserve">conditions générales </w:t>
      </w:r>
    </w:p>
    <w:p w14:paraId="7EF8BDDD" w14:textId="43C6B46A" w:rsidR="007A337F" w:rsidRPr="00CB6495" w:rsidRDefault="007A337F" w:rsidP="007A337F">
      <w:pPr>
        <w:spacing w:after="0"/>
        <w:rPr>
          <w:lang w:eastAsia="en-GB"/>
        </w:rPr>
      </w:pPr>
      <w:r w:rsidRPr="00CB6495">
        <w:rPr>
          <w:lang w:eastAsia="en-GB"/>
        </w:rPr>
        <w:t>Annexe IV :</w:t>
      </w:r>
      <w:r w:rsidRPr="00CB6495">
        <w:rPr>
          <w:lang w:eastAsia="en-GB"/>
        </w:rPr>
        <w:tab/>
        <w:t>règles d’attribution des marchés</w:t>
      </w:r>
    </w:p>
    <w:p w14:paraId="2798CADC" w14:textId="70EC0A63" w:rsidR="007A337F" w:rsidRPr="00CB6495" w:rsidRDefault="007A337F" w:rsidP="007A337F">
      <w:pPr>
        <w:spacing w:after="0"/>
        <w:rPr>
          <w:lang w:eastAsia="en-GB"/>
        </w:rPr>
      </w:pPr>
      <w:r w:rsidRPr="00CB6495">
        <w:rPr>
          <w:lang w:eastAsia="en-GB"/>
        </w:rPr>
        <w:t>Annexe V :</w:t>
      </w:r>
      <w:r w:rsidRPr="00CB6495">
        <w:rPr>
          <w:lang w:eastAsia="en-GB"/>
        </w:rPr>
        <w:tab/>
        <w:t>modèle de demande de paiement</w:t>
      </w:r>
    </w:p>
    <w:p w14:paraId="2BAB3244" w14:textId="752623EB" w:rsidR="007A337F" w:rsidRPr="00CB6495" w:rsidRDefault="007A337F" w:rsidP="007A337F">
      <w:pPr>
        <w:spacing w:after="0"/>
        <w:rPr>
          <w:lang w:eastAsia="en-GB"/>
        </w:rPr>
      </w:pPr>
      <w:r w:rsidRPr="00CB6495">
        <w:rPr>
          <w:lang w:eastAsia="en-GB"/>
        </w:rPr>
        <w:t>Annexe VI :</w:t>
      </w:r>
      <w:r w:rsidRPr="00CB6495">
        <w:rPr>
          <w:lang w:eastAsia="en-GB"/>
        </w:rPr>
        <w:tab/>
        <w:t>modèle de rapport narratif et financier</w:t>
      </w:r>
    </w:p>
    <w:p w14:paraId="61B41419" w14:textId="533CED99" w:rsidR="007A337F" w:rsidRPr="00CB6495" w:rsidRDefault="007A337F" w:rsidP="007A337F">
      <w:pPr>
        <w:spacing w:after="0"/>
        <w:rPr>
          <w:lang w:eastAsia="en-GB"/>
        </w:rPr>
      </w:pPr>
      <w:r w:rsidRPr="00CB6495">
        <w:rPr>
          <w:lang w:eastAsia="en-GB"/>
        </w:rPr>
        <w:t>[Annexe VII :</w:t>
      </w:r>
      <w:r w:rsidRPr="00CB6495">
        <w:rPr>
          <w:lang w:eastAsia="en-GB"/>
        </w:rPr>
        <w:tab/>
        <w:t>modèle de rapport sur les constatations factuelles et termes de référence techniques pour la vérification des dépenses d’un contrat conclu dans le cadre des actions extérieures de l'UE]</w:t>
      </w:r>
    </w:p>
    <w:p w14:paraId="5473E22A" w14:textId="6373F0E7" w:rsidR="007A337F" w:rsidRPr="00CB6495" w:rsidRDefault="007A337F" w:rsidP="007A337F">
      <w:pPr>
        <w:spacing w:after="0"/>
        <w:rPr>
          <w:lang w:eastAsia="en-GB"/>
        </w:rPr>
      </w:pPr>
      <w:r w:rsidRPr="00CB6495">
        <w:rPr>
          <w:lang w:eastAsia="en-GB"/>
        </w:rPr>
        <w:t>[Annexe VIII :</w:t>
      </w:r>
      <w:r w:rsidRPr="00CB6495">
        <w:rPr>
          <w:lang w:eastAsia="en-GB"/>
        </w:rPr>
        <w:tab/>
        <w:t>modèle de garantie financière]</w:t>
      </w:r>
    </w:p>
    <w:p w14:paraId="463C3284" w14:textId="49967D9E" w:rsidR="007A337F" w:rsidRPr="00CB6495" w:rsidRDefault="007A337F" w:rsidP="007A337F">
      <w:pPr>
        <w:spacing w:after="0"/>
        <w:rPr>
          <w:lang w:eastAsia="en-GB"/>
        </w:rPr>
      </w:pPr>
      <w:r w:rsidRPr="00CB6495">
        <w:rPr>
          <w:lang w:eastAsia="en-GB"/>
        </w:rPr>
        <w:t>[Annexe IX :</w:t>
      </w:r>
      <w:r w:rsidRPr="00CB6495">
        <w:rPr>
          <w:lang w:eastAsia="en-GB"/>
        </w:rPr>
        <w:tab/>
        <w:t>modèle de convention de transfert de propriété d’actifs]</w:t>
      </w:r>
    </w:p>
    <w:p w14:paraId="0E6ADA7B" w14:textId="77777777" w:rsidR="007A337F" w:rsidRPr="00CB6495" w:rsidRDefault="007A337F" w:rsidP="007A337F">
      <w:pPr>
        <w:spacing w:after="0"/>
        <w:rPr>
          <w:lang w:eastAsia="en-GB"/>
        </w:rPr>
      </w:pPr>
      <w:r w:rsidRPr="00CB6495">
        <w:rPr>
          <w:lang w:eastAsia="en-GB"/>
        </w:rPr>
        <w:t>Annexe H :</w:t>
      </w:r>
      <w:r w:rsidRPr="00CB6495">
        <w:rPr>
          <w:lang w:eastAsia="en-GB"/>
        </w:rPr>
        <w:tab/>
        <w:t>déclaration sur l’honneur</w:t>
      </w:r>
    </w:p>
    <w:p w14:paraId="344C6312" w14:textId="54E13AB4" w:rsidR="007A337F" w:rsidRPr="00CB6495" w:rsidRDefault="007A337F" w:rsidP="007A337F">
      <w:pPr>
        <w:spacing w:after="0"/>
        <w:rPr>
          <w:lang w:eastAsia="en-GB"/>
        </w:rPr>
      </w:pPr>
      <w:r w:rsidRPr="00CB6495">
        <w:rPr>
          <w:lang w:eastAsia="en-GB"/>
        </w:rPr>
        <w:t xml:space="preserve">Annexe I : </w:t>
      </w:r>
      <w:r w:rsidR="004E40F4" w:rsidRPr="00CB6495">
        <w:rPr>
          <w:lang w:eastAsia="en-GB"/>
        </w:rPr>
        <w:tab/>
      </w:r>
      <w:r w:rsidRPr="00CB6495">
        <w:rPr>
          <w:lang w:eastAsia="en-GB"/>
        </w:rPr>
        <w:t xml:space="preserve">taux des indemnités journalières (per diem), disponibles à l’adresse suivante: </w:t>
      </w:r>
    </w:p>
    <w:p w14:paraId="1038364F" w14:textId="2D5DEA65" w:rsidR="007A337F" w:rsidRPr="00CB6495" w:rsidRDefault="007A337F" w:rsidP="007A337F">
      <w:pPr>
        <w:spacing w:after="0"/>
        <w:rPr>
          <w:lang w:eastAsia="en-GB"/>
        </w:rPr>
      </w:pPr>
      <w:r w:rsidRPr="00CB6495">
        <w:rPr>
          <w:lang w:eastAsia="en-GB"/>
        </w:rPr>
        <w:t>http://ec.europa.eu/europeaid/funding/about-procurement-contracts/procedures-and-practical-guide-prag/diems_en (toutes les informations nécessaires étant disponibles via le lien, la publication de l’annexe est facultative)</w:t>
      </w:r>
    </w:p>
    <w:p w14:paraId="578840C0" w14:textId="77777777" w:rsidR="007A337F" w:rsidRPr="00CB6495" w:rsidRDefault="007A337F" w:rsidP="007A337F">
      <w:pPr>
        <w:spacing w:after="0"/>
        <w:rPr>
          <w:lang w:eastAsia="en-GB"/>
        </w:rPr>
      </w:pPr>
      <w:r w:rsidRPr="00CB6495">
        <w:rPr>
          <w:lang w:eastAsia="en-GB"/>
        </w:rPr>
        <w:t>Annexe J :</w:t>
      </w:r>
      <w:r w:rsidRPr="00CB6495">
        <w:rPr>
          <w:lang w:eastAsia="en-GB"/>
        </w:rPr>
        <w:tab/>
        <w:t>informations relatives au régime fiscal applicable aux contrats de subvention signés dans le cadre de l'appel à propositions</w:t>
      </w:r>
    </w:p>
    <w:p w14:paraId="114755AF" w14:textId="2128ED9A" w:rsidR="001845BA" w:rsidRPr="00CB6495" w:rsidRDefault="007A337F" w:rsidP="007A337F">
      <w:pPr>
        <w:spacing w:after="0"/>
        <w:rPr>
          <w:lang w:eastAsia="en-GB"/>
        </w:rPr>
      </w:pPr>
      <w:r w:rsidRPr="00CB6495">
        <w:rPr>
          <w:lang w:eastAsia="en-GB"/>
        </w:rPr>
        <w:t>Annexe K :</w:t>
      </w:r>
      <w:r w:rsidRPr="00CB6495">
        <w:rPr>
          <w:lang w:eastAsia="en-GB"/>
        </w:rPr>
        <w:tab/>
        <w:t>lignes directrices pour l’évaluation des options simplifiées en matière de coûts</w:t>
      </w:r>
    </w:p>
    <w:p w14:paraId="78AED34B" w14:textId="77777777" w:rsidR="001845BA" w:rsidRPr="00CB6495" w:rsidRDefault="001845BA" w:rsidP="00FE0FF7">
      <w:pPr>
        <w:spacing w:after="0"/>
        <w:rPr>
          <w:lang w:eastAsia="en-GB"/>
        </w:rPr>
      </w:pPr>
    </w:p>
    <w:p w14:paraId="65ECD157" w14:textId="77777777" w:rsidR="001845BA" w:rsidRPr="00CB6495" w:rsidRDefault="001845BA" w:rsidP="00FE0FF7">
      <w:pPr>
        <w:spacing w:after="0"/>
        <w:rPr>
          <w:lang w:eastAsia="en-GB"/>
        </w:rPr>
      </w:pPr>
    </w:p>
    <w:p w14:paraId="1506235A" w14:textId="77777777" w:rsidR="00FE0FF7" w:rsidRPr="00CB6495" w:rsidRDefault="00FE0FF7" w:rsidP="00FE0FF7">
      <w:pPr>
        <w:spacing w:after="0"/>
        <w:rPr>
          <w:lang w:eastAsia="en-GB"/>
        </w:rPr>
      </w:pPr>
    </w:p>
    <w:p w14:paraId="7345B507" w14:textId="5F95F9D5" w:rsidR="00360C69" w:rsidRPr="00CB6495" w:rsidRDefault="00360C69" w:rsidP="00FE0FF7">
      <w:pPr>
        <w:spacing w:after="0"/>
        <w:rPr>
          <w:bCs/>
          <w:color w:val="000000"/>
          <w:lang w:eastAsia="fr-FR"/>
        </w:rPr>
      </w:pPr>
    </w:p>
    <w:p w14:paraId="543ED26C" w14:textId="55767792" w:rsidR="00360C69" w:rsidRPr="00CB6495" w:rsidRDefault="00360C69" w:rsidP="00063246">
      <w:pPr>
        <w:autoSpaceDE w:val="0"/>
        <w:autoSpaceDN w:val="0"/>
        <w:adjustRightInd w:val="0"/>
        <w:spacing w:after="0"/>
        <w:rPr>
          <w:b/>
          <w:bCs/>
          <w:color w:val="000000"/>
          <w:lang w:eastAsia="fr-FR"/>
        </w:rPr>
      </w:pPr>
    </w:p>
    <w:p w14:paraId="091B6403" w14:textId="77777777" w:rsidR="00360C69" w:rsidRPr="00CB6495" w:rsidRDefault="00360C69" w:rsidP="00063246">
      <w:pPr>
        <w:autoSpaceDE w:val="0"/>
        <w:autoSpaceDN w:val="0"/>
        <w:adjustRightInd w:val="0"/>
        <w:spacing w:after="0"/>
        <w:rPr>
          <w:b/>
          <w:bCs/>
          <w:color w:val="000000"/>
          <w:lang w:eastAsia="fr-FR"/>
        </w:rPr>
      </w:pPr>
    </w:p>
    <w:p w14:paraId="7AD87458" w14:textId="77777777" w:rsidR="00360C69" w:rsidRPr="00CB6495" w:rsidRDefault="00360C69" w:rsidP="00063246">
      <w:pPr>
        <w:autoSpaceDE w:val="0"/>
        <w:autoSpaceDN w:val="0"/>
        <w:adjustRightInd w:val="0"/>
        <w:spacing w:after="0"/>
        <w:rPr>
          <w:b/>
          <w:bCs/>
          <w:color w:val="000000"/>
          <w:lang w:eastAsia="fr-FR"/>
        </w:rPr>
      </w:pPr>
    </w:p>
    <w:sectPr w:rsidR="00360C69" w:rsidRPr="00CB6495" w:rsidSect="00936BD3">
      <w:headerReference w:type="even" r:id="rId18"/>
      <w:headerReference w:type="default" r:id="rId19"/>
      <w:footerReference w:type="even" r:id="rId20"/>
      <w:footerReference w:type="default" r:id="rId21"/>
      <w:headerReference w:type="first" r:id="rId22"/>
      <w:footerReference w:type="first" r:id="rId23"/>
      <w:pgSz w:w="11906" w:h="16838"/>
      <w:pgMar w:top="1418" w:right="1247" w:bottom="1134" w:left="1247" w:header="601" w:footer="8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1E4B6" w14:textId="77777777" w:rsidR="000B0F60" w:rsidRDefault="000B0F60" w:rsidP="00B06ABC">
      <w:pPr>
        <w:spacing w:after="0"/>
      </w:pPr>
      <w:r>
        <w:separator/>
      </w:r>
    </w:p>
  </w:endnote>
  <w:endnote w:type="continuationSeparator" w:id="0">
    <w:p w14:paraId="38399CDE" w14:textId="77777777" w:rsidR="000B0F60" w:rsidRDefault="000B0F60" w:rsidP="00B06ABC">
      <w:pPr>
        <w:spacing w:after="0"/>
      </w:pPr>
      <w:r>
        <w:continuationSeparator/>
      </w:r>
    </w:p>
  </w:endnote>
  <w:endnote w:type="continuationNotice" w:id="1">
    <w:p w14:paraId="646B72B4" w14:textId="77777777" w:rsidR="000B0F60" w:rsidRDefault="000B0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E2473" w14:textId="77777777" w:rsidR="005B400D" w:rsidRDefault="005B4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297081"/>
      <w:docPartObj>
        <w:docPartGallery w:val="Page Numbers (Bottom of Page)"/>
        <w:docPartUnique/>
      </w:docPartObj>
    </w:sdtPr>
    <w:sdtEndPr>
      <w:rPr>
        <w:noProof/>
      </w:rPr>
    </w:sdtEndPr>
    <w:sdtContent>
      <w:p w14:paraId="67106801" w14:textId="4AA40F7F" w:rsidR="005B400D" w:rsidRDefault="005B400D" w:rsidP="005058AA">
        <w:pPr>
          <w:pStyle w:val="Footer"/>
          <w:spacing w:before="120"/>
          <w:ind w:right="0"/>
          <w:jc w:val="center"/>
        </w:pPr>
        <w:r>
          <w:fldChar w:fldCharType="begin"/>
        </w:r>
        <w:r>
          <w:instrText xml:space="preserve"> PAGE   \* MERGEFORMAT </w:instrText>
        </w:r>
        <w:r>
          <w:fldChar w:fldCharType="separate"/>
        </w:r>
        <w:r>
          <w:rPr>
            <w:noProof/>
          </w:rPr>
          <w:t>14</w:t>
        </w:r>
        <w:r>
          <w:rPr>
            <w:noProof/>
          </w:rPr>
          <w:fldChar w:fldCharType="end"/>
        </w:r>
      </w:p>
    </w:sdtContent>
  </w:sdt>
  <w:p w14:paraId="2AD514DD" w14:textId="48FDA533" w:rsidR="005B400D" w:rsidRDefault="005B400D" w:rsidP="00D355A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6413" w14:textId="77777777" w:rsidR="005B400D" w:rsidRDefault="005B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74AEA" w14:textId="77777777" w:rsidR="000B0F60" w:rsidRDefault="000B0F60" w:rsidP="00B06ABC">
      <w:pPr>
        <w:spacing w:after="0"/>
      </w:pPr>
      <w:r>
        <w:separator/>
      </w:r>
    </w:p>
  </w:footnote>
  <w:footnote w:type="continuationSeparator" w:id="0">
    <w:p w14:paraId="0FB025C7" w14:textId="77777777" w:rsidR="000B0F60" w:rsidRDefault="000B0F60" w:rsidP="00B06ABC">
      <w:pPr>
        <w:spacing w:after="0"/>
      </w:pPr>
      <w:r>
        <w:continuationSeparator/>
      </w:r>
    </w:p>
  </w:footnote>
  <w:footnote w:type="continuationNotice" w:id="1">
    <w:p w14:paraId="40F015A0" w14:textId="77777777" w:rsidR="000B0F60" w:rsidRDefault="000B0F60">
      <w:pPr>
        <w:spacing w:after="0"/>
      </w:pPr>
    </w:p>
  </w:footnote>
  <w:footnote w:id="2">
    <w:p w14:paraId="21538167" w14:textId="77777777" w:rsidR="005B400D" w:rsidRPr="00545DA8" w:rsidRDefault="005B400D" w:rsidP="0078792D">
      <w:pPr>
        <w:pStyle w:val="FootnoteText"/>
      </w:pPr>
      <w:r>
        <w:rPr>
          <w:rStyle w:val="FootnoteReference"/>
        </w:rPr>
        <w:footnoteRef/>
      </w:r>
      <w:r>
        <w:t xml:space="preserve"> </w:t>
      </w:r>
      <w:r w:rsidRPr="00FE1550">
        <w:rPr>
          <w:sz w:val="18"/>
          <w:szCs w:val="18"/>
        </w:rPr>
        <w:t>MATDDL, Ministère de la santé, MJDH, ICASSES, Association des maires de Centrafrique – AMCA,</w:t>
      </w:r>
      <w:r>
        <w:rPr>
          <w:sz w:val="18"/>
          <w:szCs w:val="18"/>
        </w:rPr>
        <w:t xml:space="preserve"> </w:t>
      </w:r>
      <w:r w:rsidRPr="00FE1550">
        <w:rPr>
          <w:sz w:val="18"/>
          <w:szCs w:val="18"/>
        </w:rPr>
        <w:t>UE, UA, BAD, BM, coopération française, UNICEF, UNFPA, PNUD.</w:t>
      </w:r>
    </w:p>
  </w:footnote>
  <w:footnote w:id="3">
    <w:p w14:paraId="1B98079D" w14:textId="77777777" w:rsidR="005B400D" w:rsidRPr="00FE1550" w:rsidRDefault="005B400D" w:rsidP="0078792D">
      <w:pPr>
        <w:pStyle w:val="FootnoteText"/>
        <w:rPr>
          <w:sz w:val="18"/>
          <w:szCs w:val="18"/>
          <w:lang w:val="en-US"/>
        </w:rPr>
      </w:pPr>
      <w:r>
        <w:rPr>
          <w:rStyle w:val="FootnoteReference"/>
        </w:rPr>
        <w:footnoteRef/>
      </w:r>
      <w:r w:rsidRPr="00FE1550">
        <w:rPr>
          <w:lang w:val="en-US"/>
        </w:rPr>
        <w:t xml:space="preserve"> </w:t>
      </w:r>
      <w:r w:rsidRPr="00FE1550">
        <w:rPr>
          <w:sz w:val="18"/>
          <w:szCs w:val="18"/>
          <w:lang w:val="en-US"/>
        </w:rPr>
        <w:t xml:space="preserve">Initiative </w:t>
      </w:r>
      <w:r w:rsidRPr="00FE1550">
        <w:rPr>
          <w:i/>
          <w:sz w:val="18"/>
          <w:szCs w:val="18"/>
          <w:lang w:val="en-US"/>
        </w:rPr>
        <w:t>Africa Program for Accelerated Improvement of Civil Registration and Vital Statistics</w:t>
      </w:r>
      <w:r w:rsidRPr="00FE1550">
        <w:rPr>
          <w:sz w:val="18"/>
          <w:szCs w:val="18"/>
          <w:lang w:val="en-US"/>
        </w:rPr>
        <w:t xml:space="preserve"> (APAI-CRVS)</w:t>
      </w:r>
    </w:p>
  </w:footnote>
  <w:footnote w:id="4">
    <w:p w14:paraId="74145E76" w14:textId="0D2A9413" w:rsidR="005B400D" w:rsidRDefault="005B400D">
      <w:pPr>
        <w:pStyle w:val="FootnoteText"/>
      </w:pPr>
      <w:r>
        <w:rPr>
          <w:rStyle w:val="FootnoteReference"/>
        </w:rPr>
        <w:footnoteRef/>
      </w:r>
      <w:r>
        <w:t xml:space="preserve"> La révision, en 2021, du fichier électoral établi pour les élections du 27 décembre 2020 est prévue. Néanmoins, la jonction entre registre de décès et fichier électoral n’est pas encore d’actualité en RCA. Elle nécessite en effet des réformes préalables, à la fois juridiques et technologiques, en matière de gestion des faits d’état civil</w:t>
      </w:r>
      <w:r w:rsidRPr="00CB6495">
        <w:t>.</w:t>
      </w:r>
    </w:p>
  </w:footnote>
  <w:footnote w:id="5">
    <w:p w14:paraId="3268D88B" w14:textId="77777777" w:rsidR="005B400D" w:rsidRDefault="005B400D" w:rsidP="00B65FF7">
      <w:pPr>
        <w:pStyle w:val="FootnoteText"/>
      </w:pPr>
      <w:r>
        <w:rPr>
          <w:rStyle w:val="FootnoteReference"/>
        </w:rPr>
        <w:footnoteRef/>
      </w:r>
      <w:r>
        <w:t xml:space="preserve"> </w:t>
      </w:r>
      <w:r w:rsidRPr="001428DA">
        <w:t xml:space="preserve">Voir le rapport de International Crisis Group, </w:t>
      </w:r>
      <w:r w:rsidRPr="001428DA">
        <w:rPr>
          <w:i/>
          <w:iCs/>
        </w:rPr>
        <w:t xml:space="preserve">République centrafricaine ; anatomie d’un Etat fantôme, </w:t>
      </w:r>
      <w:r w:rsidRPr="001428DA">
        <w:t xml:space="preserve">2007. </w:t>
      </w:r>
    </w:p>
  </w:footnote>
  <w:footnote w:id="6">
    <w:p w14:paraId="7B482369" w14:textId="77777777" w:rsidR="005B400D" w:rsidRPr="00980CE4" w:rsidRDefault="005B400D" w:rsidP="00734FB5">
      <w:pPr>
        <w:widowControl w:val="0"/>
        <w:tabs>
          <w:tab w:val="left" w:pos="220"/>
          <w:tab w:val="left" w:pos="720"/>
        </w:tabs>
        <w:autoSpaceDE w:val="0"/>
        <w:autoSpaceDN w:val="0"/>
        <w:adjustRightInd w:val="0"/>
        <w:spacing w:after="160" w:line="200" w:lineRule="atLeast"/>
        <w:jc w:val="left"/>
        <w:rPr>
          <w:sz w:val="20"/>
          <w:szCs w:val="20"/>
          <w:lang w:val="fr-BE"/>
        </w:rPr>
      </w:pPr>
      <w:r w:rsidRPr="00734FB5">
        <w:rPr>
          <w:rStyle w:val="FootnoteReference"/>
          <w:sz w:val="20"/>
        </w:rPr>
        <w:footnoteRef/>
      </w:r>
      <w:r w:rsidRPr="00734FB5">
        <w:rPr>
          <w:sz w:val="20"/>
        </w:rPr>
        <w:t xml:space="preserve"> </w:t>
      </w:r>
      <w:r w:rsidRPr="00980CE4">
        <w:rPr>
          <w:i/>
          <w:iCs/>
          <w:sz w:val="20"/>
          <w:szCs w:val="20"/>
          <w:lang w:val="fr-BE"/>
        </w:rPr>
        <w:t xml:space="preserve">Suivi de la situation des enfants, des femmes et des hommes, </w:t>
      </w:r>
      <w:r w:rsidRPr="00980CE4">
        <w:rPr>
          <w:sz w:val="20"/>
          <w:szCs w:val="20"/>
          <w:lang w:val="fr-BE"/>
        </w:rPr>
        <w:t>UNICEF, 2010.  </w:t>
      </w:r>
    </w:p>
    <w:p w14:paraId="198367F6" w14:textId="77777777" w:rsidR="005B400D" w:rsidRDefault="005B400D">
      <w:pPr>
        <w:pStyle w:val="FootnoteText"/>
      </w:pPr>
    </w:p>
  </w:footnote>
  <w:footnote w:id="7">
    <w:p w14:paraId="613802BC" w14:textId="77777777" w:rsidR="005B400D" w:rsidRPr="00AB3359" w:rsidRDefault="005B400D">
      <w:pPr>
        <w:pStyle w:val="FootnoteText"/>
      </w:pPr>
      <w:r>
        <w:rPr>
          <w:rStyle w:val="FootnoteReference"/>
        </w:rPr>
        <w:footnoteRef/>
      </w:r>
      <w:r>
        <w:t xml:space="preserve"> </w:t>
      </w:r>
      <w:hyperlink r:id="rId1" w:history="1">
        <w:r w:rsidRPr="00D62B95">
          <w:rPr>
            <w:rStyle w:val="Hyperlink"/>
            <w:rFonts w:eastAsia="Calibri"/>
            <w:sz w:val="16"/>
            <w:szCs w:val="16"/>
            <w:lang w:val="fr-BE" w:eastAsia="en-GB"/>
          </w:rPr>
          <w:t>http://ec.europa.eu/europeaid/prag/document.do?nodeNumber=2.6.10.1</w:t>
        </w:r>
      </w:hyperlink>
    </w:p>
  </w:footnote>
  <w:footnote w:id="8">
    <w:p w14:paraId="3CCDD33E" w14:textId="77777777" w:rsidR="005B400D" w:rsidRPr="00714DB0" w:rsidRDefault="005B400D" w:rsidP="005F1939">
      <w:pPr>
        <w:pStyle w:val="FootnoteText"/>
        <w:ind w:left="142" w:hanging="142"/>
      </w:pPr>
      <w:r>
        <w:rPr>
          <w:rStyle w:val="FootnoteReference"/>
        </w:rPr>
        <w:footnoteRef/>
      </w:r>
      <w:r>
        <w:t xml:space="preserve"> </w:t>
      </w:r>
      <w:r>
        <w:rPr>
          <w:rFonts w:eastAsia="Calibri"/>
          <w:sz w:val="16"/>
          <w:szCs w:val="16"/>
          <w:lang w:val="fr-BE" w:eastAsia="en-GB"/>
        </w:rPr>
        <w:t>2018/1046 du Parlement Européen et du Conseil du 18 juillet 2018 relatif aux règles financières applicables au budget général de l’Union, modifiant les règlements (UE) n° 1296/2013, (UE) n° 1301/2013, (UE) n° 1303/2013, (UE) n° 1309/2013, (UE) n° 1316/2013, (UE) n° 223/2014, (UE) n° 283/2014 et la décision n° 541/2014/UE, et abrogeant le règlement (UE, Euratom) n° 966/2012</w:t>
      </w:r>
      <w:r w:rsidRPr="003C51C8">
        <w:rPr>
          <w:rFonts w:eastAsia="Calibri"/>
          <w:sz w:val="16"/>
          <w:szCs w:val="16"/>
          <w:lang w:val="fr-BE" w:eastAsia="en-GB"/>
        </w:rPr>
        <w:t>.</w:t>
      </w:r>
    </w:p>
  </w:footnote>
  <w:footnote w:id="9">
    <w:p w14:paraId="4C945B33" w14:textId="77777777" w:rsidR="005B400D" w:rsidRDefault="005B400D" w:rsidP="007617F1">
      <w:pPr>
        <w:pStyle w:val="FootnoteText"/>
        <w:spacing w:after="60"/>
      </w:pPr>
      <w:r w:rsidRPr="00B638D5">
        <w:rPr>
          <w:rStyle w:val="FootnoteReference"/>
          <w:szCs w:val="20"/>
        </w:rPr>
        <w:footnoteRef/>
      </w:r>
      <w:r w:rsidRPr="00B638D5">
        <w:rPr>
          <w:szCs w:val="20"/>
        </w:rPr>
        <w:t xml:space="preserve"> Les </w:t>
      </w:r>
      <w:r w:rsidRPr="00B638D5">
        <w:rPr>
          <w:b/>
          <w:szCs w:val="20"/>
        </w:rPr>
        <w:t>groupes cibles</w:t>
      </w:r>
      <w:r w:rsidRPr="00B638D5">
        <w:rPr>
          <w:szCs w:val="20"/>
        </w:rPr>
        <w:t xml:space="preserve"> sont les groupes/entités qui bénéficieront directement de l’action au niveau de l’objectif de l’action.</w:t>
      </w:r>
    </w:p>
  </w:footnote>
  <w:footnote w:id="10">
    <w:p w14:paraId="727B7EC1" w14:textId="77777777" w:rsidR="005B400D" w:rsidRDefault="005B400D" w:rsidP="007617F1">
      <w:pPr>
        <w:pStyle w:val="FootnoteText"/>
        <w:spacing w:after="60"/>
      </w:pPr>
      <w:r w:rsidRPr="00B638D5">
        <w:rPr>
          <w:rStyle w:val="FootnoteReference"/>
          <w:szCs w:val="20"/>
        </w:rPr>
        <w:footnoteRef/>
      </w:r>
      <w:r w:rsidRPr="00B638D5">
        <w:rPr>
          <w:szCs w:val="20"/>
        </w:rPr>
        <w:t xml:space="preserve"> Les </w:t>
      </w:r>
      <w:r w:rsidRPr="00B638D5">
        <w:rPr>
          <w:b/>
          <w:szCs w:val="20"/>
        </w:rPr>
        <w:t>bénéficiaires finaux</w:t>
      </w:r>
      <w:r w:rsidRPr="00B638D5">
        <w:rPr>
          <w:szCs w:val="20"/>
        </w:rPr>
        <w:t xml:space="preserve"> sont ceux qui bénéficieront de l’action à long terme au niveau de la société ou du secteur au sens large.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CF1F" w14:textId="77777777" w:rsidR="005B400D" w:rsidRDefault="005B4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8CF12" w14:textId="77777777" w:rsidR="005B400D" w:rsidRDefault="005B4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75B7" w14:textId="77777777" w:rsidR="005B400D" w:rsidRDefault="005B400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FB8C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2"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singleLevel"/>
    <w:tmpl w:val="00000003"/>
    <w:name w:val="WW8Num14"/>
    <w:lvl w:ilvl="0">
      <w:start w:val="1"/>
      <w:numFmt w:val="bullet"/>
      <w:lvlText w:val="–"/>
      <w:lvlJc w:val="left"/>
      <w:pPr>
        <w:tabs>
          <w:tab w:val="num" w:pos="1134"/>
        </w:tabs>
        <w:ind w:left="1134" w:hanging="283"/>
      </w:pPr>
      <w:rPr>
        <w:rFonts w:ascii="Times New Roman" w:hAnsi="Times New Roman" w:cs="Times New Roman"/>
      </w:rPr>
    </w:lvl>
  </w:abstractNum>
  <w:abstractNum w:abstractNumId="5"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186DF8"/>
    <w:multiLevelType w:val="hybridMultilevel"/>
    <w:tmpl w:val="1046A2C6"/>
    <w:lvl w:ilvl="0" w:tplc="758843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44AAA"/>
    <w:multiLevelType w:val="hybridMultilevel"/>
    <w:tmpl w:val="3F7C0B28"/>
    <w:lvl w:ilvl="0" w:tplc="758843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4C61A3E"/>
    <w:multiLevelType w:val="hybridMultilevel"/>
    <w:tmpl w:val="FF32E510"/>
    <w:lvl w:ilvl="0" w:tplc="340C0003">
      <w:start w:val="1"/>
      <w:numFmt w:val="bullet"/>
      <w:lvlText w:val="o"/>
      <w:lvlJc w:val="left"/>
      <w:pPr>
        <w:ind w:left="720" w:hanging="360"/>
      </w:pPr>
      <w:rPr>
        <w:rFonts w:ascii="Courier New" w:hAnsi="Courier New" w:cs="Courier New"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 w15:restartNumberingAfterBreak="0">
    <w:nsid w:val="1ADD52E6"/>
    <w:multiLevelType w:val="hybridMultilevel"/>
    <w:tmpl w:val="F392E7CA"/>
    <w:lvl w:ilvl="0" w:tplc="D42AE4AC">
      <w:start w:val="1"/>
      <w:numFmt w:val="bullet"/>
      <w:lvlText w:val="-"/>
      <w:lvlJc w:val="left"/>
      <w:pPr>
        <w:ind w:left="720" w:hanging="360"/>
      </w:pPr>
      <w:rPr>
        <w:rFonts w:ascii="Calibri" w:hAnsi="Calibri" w:hint="default"/>
      </w:rPr>
    </w:lvl>
    <w:lvl w:ilvl="1" w:tplc="D42AE4A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4256"/>
    <w:multiLevelType w:val="multilevel"/>
    <w:tmpl w:val="1B60A814"/>
    <w:lvl w:ilvl="0">
      <w:start w:val="1"/>
      <w:numFmt w:val="decimal"/>
      <w:pStyle w:val="StyleHeading1TimesNewRoman"/>
      <w:lvlText w:val="%1."/>
      <w:lvlJc w:val="left"/>
      <w:pPr>
        <w:tabs>
          <w:tab w:val="num" w:pos="927"/>
        </w:tabs>
        <w:ind w:left="927" w:hanging="360"/>
      </w:pPr>
      <w:rPr>
        <w:rFonts w:ascii="Times New Roman" w:hAnsi="Times New Roman" w:hint="default"/>
        <w:b/>
        <w:i w:val="0"/>
        <w:sz w:val="28"/>
        <w:szCs w:val="22"/>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3" w15:restartNumberingAfterBreak="0">
    <w:nsid w:val="21CF29AE"/>
    <w:multiLevelType w:val="hybridMultilevel"/>
    <w:tmpl w:val="F23A4B62"/>
    <w:lvl w:ilvl="0" w:tplc="53B0203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729006B"/>
    <w:multiLevelType w:val="hybridMultilevel"/>
    <w:tmpl w:val="52061CF2"/>
    <w:lvl w:ilvl="0" w:tplc="D42AE4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16D5278"/>
    <w:multiLevelType w:val="multilevel"/>
    <w:tmpl w:val="D45AFC5E"/>
    <w:name w:val="List Number 2__1"/>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9262A3"/>
    <w:multiLevelType w:val="hybridMultilevel"/>
    <w:tmpl w:val="BE7E6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A33FE1"/>
    <w:multiLevelType w:val="hybridMultilevel"/>
    <w:tmpl w:val="A81A87E0"/>
    <w:lvl w:ilvl="0" w:tplc="758843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AE55A34"/>
    <w:multiLevelType w:val="hybridMultilevel"/>
    <w:tmpl w:val="DB8E5C36"/>
    <w:lvl w:ilvl="0" w:tplc="27A2DB7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238F0"/>
    <w:multiLevelType w:val="multilevel"/>
    <w:tmpl w:val="36BC1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5F52D64"/>
    <w:multiLevelType w:val="multilevel"/>
    <w:tmpl w:val="2D88370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16D401B"/>
    <w:multiLevelType w:val="hybridMultilevel"/>
    <w:tmpl w:val="1B42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03FBF"/>
    <w:multiLevelType w:val="hybridMultilevel"/>
    <w:tmpl w:val="555646EC"/>
    <w:lvl w:ilvl="0" w:tplc="040C0001">
      <w:start w:val="1"/>
      <w:numFmt w:val="bullet"/>
      <w:lvlText w:val=""/>
      <w:lvlJc w:val="left"/>
      <w:pPr>
        <w:ind w:left="720" w:hanging="360"/>
      </w:pPr>
      <w:rPr>
        <w:rFonts w:ascii="Symbol" w:hAnsi="Symbol" w:hint="default"/>
      </w:rPr>
    </w:lvl>
    <w:lvl w:ilvl="1" w:tplc="1A0A69E2">
      <w:numFmt w:val="bullet"/>
      <w:lvlText w:val="-"/>
      <w:lvlJc w:val="left"/>
      <w:pPr>
        <w:ind w:left="1440" w:hanging="360"/>
      </w:pPr>
      <w:rPr>
        <w:rFonts w:ascii="Times New Roman" w:eastAsia="Times New Roman" w:hAnsi="Times New Roman" w:cs="Times New Roman"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4"/>
  </w:num>
  <w:num w:numId="4">
    <w:abstractNumId w:val="26"/>
  </w:num>
  <w:num w:numId="5">
    <w:abstractNumId w:val="18"/>
  </w:num>
  <w:num w:numId="6">
    <w:abstractNumId w:val="16"/>
  </w:num>
  <w:num w:numId="7">
    <w:abstractNumId w:val="9"/>
  </w:num>
  <w:num w:numId="8">
    <w:abstractNumId w:val="8"/>
  </w:num>
  <w:num w:numId="9">
    <w:abstractNumId w:val="30"/>
  </w:num>
  <w:num w:numId="10">
    <w:abstractNumId w:val="32"/>
  </w:num>
  <w:num w:numId="11">
    <w:abstractNumId w:val="31"/>
  </w:num>
  <w:num w:numId="12">
    <w:abstractNumId w:val="33"/>
  </w:num>
  <w:num w:numId="13">
    <w:abstractNumId w:val="14"/>
  </w:num>
  <w:num w:numId="14">
    <w:abstractNumId w:val="19"/>
  </w:num>
  <w:num w:numId="15">
    <w:abstractNumId w:val="22"/>
  </w:num>
  <w:num w:numId="16">
    <w:abstractNumId w:val="21"/>
  </w:num>
  <w:num w:numId="17">
    <w:abstractNumId w:val="5"/>
  </w:num>
  <w:num w:numId="18">
    <w:abstractNumId w:val="23"/>
  </w:num>
  <w:num w:numId="19">
    <w:abstractNumId w:val="12"/>
  </w:num>
  <w:num w:numId="20">
    <w:abstractNumId w:val="10"/>
  </w:num>
  <w:num w:numId="21">
    <w:abstractNumId w:val="0"/>
  </w:num>
  <w:num w:numId="22">
    <w:abstractNumId w:val="3"/>
  </w:num>
  <w:num w:numId="23">
    <w:abstractNumId w:val="28"/>
  </w:num>
  <w:num w:numId="24">
    <w:abstractNumId w:val="27"/>
  </w:num>
  <w:num w:numId="25">
    <w:abstractNumId w:val="13"/>
  </w:num>
  <w:num w:numId="26">
    <w:abstractNumId w:val="34"/>
  </w:num>
  <w:num w:numId="27">
    <w:abstractNumId w:val="7"/>
  </w:num>
  <w:num w:numId="28">
    <w:abstractNumId w:val="25"/>
  </w:num>
  <w:num w:numId="29">
    <w:abstractNumId w:val="6"/>
  </w:num>
  <w:num w:numId="30">
    <w:abstractNumId w:val="35"/>
  </w:num>
  <w:num w:numId="31">
    <w:abstractNumId w:val="20"/>
  </w:num>
  <w:num w:numId="32">
    <w:abstractNumId w:val="29"/>
  </w:num>
  <w:num w:numId="33">
    <w:abstractNumId w:val="15"/>
  </w:num>
  <w:num w:numId="3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5"/>
  <w:embedSystemFonts/>
  <w:activeWritingStyle w:appName="MSWord" w:lang="fr-BE" w:vendorID="64" w:dllVersion="6" w:nlCheck="1" w:checkStyle="0"/>
  <w:activeWritingStyle w:appName="MSWord" w:lang="fr-FR" w:vendorID="64" w:dllVersion="6" w:nlCheck="1" w:checkStyle="0"/>
  <w:activeWritingStyle w:appName="MSWord" w:lang="fr-ML" w:vendorID="64" w:dllVersion="6" w:nlCheck="1" w:checkStyle="0"/>
  <w:activeWritingStyle w:appName="MSWord" w:lang="en-US" w:vendorID="64" w:dllVersion="6" w:nlCheck="1" w:checkStyle="1"/>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ACCOMPAGNANT.CP" w:val="&lt;UNUSED&gt;"/>
    <w:docVar w:name="LW_CONFIDENCE" w:val=" "/>
    <w:docVar w:name="LW_CORRIGENDUM" w:val="&lt;UNUSED&gt;"/>
    <w:docVar w:name="LW_CROSSREFERENCE" w:val="&lt;UNUSED&gt;"/>
    <w:docVar w:name="LW_DATE.ADOPT.CP_ISODATE" w:val="&lt;EMPTY&gt;"/>
    <w:docVar w:name="LW_DocType" w:val="NOT"/>
    <w:docVar w:name="LW_EMISSION" w:val="&lt;EMPTY&gt;"/>
    <w:docVar w:name="LW_EMISSION_ISODATE" w:val="&lt;EMPTY&gt;"/>
    <w:docVar w:name="LW_EMISSION_LOCATION" w:val="BRX"/>
    <w:docVar w:name="LW_EMISSION_PREFIX" w:val="Bruxelles, le "/>
    <w:docVar w:name="LW_EMISSION_SUFFIX" w:val=" "/>
    <w:docVar w:name="LW_INTERETEEE.CP" w:val="&lt;UNUSED&gt;"/>
    <w:docVar w:name="LW_LANGUE" w:val="FR"/>
    <w:docVar w:name="LW_LANGUESFAISANTFOI.CP" w:val="&lt;UNUSED&gt;"/>
    <w:docVar w:name="LW_MARKING" w:val="&lt;UNUSED&gt;"/>
    <w:docVar w:name="LW_NOM.INST" w:val="COMMISSION EUROPÉENNE"/>
    <w:docVar w:name="LW_NOM.INST_JOINTDOC" w:val="&lt;EMPTY&gt;"/>
    <w:docVar w:name="LW_OBJETACTEPRINCIPAL.CP" w:val="&lt;UNUSED&gt;"/>
    <w:docVar w:name="LW_REF.II.NEW.CP" w:val="&lt;UNUSED&gt;"/>
    <w:docVar w:name="LW_REF.II.NEW.CP_NUMBER" w:val="&lt;UNUSED&gt;"/>
    <w:docVar w:name="LW_REF.II.NEW.CP_YEAR" w:val="2014"/>
    <w:docVar w:name="LW_REF.INST.NEW" w:val="&lt;EMPTY&gt;"/>
    <w:docVar w:name="LW_REF.INST.NEW_ADOPTED" w:val="&lt;EMPTY&gt;"/>
    <w:docVar w:name="LW_REF.INST.NEW_TEXT" w:val="(2014) XXX"/>
    <w:docVar w:name="LW_REF.INTERNE" w:val="&lt;UNUSED&gt;"/>
    <w:docVar w:name="LW_SOUS.TITRE.OBJ.CP" w:val="&lt;UNUSED&gt;"/>
    <w:docVar w:name="LW_SUPERTITRE" w:val="&lt;UNUSED&gt;"/>
    <w:docVar w:name="LW_TITRE.OBJ.CP" w:val="[mandatory element]"/>
    <w:docVar w:name="LW_TYPE.DOC.CP" w:val="DOCUMENT DE TRAVAIL DES SERVICES DE LA COMMISSION"/>
    <w:docVar w:name="LW_TYPEACTEPRINCIPAL.CP" w:val="&lt;UNUSED&gt;"/>
  </w:docVars>
  <w:rsids>
    <w:rsidRoot w:val="00B06ABC"/>
    <w:rsid w:val="000004AF"/>
    <w:rsid w:val="000005C2"/>
    <w:rsid w:val="00000F7C"/>
    <w:rsid w:val="0000303D"/>
    <w:rsid w:val="00003F25"/>
    <w:rsid w:val="000064A9"/>
    <w:rsid w:val="0001026C"/>
    <w:rsid w:val="00010843"/>
    <w:rsid w:val="0001118A"/>
    <w:rsid w:val="000146A8"/>
    <w:rsid w:val="00016D70"/>
    <w:rsid w:val="00017AFC"/>
    <w:rsid w:val="00020BC6"/>
    <w:rsid w:val="000221DA"/>
    <w:rsid w:val="00023636"/>
    <w:rsid w:val="0002406D"/>
    <w:rsid w:val="000310D6"/>
    <w:rsid w:val="00032F74"/>
    <w:rsid w:val="00033B3B"/>
    <w:rsid w:val="00034B1C"/>
    <w:rsid w:val="00034EE8"/>
    <w:rsid w:val="0003627E"/>
    <w:rsid w:val="000366D1"/>
    <w:rsid w:val="00036DD9"/>
    <w:rsid w:val="000371F6"/>
    <w:rsid w:val="000432A0"/>
    <w:rsid w:val="0004553A"/>
    <w:rsid w:val="00045752"/>
    <w:rsid w:val="00046377"/>
    <w:rsid w:val="00046B0C"/>
    <w:rsid w:val="0004743A"/>
    <w:rsid w:val="0005016D"/>
    <w:rsid w:val="000509E7"/>
    <w:rsid w:val="00050A0C"/>
    <w:rsid w:val="00050C37"/>
    <w:rsid w:val="00050DB6"/>
    <w:rsid w:val="000511A3"/>
    <w:rsid w:val="0005220B"/>
    <w:rsid w:val="00052B06"/>
    <w:rsid w:val="000530B9"/>
    <w:rsid w:val="00055106"/>
    <w:rsid w:val="000553AE"/>
    <w:rsid w:val="000563E2"/>
    <w:rsid w:val="000565B5"/>
    <w:rsid w:val="00056F0D"/>
    <w:rsid w:val="00057F96"/>
    <w:rsid w:val="00060B9C"/>
    <w:rsid w:val="000618A2"/>
    <w:rsid w:val="00061C8F"/>
    <w:rsid w:val="00063246"/>
    <w:rsid w:val="00063BC6"/>
    <w:rsid w:val="000642A1"/>
    <w:rsid w:val="00065258"/>
    <w:rsid w:val="0006737D"/>
    <w:rsid w:val="00067C54"/>
    <w:rsid w:val="00070FFE"/>
    <w:rsid w:val="00071828"/>
    <w:rsid w:val="00071921"/>
    <w:rsid w:val="0007390A"/>
    <w:rsid w:val="00074689"/>
    <w:rsid w:val="00075220"/>
    <w:rsid w:val="000759CC"/>
    <w:rsid w:val="00075A43"/>
    <w:rsid w:val="00075C7A"/>
    <w:rsid w:val="00077C03"/>
    <w:rsid w:val="0008091D"/>
    <w:rsid w:val="00080F04"/>
    <w:rsid w:val="00080FC1"/>
    <w:rsid w:val="00081AD6"/>
    <w:rsid w:val="00085357"/>
    <w:rsid w:val="00087255"/>
    <w:rsid w:val="000907D8"/>
    <w:rsid w:val="000925AD"/>
    <w:rsid w:val="0009355E"/>
    <w:rsid w:val="00093979"/>
    <w:rsid w:val="00093A15"/>
    <w:rsid w:val="00094270"/>
    <w:rsid w:val="00095420"/>
    <w:rsid w:val="00095AF5"/>
    <w:rsid w:val="000A2B40"/>
    <w:rsid w:val="000A3CF6"/>
    <w:rsid w:val="000A3E7E"/>
    <w:rsid w:val="000A5CA8"/>
    <w:rsid w:val="000A61F6"/>
    <w:rsid w:val="000A6857"/>
    <w:rsid w:val="000A69F0"/>
    <w:rsid w:val="000B0EF9"/>
    <w:rsid w:val="000B0F11"/>
    <w:rsid w:val="000B0F60"/>
    <w:rsid w:val="000B1E69"/>
    <w:rsid w:val="000B3C0E"/>
    <w:rsid w:val="000B5095"/>
    <w:rsid w:val="000C0C58"/>
    <w:rsid w:val="000C11C0"/>
    <w:rsid w:val="000C2E4A"/>
    <w:rsid w:val="000C3534"/>
    <w:rsid w:val="000C3946"/>
    <w:rsid w:val="000C40D3"/>
    <w:rsid w:val="000C4359"/>
    <w:rsid w:val="000C4AC5"/>
    <w:rsid w:val="000C5545"/>
    <w:rsid w:val="000C579F"/>
    <w:rsid w:val="000C64DC"/>
    <w:rsid w:val="000C7F4D"/>
    <w:rsid w:val="000D004F"/>
    <w:rsid w:val="000D1A41"/>
    <w:rsid w:val="000D5B29"/>
    <w:rsid w:val="000D66D7"/>
    <w:rsid w:val="000D701D"/>
    <w:rsid w:val="000E06D0"/>
    <w:rsid w:val="000E07CF"/>
    <w:rsid w:val="000E18D1"/>
    <w:rsid w:val="000E282D"/>
    <w:rsid w:val="000E4644"/>
    <w:rsid w:val="000E645B"/>
    <w:rsid w:val="000E736E"/>
    <w:rsid w:val="000E78A2"/>
    <w:rsid w:val="000F2607"/>
    <w:rsid w:val="000F2FE8"/>
    <w:rsid w:val="000F3FD5"/>
    <w:rsid w:val="000F4BA0"/>
    <w:rsid w:val="000F71BD"/>
    <w:rsid w:val="00100071"/>
    <w:rsid w:val="001005FE"/>
    <w:rsid w:val="00100CC2"/>
    <w:rsid w:val="00100F09"/>
    <w:rsid w:val="001040BD"/>
    <w:rsid w:val="00104C73"/>
    <w:rsid w:val="001055A8"/>
    <w:rsid w:val="00106B5B"/>
    <w:rsid w:val="00106EE3"/>
    <w:rsid w:val="00110C0B"/>
    <w:rsid w:val="00111203"/>
    <w:rsid w:val="00112A78"/>
    <w:rsid w:val="00112E0F"/>
    <w:rsid w:val="00115F2D"/>
    <w:rsid w:val="00116A16"/>
    <w:rsid w:val="00116FC0"/>
    <w:rsid w:val="0011719F"/>
    <w:rsid w:val="001200AD"/>
    <w:rsid w:val="0012010E"/>
    <w:rsid w:val="001214B6"/>
    <w:rsid w:val="00121949"/>
    <w:rsid w:val="0012452D"/>
    <w:rsid w:val="001302F6"/>
    <w:rsid w:val="001303C2"/>
    <w:rsid w:val="00132829"/>
    <w:rsid w:val="00133F02"/>
    <w:rsid w:val="00134317"/>
    <w:rsid w:val="00134F1C"/>
    <w:rsid w:val="00136D0E"/>
    <w:rsid w:val="001414C0"/>
    <w:rsid w:val="001428DA"/>
    <w:rsid w:val="00142BDD"/>
    <w:rsid w:val="00142E78"/>
    <w:rsid w:val="00144001"/>
    <w:rsid w:val="00144571"/>
    <w:rsid w:val="00146A17"/>
    <w:rsid w:val="00152196"/>
    <w:rsid w:val="0015464D"/>
    <w:rsid w:val="001556E5"/>
    <w:rsid w:val="001559C7"/>
    <w:rsid w:val="00156420"/>
    <w:rsid w:val="001567C2"/>
    <w:rsid w:val="00156BC7"/>
    <w:rsid w:val="00157112"/>
    <w:rsid w:val="00157809"/>
    <w:rsid w:val="00160570"/>
    <w:rsid w:val="001607DE"/>
    <w:rsid w:val="00160D35"/>
    <w:rsid w:val="001618B2"/>
    <w:rsid w:val="00162931"/>
    <w:rsid w:val="001668A0"/>
    <w:rsid w:val="00166BCA"/>
    <w:rsid w:val="00166F8C"/>
    <w:rsid w:val="0016729F"/>
    <w:rsid w:val="001700FE"/>
    <w:rsid w:val="001722BF"/>
    <w:rsid w:val="00172F5E"/>
    <w:rsid w:val="001737F3"/>
    <w:rsid w:val="00174FA6"/>
    <w:rsid w:val="00175528"/>
    <w:rsid w:val="00175E03"/>
    <w:rsid w:val="00176DCA"/>
    <w:rsid w:val="001809A3"/>
    <w:rsid w:val="0018235B"/>
    <w:rsid w:val="00182D82"/>
    <w:rsid w:val="001845BA"/>
    <w:rsid w:val="00186C2B"/>
    <w:rsid w:val="00190E71"/>
    <w:rsid w:val="0019381C"/>
    <w:rsid w:val="00194FFE"/>
    <w:rsid w:val="00196188"/>
    <w:rsid w:val="00197580"/>
    <w:rsid w:val="00197B1F"/>
    <w:rsid w:val="00197D29"/>
    <w:rsid w:val="001A2DBD"/>
    <w:rsid w:val="001A54EB"/>
    <w:rsid w:val="001A7F75"/>
    <w:rsid w:val="001B12A0"/>
    <w:rsid w:val="001B1375"/>
    <w:rsid w:val="001B15CC"/>
    <w:rsid w:val="001B27DE"/>
    <w:rsid w:val="001B2A04"/>
    <w:rsid w:val="001B3BCF"/>
    <w:rsid w:val="001C31B4"/>
    <w:rsid w:val="001C5A9A"/>
    <w:rsid w:val="001C5C19"/>
    <w:rsid w:val="001C6010"/>
    <w:rsid w:val="001C6858"/>
    <w:rsid w:val="001C7F61"/>
    <w:rsid w:val="001D05FA"/>
    <w:rsid w:val="001D0C0B"/>
    <w:rsid w:val="001D16D2"/>
    <w:rsid w:val="001D1966"/>
    <w:rsid w:val="001D2950"/>
    <w:rsid w:val="001D3071"/>
    <w:rsid w:val="001D3D5C"/>
    <w:rsid w:val="001D3F75"/>
    <w:rsid w:val="001D6BC5"/>
    <w:rsid w:val="001E0834"/>
    <w:rsid w:val="001E18CA"/>
    <w:rsid w:val="001E23F6"/>
    <w:rsid w:val="001E2C5E"/>
    <w:rsid w:val="001E4087"/>
    <w:rsid w:val="001E472B"/>
    <w:rsid w:val="001E4ED4"/>
    <w:rsid w:val="001E5549"/>
    <w:rsid w:val="001E6539"/>
    <w:rsid w:val="001F0436"/>
    <w:rsid w:val="001F0B6B"/>
    <w:rsid w:val="001F2576"/>
    <w:rsid w:val="001F3394"/>
    <w:rsid w:val="001F4472"/>
    <w:rsid w:val="001F62F7"/>
    <w:rsid w:val="00201547"/>
    <w:rsid w:val="00201A3F"/>
    <w:rsid w:val="00201BC5"/>
    <w:rsid w:val="00203A6D"/>
    <w:rsid w:val="002050C7"/>
    <w:rsid w:val="00210F31"/>
    <w:rsid w:val="00213CEC"/>
    <w:rsid w:val="002159AF"/>
    <w:rsid w:val="00220845"/>
    <w:rsid w:val="00220D91"/>
    <w:rsid w:val="002221FF"/>
    <w:rsid w:val="00222A71"/>
    <w:rsid w:val="00222F6B"/>
    <w:rsid w:val="0022560F"/>
    <w:rsid w:val="00227659"/>
    <w:rsid w:val="0023046D"/>
    <w:rsid w:val="00231854"/>
    <w:rsid w:val="00233048"/>
    <w:rsid w:val="00233794"/>
    <w:rsid w:val="00233F86"/>
    <w:rsid w:val="00234C4A"/>
    <w:rsid w:val="00235584"/>
    <w:rsid w:val="002357A7"/>
    <w:rsid w:val="00237315"/>
    <w:rsid w:val="00240089"/>
    <w:rsid w:val="002435D1"/>
    <w:rsid w:val="002436EE"/>
    <w:rsid w:val="002443FD"/>
    <w:rsid w:val="002453B4"/>
    <w:rsid w:val="0024690D"/>
    <w:rsid w:val="00251F0C"/>
    <w:rsid w:val="00252A8E"/>
    <w:rsid w:val="00254A9B"/>
    <w:rsid w:val="00255A48"/>
    <w:rsid w:val="0025642E"/>
    <w:rsid w:val="002569CF"/>
    <w:rsid w:val="002617C8"/>
    <w:rsid w:val="00263321"/>
    <w:rsid w:val="0026396D"/>
    <w:rsid w:val="00263D58"/>
    <w:rsid w:val="00264B4A"/>
    <w:rsid w:val="00267F57"/>
    <w:rsid w:val="0027041D"/>
    <w:rsid w:val="00272962"/>
    <w:rsid w:val="002734C1"/>
    <w:rsid w:val="002734EE"/>
    <w:rsid w:val="00274B2E"/>
    <w:rsid w:val="002763E6"/>
    <w:rsid w:val="00277608"/>
    <w:rsid w:val="00277902"/>
    <w:rsid w:val="002811F6"/>
    <w:rsid w:val="00281335"/>
    <w:rsid w:val="0028152C"/>
    <w:rsid w:val="0028345E"/>
    <w:rsid w:val="00283813"/>
    <w:rsid w:val="00285F0A"/>
    <w:rsid w:val="00286CE2"/>
    <w:rsid w:val="00287058"/>
    <w:rsid w:val="002879FC"/>
    <w:rsid w:val="002902FE"/>
    <w:rsid w:val="00296637"/>
    <w:rsid w:val="002974A3"/>
    <w:rsid w:val="002A1034"/>
    <w:rsid w:val="002A2B21"/>
    <w:rsid w:val="002A33AE"/>
    <w:rsid w:val="002A3E24"/>
    <w:rsid w:val="002A5536"/>
    <w:rsid w:val="002A5BC2"/>
    <w:rsid w:val="002A691B"/>
    <w:rsid w:val="002A6EB4"/>
    <w:rsid w:val="002A6FD5"/>
    <w:rsid w:val="002A7755"/>
    <w:rsid w:val="002A7AD8"/>
    <w:rsid w:val="002A7EE8"/>
    <w:rsid w:val="002A7FCE"/>
    <w:rsid w:val="002B21ED"/>
    <w:rsid w:val="002B2786"/>
    <w:rsid w:val="002B27C6"/>
    <w:rsid w:val="002B5F2F"/>
    <w:rsid w:val="002B6BA9"/>
    <w:rsid w:val="002B7A58"/>
    <w:rsid w:val="002B7E15"/>
    <w:rsid w:val="002C0133"/>
    <w:rsid w:val="002C2C8B"/>
    <w:rsid w:val="002D2230"/>
    <w:rsid w:val="002D6B5F"/>
    <w:rsid w:val="002D7261"/>
    <w:rsid w:val="002E000F"/>
    <w:rsid w:val="002E3AC7"/>
    <w:rsid w:val="002E3DE8"/>
    <w:rsid w:val="002E3EEE"/>
    <w:rsid w:val="002E542C"/>
    <w:rsid w:val="002E5832"/>
    <w:rsid w:val="002E5874"/>
    <w:rsid w:val="002E6BC8"/>
    <w:rsid w:val="002F18A2"/>
    <w:rsid w:val="002F1F36"/>
    <w:rsid w:val="002F33D3"/>
    <w:rsid w:val="002F3588"/>
    <w:rsid w:val="002F3AD6"/>
    <w:rsid w:val="002F3C68"/>
    <w:rsid w:val="002F4526"/>
    <w:rsid w:val="002F5132"/>
    <w:rsid w:val="002F7E9C"/>
    <w:rsid w:val="00300DFD"/>
    <w:rsid w:val="00303D40"/>
    <w:rsid w:val="0030594B"/>
    <w:rsid w:val="003065CF"/>
    <w:rsid w:val="00310D91"/>
    <w:rsid w:val="00310F7D"/>
    <w:rsid w:val="00312422"/>
    <w:rsid w:val="0031376F"/>
    <w:rsid w:val="00313CE0"/>
    <w:rsid w:val="003155BF"/>
    <w:rsid w:val="00315A8E"/>
    <w:rsid w:val="00317BF1"/>
    <w:rsid w:val="003209A5"/>
    <w:rsid w:val="00321965"/>
    <w:rsid w:val="00321ACA"/>
    <w:rsid w:val="00321DBE"/>
    <w:rsid w:val="003231A5"/>
    <w:rsid w:val="003236B9"/>
    <w:rsid w:val="00323F86"/>
    <w:rsid w:val="0032594A"/>
    <w:rsid w:val="00325FDF"/>
    <w:rsid w:val="003269BE"/>
    <w:rsid w:val="00326BD0"/>
    <w:rsid w:val="00327210"/>
    <w:rsid w:val="003325B0"/>
    <w:rsid w:val="00334072"/>
    <w:rsid w:val="003357B3"/>
    <w:rsid w:val="0033640B"/>
    <w:rsid w:val="003364AB"/>
    <w:rsid w:val="00337A1D"/>
    <w:rsid w:val="00340471"/>
    <w:rsid w:val="00340C91"/>
    <w:rsid w:val="003410E9"/>
    <w:rsid w:val="0034143D"/>
    <w:rsid w:val="0034147D"/>
    <w:rsid w:val="003429A7"/>
    <w:rsid w:val="003435BA"/>
    <w:rsid w:val="00344072"/>
    <w:rsid w:val="00344F0B"/>
    <w:rsid w:val="00346B95"/>
    <w:rsid w:val="00352C16"/>
    <w:rsid w:val="00353871"/>
    <w:rsid w:val="003549EF"/>
    <w:rsid w:val="00354ADD"/>
    <w:rsid w:val="003554FA"/>
    <w:rsid w:val="00355C75"/>
    <w:rsid w:val="00357A65"/>
    <w:rsid w:val="00360C4F"/>
    <w:rsid w:val="00360C69"/>
    <w:rsid w:val="00361841"/>
    <w:rsid w:val="00361961"/>
    <w:rsid w:val="003621A3"/>
    <w:rsid w:val="00363744"/>
    <w:rsid w:val="00363F8B"/>
    <w:rsid w:val="00364A74"/>
    <w:rsid w:val="003664E2"/>
    <w:rsid w:val="00367010"/>
    <w:rsid w:val="00367466"/>
    <w:rsid w:val="00371683"/>
    <w:rsid w:val="003729CC"/>
    <w:rsid w:val="00373200"/>
    <w:rsid w:val="00373307"/>
    <w:rsid w:val="003737A4"/>
    <w:rsid w:val="00375BFD"/>
    <w:rsid w:val="00380459"/>
    <w:rsid w:val="00380700"/>
    <w:rsid w:val="00382A7D"/>
    <w:rsid w:val="003863B1"/>
    <w:rsid w:val="00387710"/>
    <w:rsid w:val="003877CD"/>
    <w:rsid w:val="003879E4"/>
    <w:rsid w:val="00390E96"/>
    <w:rsid w:val="003915F3"/>
    <w:rsid w:val="00393297"/>
    <w:rsid w:val="003936C1"/>
    <w:rsid w:val="00393E3F"/>
    <w:rsid w:val="00394511"/>
    <w:rsid w:val="003949A7"/>
    <w:rsid w:val="003956ED"/>
    <w:rsid w:val="00395F6C"/>
    <w:rsid w:val="00397332"/>
    <w:rsid w:val="003A04A1"/>
    <w:rsid w:val="003A06A4"/>
    <w:rsid w:val="003A1220"/>
    <w:rsid w:val="003A1FD7"/>
    <w:rsid w:val="003A2635"/>
    <w:rsid w:val="003A3454"/>
    <w:rsid w:val="003A4E9A"/>
    <w:rsid w:val="003A55BD"/>
    <w:rsid w:val="003A59C8"/>
    <w:rsid w:val="003A66EC"/>
    <w:rsid w:val="003A6EE0"/>
    <w:rsid w:val="003B1496"/>
    <w:rsid w:val="003B3DCB"/>
    <w:rsid w:val="003B4033"/>
    <w:rsid w:val="003B42C8"/>
    <w:rsid w:val="003B54BE"/>
    <w:rsid w:val="003B577A"/>
    <w:rsid w:val="003B5D1A"/>
    <w:rsid w:val="003B71AB"/>
    <w:rsid w:val="003C05C8"/>
    <w:rsid w:val="003C1603"/>
    <w:rsid w:val="003C1970"/>
    <w:rsid w:val="003C1DE8"/>
    <w:rsid w:val="003C289A"/>
    <w:rsid w:val="003C2D94"/>
    <w:rsid w:val="003C34DA"/>
    <w:rsid w:val="003C51C8"/>
    <w:rsid w:val="003C577E"/>
    <w:rsid w:val="003C69B5"/>
    <w:rsid w:val="003D11F4"/>
    <w:rsid w:val="003D1DA0"/>
    <w:rsid w:val="003D230A"/>
    <w:rsid w:val="003D3E79"/>
    <w:rsid w:val="003D5FE5"/>
    <w:rsid w:val="003D658B"/>
    <w:rsid w:val="003D715E"/>
    <w:rsid w:val="003D7274"/>
    <w:rsid w:val="003D7BF7"/>
    <w:rsid w:val="003E05D3"/>
    <w:rsid w:val="003E285F"/>
    <w:rsid w:val="003E2B87"/>
    <w:rsid w:val="003E3609"/>
    <w:rsid w:val="003E3DD5"/>
    <w:rsid w:val="003E5D16"/>
    <w:rsid w:val="003E7613"/>
    <w:rsid w:val="003F0C29"/>
    <w:rsid w:val="003F1237"/>
    <w:rsid w:val="003F2279"/>
    <w:rsid w:val="003F2D35"/>
    <w:rsid w:val="003F2FF1"/>
    <w:rsid w:val="003F361D"/>
    <w:rsid w:val="003F5252"/>
    <w:rsid w:val="003F5B8D"/>
    <w:rsid w:val="003F7A7E"/>
    <w:rsid w:val="003F7F28"/>
    <w:rsid w:val="004009AC"/>
    <w:rsid w:val="00402052"/>
    <w:rsid w:val="00402954"/>
    <w:rsid w:val="00402971"/>
    <w:rsid w:val="00402CFD"/>
    <w:rsid w:val="0040385F"/>
    <w:rsid w:val="00405425"/>
    <w:rsid w:val="004056F9"/>
    <w:rsid w:val="00407655"/>
    <w:rsid w:val="004120BE"/>
    <w:rsid w:val="00413C6C"/>
    <w:rsid w:val="004143BB"/>
    <w:rsid w:val="00415D2E"/>
    <w:rsid w:val="004165DC"/>
    <w:rsid w:val="004172E7"/>
    <w:rsid w:val="00417754"/>
    <w:rsid w:val="00423CFD"/>
    <w:rsid w:val="0042757F"/>
    <w:rsid w:val="004303BE"/>
    <w:rsid w:val="00430DD0"/>
    <w:rsid w:val="00430EE3"/>
    <w:rsid w:val="00431105"/>
    <w:rsid w:val="00431BAF"/>
    <w:rsid w:val="00431CEB"/>
    <w:rsid w:val="00431D96"/>
    <w:rsid w:val="00431E08"/>
    <w:rsid w:val="00433B98"/>
    <w:rsid w:val="00437F5B"/>
    <w:rsid w:val="00440E48"/>
    <w:rsid w:val="00441A7D"/>
    <w:rsid w:val="00441DFA"/>
    <w:rsid w:val="00442374"/>
    <w:rsid w:val="00442771"/>
    <w:rsid w:val="00444B2A"/>
    <w:rsid w:val="004457C4"/>
    <w:rsid w:val="00447F27"/>
    <w:rsid w:val="004503A4"/>
    <w:rsid w:val="00451161"/>
    <w:rsid w:val="0045146C"/>
    <w:rsid w:val="00452F74"/>
    <w:rsid w:val="00453638"/>
    <w:rsid w:val="00453AF7"/>
    <w:rsid w:val="0045403E"/>
    <w:rsid w:val="00457872"/>
    <w:rsid w:val="00457AFE"/>
    <w:rsid w:val="004612FD"/>
    <w:rsid w:val="0046280A"/>
    <w:rsid w:val="00462A56"/>
    <w:rsid w:val="0046410E"/>
    <w:rsid w:val="00465D18"/>
    <w:rsid w:val="00466309"/>
    <w:rsid w:val="00466680"/>
    <w:rsid w:val="00470BE5"/>
    <w:rsid w:val="004715CD"/>
    <w:rsid w:val="00472280"/>
    <w:rsid w:val="00473B38"/>
    <w:rsid w:val="00474570"/>
    <w:rsid w:val="00475E8A"/>
    <w:rsid w:val="004769E3"/>
    <w:rsid w:val="00477062"/>
    <w:rsid w:val="00480AF9"/>
    <w:rsid w:val="0048245F"/>
    <w:rsid w:val="00487244"/>
    <w:rsid w:val="00487C73"/>
    <w:rsid w:val="00490142"/>
    <w:rsid w:val="00490A0D"/>
    <w:rsid w:val="00493763"/>
    <w:rsid w:val="00495384"/>
    <w:rsid w:val="00495EB5"/>
    <w:rsid w:val="0049707A"/>
    <w:rsid w:val="00497B99"/>
    <w:rsid w:val="004A0FC4"/>
    <w:rsid w:val="004A1675"/>
    <w:rsid w:val="004A3561"/>
    <w:rsid w:val="004A4481"/>
    <w:rsid w:val="004A55B7"/>
    <w:rsid w:val="004A6026"/>
    <w:rsid w:val="004A76A2"/>
    <w:rsid w:val="004B016A"/>
    <w:rsid w:val="004B0486"/>
    <w:rsid w:val="004B154C"/>
    <w:rsid w:val="004B19BF"/>
    <w:rsid w:val="004B201E"/>
    <w:rsid w:val="004B4653"/>
    <w:rsid w:val="004B6B47"/>
    <w:rsid w:val="004C0ABC"/>
    <w:rsid w:val="004C0E31"/>
    <w:rsid w:val="004C1423"/>
    <w:rsid w:val="004C19FC"/>
    <w:rsid w:val="004C1E49"/>
    <w:rsid w:val="004C21BC"/>
    <w:rsid w:val="004C2777"/>
    <w:rsid w:val="004C27F9"/>
    <w:rsid w:val="004C2B7E"/>
    <w:rsid w:val="004C2F46"/>
    <w:rsid w:val="004C5673"/>
    <w:rsid w:val="004D22BB"/>
    <w:rsid w:val="004D3C97"/>
    <w:rsid w:val="004D43AA"/>
    <w:rsid w:val="004D43E5"/>
    <w:rsid w:val="004D5184"/>
    <w:rsid w:val="004D544A"/>
    <w:rsid w:val="004D62C7"/>
    <w:rsid w:val="004D65C6"/>
    <w:rsid w:val="004D759F"/>
    <w:rsid w:val="004D75B1"/>
    <w:rsid w:val="004E021D"/>
    <w:rsid w:val="004E1988"/>
    <w:rsid w:val="004E2A1A"/>
    <w:rsid w:val="004E2A77"/>
    <w:rsid w:val="004E389D"/>
    <w:rsid w:val="004E3F28"/>
    <w:rsid w:val="004E40F4"/>
    <w:rsid w:val="004E4633"/>
    <w:rsid w:val="004E4AA1"/>
    <w:rsid w:val="004E65C9"/>
    <w:rsid w:val="004E774E"/>
    <w:rsid w:val="004F198B"/>
    <w:rsid w:val="004F1D9D"/>
    <w:rsid w:val="004F21F0"/>
    <w:rsid w:val="004F2F8A"/>
    <w:rsid w:val="004F3AEA"/>
    <w:rsid w:val="004F4F72"/>
    <w:rsid w:val="0050100C"/>
    <w:rsid w:val="00502EB9"/>
    <w:rsid w:val="00504E66"/>
    <w:rsid w:val="0050519E"/>
    <w:rsid w:val="005058AA"/>
    <w:rsid w:val="00507186"/>
    <w:rsid w:val="00511D8F"/>
    <w:rsid w:val="005132EC"/>
    <w:rsid w:val="0051486D"/>
    <w:rsid w:val="00517E8D"/>
    <w:rsid w:val="00522F5A"/>
    <w:rsid w:val="00522F68"/>
    <w:rsid w:val="0052362A"/>
    <w:rsid w:val="005267F9"/>
    <w:rsid w:val="0052758D"/>
    <w:rsid w:val="0052779C"/>
    <w:rsid w:val="005309A8"/>
    <w:rsid w:val="00533270"/>
    <w:rsid w:val="00534257"/>
    <w:rsid w:val="00536284"/>
    <w:rsid w:val="00536A71"/>
    <w:rsid w:val="005373F2"/>
    <w:rsid w:val="00537712"/>
    <w:rsid w:val="00540142"/>
    <w:rsid w:val="00541D75"/>
    <w:rsid w:val="00543AC8"/>
    <w:rsid w:val="00543FDA"/>
    <w:rsid w:val="0054463E"/>
    <w:rsid w:val="005454B7"/>
    <w:rsid w:val="00545B5C"/>
    <w:rsid w:val="00546F59"/>
    <w:rsid w:val="00546FE6"/>
    <w:rsid w:val="00547A97"/>
    <w:rsid w:val="00550B76"/>
    <w:rsid w:val="00550F22"/>
    <w:rsid w:val="00550F69"/>
    <w:rsid w:val="00554A70"/>
    <w:rsid w:val="00555454"/>
    <w:rsid w:val="005554D3"/>
    <w:rsid w:val="005564BC"/>
    <w:rsid w:val="00560349"/>
    <w:rsid w:val="00560CFA"/>
    <w:rsid w:val="005620FF"/>
    <w:rsid w:val="005635A5"/>
    <w:rsid w:val="0056396C"/>
    <w:rsid w:val="00563E2F"/>
    <w:rsid w:val="00564374"/>
    <w:rsid w:val="0057177B"/>
    <w:rsid w:val="00572E0F"/>
    <w:rsid w:val="00577F2B"/>
    <w:rsid w:val="00583D72"/>
    <w:rsid w:val="00590DE8"/>
    <w:rsid w:val="00594AB0"/>
    <w:rsid w:val="00594AE7"/>
    <w:rsid w:val="00596371"/>
    <w:rsid w:val="005963DA"/>
    <w:rsid w:val="005A00CE"/>
    <w:rsid w:val="005A1DF6"/>
    <w:rsid w:val="005A35EA"/>
    <w:rsid w:val="005A5CCB"/>
    <w:rsid w:val="005A6A04"/>
    <w:rsid w:val="005B09DC"/>
    <w:rsid w:val="005B38F1"/>
    <w:rsid w:val="005B400D"/>
    <w:rsid w:val="005B48A8"/>
    <w:rsid w:val="005B4B8A"/>
    <w:rsid w:val="005B6901"/>
    <w:rsid w:val="005B6D67"/>
    <w:rsid w:val="005C1D8E"/>
    <w:rsid w:val="005C2D5E"/>
    <w:rsid w:val="005C3DCF"/>
    <w:rsid w:val="005C5206"/>
    <w:rsid w:val="005C66DE"/>
    <w:rsid w:val="005C6EAC"/>
    <w:rsid w:val="005C7B34"/>
    <w:rsid w:val="005D01D4"/>
    <w:rsid w:val="005D10DD"/>
    <w:rsid w:val="005D244B"/>
    <w:rsid w:val="005D3F35"/>
    <w:rsid w:val="005D6D99"/>
    <w:rsid w:val="005D70B4"/>
    <w:rsid w:val="005E193C"/>
    <w:rsid w:val="005E303A"/>
    <w:rsid w:val="005E6169"/>
    <w:rsid w:val="005E627F"/>
    <w:rsid w:val="005E65A1"/>
    <w:rsid w:val="005E7760"/>
    <w:rsid w:val="005E78C5"/>
    <w:rsid w:val="005F0E33"/>
    <w:rsid w:val="005F0E92"/>
    <w:rsid w:val="005F1939"/>
    <w:rsid w:val="005F1CAD"/>
    <w:rsid w:val="005F22BF"/>
    <w:rsid w:val="005F2DA6"/>
    <w:rsid w:val="005F40FD"/>
    <w:rsid w:val="005F4CB7"/>
    <w:rsid w:val="005F6722"/>
    <w:rsid w:val="0060073B"/>
    <w:rsid w:val="00600E3C"/>
    <w:rsid w:val="00602AFC"/>
    <w:rsid w:val="00602E70"/>
    <w:rsid w:val="00603D20"/>
    <w:rsid w:val="006068B4"/>
    <w:rsid w:val="00607395"/>
    <w:rsid w:val="00610A25"/>
    <w:rsid w:val="00613DAC"/>
    <w:rsid w:val="00615CAE"/>
    <w:rsid w:val="00617395"/>
    <w:rsid w:val="0062100A"/>
    <w:rsid w:val="00623648"/>
    <w:rsid w:val="00623783"/>
    <w:rsid w:val="00624316"/>
    <w:rsid w:val="00625379"/>
    <w:rsid w:val="00625AAE"/>
    <w:rsid w:val="00625B27"/>
    <w:rsid w:val="00626430"/>
    <w:rsid w:val="006264A4"/>
    <w:rsid w:val="00627A9D"/>
    <w:rsid w:val="00627D90"/>
    <w:rsid w:val="00630433"/>
    <w:rsid w:val="006306B0"/>
    <w:rsid w:val="00631E77"/>
    <w:rsid w:val="00632AB1"/>
    <w:rsid w:val="00633AC1"/>
    <w:rsid w:val="0063429A"/>
    <w:rsid w:val="0063435E"/>
    <w:rsid w:val="006349D0"/>
    <w:rsid w:val="00636056"/>
    <w:rsid w:val="006360D9"/>
    <w:rsid w:val="00642CD3"/>
    <w:rsid w:val="0064401C"/>
    <w:rsid w:val="006451A2"/>
    <w:rsid w:val="00645232"/>
    <w:rsid w:val="00645B9F"/>
    <w:rsid w:val="00654199"/>
    <w:rsid w:val="0065579A"/>
    <w:rsid w:val="006562DA"/>
    <w:rsid w:val="00656A57"/>
    <w:rsid w:val="00657070"/>
    <w:rsid w:val="006575E1"/>
    <w:rsid w:val="00657968"/>
    <w:rsid w:val="00660B13"/>
    <w:rsid w:val="00662343"/>
    <w:rsid w:val="00665389"/>
    <w:rsid w:val="0066583E"/>
    <w:rsid w:val="00667B32"/>
    <w:rsid w:val="00667F47"/>
    <w:rsid w:val="00670619"/>
    <w:rsid w:val="006726D0"/>
    <w:rsid w:val="00673376"/>
    <w:rsid w:val="006759DB"/>
    <w:rsid w:val="00676241"/>
    <w:rsid w:val="00676B44"/>
    <w:rsid w:val="006773BC"/>
    <w:rsid w:val="006775F7"/>
    <w:rsid w:val="00677DD5"/>
    <w:rsid w:val="0068011A"/>
    <w:rsid w:val="0068127E"/>
    <w:rsid w:val="006833D9"/>
    <w:rsid w:val="0068518C"/>
    <w:rsid w:val="0068546D"/>
    <w:rsid w:val="0068562C"/>
    <w:rsid w:val="006872FA"/>
    <w:rsid w:val="006875D6"/>
    <w:rsid w:val="00687FAC"/>
    <w:rsid w:val="006906D4"/>
    <w:rsid w:val="006907E9"/>
    <w:rsid w:val="0069082A"/>
    <w:rsid w:val="0069193F"/>
    <w:rsid w:val="00692F47"/>
    <w:rsid w:val="00693282"/>
    <w:rsid w:val="006933BC"/>
    <w:rsid w:val="0069468C"/>
    <w:rsid w:val="006A0447"/>
    <w:rsid w:val="006A0F53"/>
    <w:rsid w:val="006A4E9F"/>
    <w:rsid w:val="006A7D77"/>
    <w:rsid w:val="006B05C5"/>
    <w:rsid w:val="006B17BD"/>
    <w:rsid w:val="006B194F"/>
    <w:rsid w:val="006B27C7"/>
    <w:rsid w:val="006B3286"/>
    <w:rsid w:val="006B4B85"/>
    <w:rsid w:val="006B570B"/>
    <w:rsid w:val="006B7D84"/>
    <w:rsid w:val="006B7EB5"/>
    <w:rsid w:val="006C02B0"/>
    <w:rsid w:val="006C0ADF"/>
    <w:rsid w:val="006C3128"/>
    <w:rsid w:val="006C3BC0"/>
    <w:rsid w:val="006C4701"/>
    <w:rsid w:val="006C49D6"/>
    <w:rsid w:val="006C4C05"/>
    <w:rsid w:val="006C6B53"/>
    <w:rsid w:val="006D021E"/>
    <w:rsid w:val="006D1CE4"/>
    <w:rsid w:val="006D3318"/>
    <w:rsid w:val="006D36A3"/>
    <w:rsid w:val="006D3B4A"/>
    <w:rsid w:val="006D5AAF"/>
    <w:rsid w:val="006D6C6B"/>
    <w:rsid w:val="006D6E4D"/>
    <w:rsid w:val="006E38E6"/>
    <w:rsid w:val="006E3E26"/>
    <w:rsid w:val="006E3F94"/>
    <w:rsid w:val="006E4CE7"/>
    <w:rsid w:val="006E657D"/>
    <w:rsid w:val="006E66A0"/>
    <w:rsid w:val="006E6CD5"/>
    <w:rsid w:val="006E7277"/>
    <w:rsid w:val="006F0FE4"/>
    <w:rsid w:val="006F1348"/>
    <w:rsid w:val="006F3528"/>
    <w:rsid w:val="006F7005"/>
    <w:rsid w:val="006F713F"/>
    <w:rsid w:val="006F747D"/>
    <w:rsid w:val="006F754F"/>
    <w:rsid w:val="006F7EBE"/>
    <w:rsid w:val="007007AC"/>
    <w:rsid w:val="00700985"/>
    <w:rsid w:val="00701103"/>
    <w:rsid w:val="00701AF0"/>
    <w:rsid w:val="007023AB"/>
    <w:rsid w:val="007028AC"/>
    <w:rsid w:val="00703A33"/>
    <w:rsid w:val="007041E5"/>
    <w:rsid w:val="0070426C"/>
    <w:rsid w:val="00704F53"/>
    <w:rsid w:val="00712822"/>
    <w:rsid w:val="007129A0"/>
    <w:rsid w:val="00712D0E"/>
    <w:rsid w:val="00714DB0"/>
    <w:rsid w:val="007152E9"/>
    <w:rsid w:val="00717B76"/>
    <w:rsid w:val="00717EC2"/>
    <w:rsid w:val="007218B9"/>
    <w:rsid w:val="00724C2A"/>
    <w:rsid w:val="00726824"/>
    <w:rsid w:val="00730C49"/>
    <w:rsid w:val="0073266A"/>
    <w:rsid w:val="007329B8"/>
    <w:rsid w:val="00732A48"/>
    <w:rsid w:val="007333FA"/>
    <w:rsid w:val="00733579"/>
    <w:rsid w:val="00734799"/>
    <w:rsid w:val="00734FB5"/>
    <w:rsid w:val="0073523A"/>
    <w:rsid w:val="00742082"/>
    <w:rsid w:val="0074231C"/>
    <w:rsid w:val="00743EF2"/>
    <w:rsid w:val="00750828"/>
    <w:rsid w:val="00751933"/>
    <w:rsid w:val="00753230"/>
    <w:rsid w:val="007543C3"/>
    <w:rsid w:val="00754570"/>
    <w:rsid w:val="00755CA3"/>
    <w:rsid w:val="00756257"/>
    <w:rsid w:val="00760672"/>
    <w:rsid w:val="007617F1"/>
    <w:rsid w:val="007631B9"/>
    <w:rsid w:val="00763390"/>
    <w:rsid w:val="00765366"/>
    <w:rsid w:val="007667BA"/>
    <w:rsid w:val="007667F0"/>
    <w:rsid w:val="00766AC6"/>
    <w:rsid w:val="00767B36"/>
    <w:rsid w:val="00767EE8"/>
    <w:rsid w:val="00776402"/>
    <w:rsid w:val="00776B2A"/>
    <w:rsid w:val="00777C2E"/>
    <w:rsid w:val="007803CD"/>
    <w:rsid w:val="00781255"/>
    <w:rsid w:val="0078309B"/>
    <w:rsid w:val="0078792D"/>
    <w:rsid w:val="007879F5"/>
    <w:rsid w:val="00790D8C"/>
    <w:rsid w:val="007927D3"/>
    <w:rsid w:val="00794A7A"/>
    <w:rsid w:val="00794DFE"/>
    <w:rsid w:val="00794EFF"/>
    <w:rsid w:val="0079559F"/>
    <w:rsid w:val="0079569A"/>
    <w:rsid w:val="007960E2"/>
    <w:rsid w:val="00797460"/>
    <w:rsid w:val="007A337F"/>
    <w:rsid w:val="007A4213"/>
    <w:rsid w:val="007A5398"/>
    <w:rsid w:val="007A6D2E"/>
    <w:rsid w:val="007A74BB"/>
    <w:rsid w:val="007B1B98"/>
    <w:rsid w:val="007B1C71"/>
    <w:rsid w:val="007B20A7"/>
    <w:rsid w:val="007B5396"/>
    <w:rsid w:val="007B561F"/>
    <w:rsid w:val="007B57D4"/>
    <w:rsid w:val="007B5B6F"/>
    <w:rsid w:val="007B7565"/>
    <w:rsid w:val="007B781C"/>
    <w:rsid w:val="007B7C7B"/>
    <w:rsid w:val="007C079E"/>
    <w:rsid w:val="007C324E"/>
    <w:rsid w:val="007C3A4A"/>
    <w:rsid w:val="007C3C2E"/>
    <w:rsid w:val="007C3E66"/>
    <w:rsid w:val="007C5322"/>
    <w:rsid w:val="007C5378"/>
    <w:rsid w:val="007C5728"/>
    <w:rsid w:val="007C59BE"/>
    <w:rsid w:val="007C7D41"/>
    <w:rsid w:val="007C7EEC"/>
    <w:rsid w:val="007D2225"/>
    <w:rsid w:val="007D270A"/>
    <w:rsid w:val="007D31B5"/>
    <w:rsid w:val="007D3BBC"/>
    <w:rsid w:val="007D3CC0"/>
    <w:rsid w:val="007D4A30"/>
    <w:rsid w:val="007D51D3"/>
    <w:rsid w:val="007D6A9F"/>
    <w:rsid w:val="007D703B"/>
    <w:rsid w:val="007D77ED"/>
    <w:rsid w:val="007D7A12"/>
    <w:rsid w:val="007D7BFC"/>
    <w:rsid w:val="007E027E"/>
    <w:rsid w:val="007E2351"/>
    <w:rsid w:val="007E2D42"/>
    <w:rsid w:val="007E31F7"/>
    <w:rsid w:val="007E37B0"/>
    <w:rsid w:val="007E3E1C"/>
    <w:rsid w:val="007E43F5"/>
    <w:rsid w:val="007F138D"/>
    <w:rsid w:val="007F167F"/>
    <w:rsid w:val="007F3ECC"/>
    <w:rsid w:val="007F64EC"/>
    <w:rsid w:val="007F76E8"/>
    <w:rsid w:val="007F7ECB"/>
    <w:rsid w:val="0080118B"/>
    <w:rsid w:val="008016BB"/>
    <w:rsid w:val="00801891"/>
    <w:rsid w:val="008018D3"/>
    <w:rsid w:val="00801B0E"/>
    <w:rsid w:val="00801E14"/>
    <w:rsid w:val="00801F27"/>
    <w:rsid w:val="00803D96"/>
    <w:rsid w:val="00804115"/>
    <w:rsid w:val="00804615"/>
    <w:rsid w:val="00805309"/>
    <w:rsid w:val="00805D63"/>
    <w:rsid w:val="00807C81"/>
    <w:rsid w:val="00810C9F"/>
    <w:rsid w:val="00811319"/>
    <w:rsid w:val="008113F9"/>
    <w:rsid w:val="00811682"/>
    <w:rsid w:val="00814068"/>
    <w:rsid w:val="0081466F"/>
    <w:rsid w:val="00814C67"/>
    <w:rsid w:val="00815817"/>
    <w:rsid w:val="00815A17"/>
    <w:rsid w:val="0081648C"/>
    <w:rsid w:val="00820AD6"/>
    <w:rsid w:val="00821CD4"/>
    <w:rsid w:val="00823012"/>
    <w:rsid w:val="00823C72"/>
    <w:rsid w:val="00823EE9"/>
    <w:rsid w:val="008249EC"/>
    <w:rsid w:val="00825565"/>
    <w:rsid w:val="00826526"/>
    <w:rsid w:val="00827BCF"/>
    <w:rsid w:val="0083009C"/>
    <w:rsid w:val="008304A3"/>
    <w:rsid w:val="00830BD3"/>
    <w:rsid w:val="008311D9"/>
    <w:rsid w:val="008321E4"/>
    <w:rsid w:val="008330A7"/>
    <w:rsid w:val="0083345A"/>
    <w:rsid w:val="00833A65"/>
    <w:rsid w:val="0083464B"/>
    <w:rsid w:val="00834AB6"/>
    <w:rsid w:val="00836AA3"/>
    <w:rsid w:val="00837A24"/>
    <w:rsid w:val="00837B2A"/>
    <w:rsid w:val="00840093"/>
    <w:rsid w:val="00840A0D"/>
    <w:rsid w:val="00842B51"/>
    <w:rsid w:val="00844435"/>
    <w:rsid w:val="0084583E"/>
    <w:rsid w:val="00846101"/>
    <w:rsid w:val="008513DD"/>
    <w:rsid w:val="00851E27"/>
    <w:rsid w:val="0085208E"/>
    <w:rsid w:val="00852788"/>
    <w:rsid w:val="00852AC0"/>
    <w:rsid w:val="00854A8D"/>
    <w:rsid w:val="00854FB7"/>
    <w:rsid w:val="0085630E"/>
    <w:rsid w:val="00856555"/>
    <w:rsid w:val="00856DAA"/>
    <w:rsid w:val="008577AC"/>
    <w:rsid w:val="00860057"/>
    <w:rsid w:val="0086087A"/>
    <w:rsid w:val="00860F30"/>
    <w:rsid w:val="00861EC0"/>
    <w:rsid w:val="0086335B"/>
    <w:rsid w:val="00863BAC"/>
    <w:rsid w:val="00864B1A"/>
    <w:rsid w:val="00864E7D"/>
    <w:rsid w:val="00866A6C"/>
    <w:rsid w:val="00870EB7"/>
    <w:rsid w:val="008711E3"/>
    <w:rsid w:val="00871D58"/>
    <w:rsid w:val="00872433"/>
    <w:rsid w:val="00872943"/>
    <w:rsid w:val="00872C5F"/>
    <w:rsid w:val="00875085"/>
    <w:rsid w:val="0088161F"/>
    <w:rsid w:val="00881C4B"/>
    <w:rsid w:val="008842E3"/>
    <w:rsid w:val="008848BF"/>
    <w:rsid w:val="008854FC"/>
    <w:rsid w:val="00886F0B"/>
    <w:rsid w:val="008900AC"/>
    <w:rsid w:val="008903A1"/>
    <w:rsid w:val="008913A7"/>
    <w:rsid w:val="008918C7"/>
    <w:rsid w:val="00894E25"/>
    <w:rsid w:val="008960E9"/>
    <w:rsid w:val="00897060"/>
    <w:rsid w:val="008970D2"/>
    <w:rsid w:val="00897F16"/>
    <w:rsid w:val="008A0ACB"/>
    <w:rsid w:val="008A12D3"/>
    <w:rsid w:val="008A2702"/>
    <w:rsid w:val="008A5AC9"/>
    <w:rsid w:val="008A6D9B"/>
    <w:rsid w:val="008B0351"/>
    <w:rsid w:val="008B0E12"/>
    <w:rsid w:val="008B13A2"/>
    <w:rsid w:val="008B19A1"/>
    <w:rsid w:val="008B1E1B"/>
    <w:rsid w:val="008B272D"/>
    <w:rsid w:val="008B2E8E"/>
    <w:rsid w:val="008B3D07"/>
    <w:rsid w:val="008B44FF"/>
    <w:rsid w:val="008B5745"/>
    <w:rsid w:val="008C0868"/>
    <w:rsid w:val="008C0943"/>
    <w:rsid w:val="008C0AC7"/>
    <w:rsid w:val="008C0F23"/>
    <w:rsid w:val="008C2D86"/>
    <w:rsid w:val="008C35AD"/>
    <w:rsid w:val="008C43B1"/>
    <w:rsid w:val="008C57A8"/>
    <w:rsid w:val="008D0576"/>
    <w:rsid w:val="008D12F2"/>
    <w:rsid w:val="008D1532"/>
    <w:rsid w:val="008D1C23"/>
    <w:rsid w:val="008D1E8D"/>
    <w:rsid w:val="008D266A"/>
    <w:rsid w:val="008D307F"/>
    <w:rsid w:val="008D3ED4"/>
    <w:rsid w:val="008D5F27"/>
    <w:rsid w:val="008D6BA9"/>
    <w:rsid w:val="008D7494"/>
    <w:rsid w:val="008E0C5D"/>
    <w:rsid w:val="008E0C86"/>
    <w:rsid w:val="008E280E"/>
    <w:rsid w:val="008E5471"/>
    <w:rsid w:val="008E6128"/>
    <w:rsid w:val="008F0C46"/>
    <w:rsid w:val="008F26D3"/>
    <w:rsid w:val="008F2713"/>
    <w:rsid w:val="008F28E6"/>
    <w:rsid w:val="008F2A20"/>
    <w:rsid w:val="008F2F32"/>
    <w:rsid w:val="008F52E2"/>
    <w:rsid w:val="008F694A"/>
    <w:rsid w:val="008F71AD"/>
    <w:rsid w:val="008F74E1"/>
    <w:rsid w:val="0090220B"/>
    <w:rsid w:val="00902254"/>
    <w:rsid w:val="00903A58"/>
    <w:rsid w:val="00904D67"/>
    <w:rsid w:val="0090695C"/>
    <w:rsid w:val="00912C3A"/>
    <w:rsid w:val="00913967"/>
    <w:rsid w:val="009149F1"/>
    <w:rsid w:val="00915900"/>
    <w:rsid w:val="00916513"/>
    <w:rsid w:val="0091693F"/>
    <w:rsid w:val="00916F4E"/>
    <w:rsid w:val="00920FA5"/>
    <w:rsid w:val="009217F9"/>
    <w:rsid w:val="00921959"/>
    <w:rsid w:val="00922509"/>
    <w:rsid w:val="00922618"/>
    <w:rsid w:val="00922C37"/>
    <w:rsid w:val="00924719"/>
    <w:rsid w:val="00926ECB"/>
    <w:rsid w:val="009277BD"/>
    <w:rsid w:val="00930B0C"/>
    <w:rsid w:val="00930CBA"/>
    <w:rsid w:val="00931774"/>
    <w:rsid w:val="00932DFE"/>
    <w:rsid w:val="00933368"/>
    <w:rsid w:val="00934151"/>
    <w:rsid w:val="009347AA"/>
    <w:rsid w:val="00935D84"/>
    <w:rsid w:val="00936BD3"/>
    <w:rsid w:val="00941002"/>
    <w:rsid w:val="009427FA"/>
    <w:rsid w:val="009436F5"/>
    <w:rsid w:val="00943885"/>
    <w:rsid w:val="009446DE"/>
    <w:rsid w:val="009469B5"/>
    <w:rsid w:val="009479DD"/>
    <w:rsid w:val="009507DF"/>
    <w:rsid w:val="00951BE4"/>
    <w:rsid w:val="00953190"/>
    <w:rsid w:val="00953AA1"/>
    <w:rsid w:val="00953D52"/>
    <w:rsid w:val="009540FD"/>
    <w:rsid w:val="00954B94"/>
    <w:rsid w:val="009600F1"/>
    <w:rsid w:val="0096070B"/>
    <w:rsid w:val="00962CB4"/>
    <w:rsid w:val="00963B19"/>
    <w:rsid w:val="0096478C"/>
    <w:rsid w:val="009660DE"/>
    <w:rsid w:val="00966203"/>
    <w:rsid w:val="00967183"/>
    <w:rsid w:val="00967DD5"/>
    <w:rsid w:val="009711E2"/>
    <w:rsid w:val="00972B7B"/>
    <w:rsid w:val="009744D7"/>
    <w:rsid w:val="00976D14"/>
    <w:rsid w:val="00976E7F"/>
    <w:rsid w:val="00977963"/>
    <w:rsid w:val="00980CE4"/>
    <w:rsid w:val="009813D4"/>
    <w:rsid w:val="00981710"/>
    <w:rsid w:val="00981C4B"/>
    <w:rsid w:val="00984072"/>
    <w:rsid w:val="009842C7"/>
    <w:rsid w:val="009862EA"/>
    <w:rsid w:val="00986970"/>
    <w:rsid w:val="00986AD5"/>
    <w:rsid w:val="0098723F"/>
    <w:rsid w:val="009878A0"/>
    <w:rsid w:val="00990E9C"/>
    <w:rsid w:val="009911BC"/>
    <w:rsid w:val="009913E5"/>
    <w:rsid w:val="009937E4"/>
    <w:rsid w:val="00993FD3"/>
    <w:rsid w:val="009942D1"/>
    <w:rsid w:val="009957B1"/>
    <w:rsid w:val="00996BD9"/>
    <w:rsid w:val="00997315"/>
    <w:rsid w:val="009976F9"/>
    <w:rsid w:val="009A0213"/>
    <w:rsid w:val="009A1F6A"/>
    <w:rsid w:val="009A3BC3"/>
    <w:rsid w:val="009A3E3A"/>
    <w:rsid w:val="009A545D"/>
    <w:rsid w:val="009A7127"/>
    <w:rsid w:val="009A71F5"/>
    <w:rsid w:val="009A75A1"/>
    <w:rsid w:val="009B0687"/>
    <w:rsid w:val="009B234D"/>
    <w:rsid w:val="009B2EE7"/>
    <w:rsid w:val="009B345C"/>
    <w:rsid w:val="009B3E68"/>
    <w:rsid w:val="009B4312"/>
    <w:rsid w:val="009B49B0"/>
    <w:rsid w:val="009B5F7F"/>
    <w:rsid w:val="009B61C3"/>
    <w:rsid w:val="009B7A72"/>
    <w:rsid w:val="009B7AE8"/>
    <w:rsid w:val="009C10C9"/>
    <w:rsid w:val="009C28B9"/>
    <w:rsid w:val="009C4641"/>
    <w:rsid w:val="009C73FF"/>
    <w:rsid w:val="009D0F82"/>
    <w:rsid w:val="009D20CA"/>
    <w:rsid w:val="009D2258"/>
    <w:rsid w:val="009D43F2"/>
    <w:rsid w:val="009D53FF"/>
    <w:rsid w:val="009E03BE"/>
    <w:rsid w:val="009E1081"/>
    <w:rsid w:val="009E2E63"/>
    <w:rsid w:val="009E33D5"/>
    <w:rsid w:val="009E4860"/>
    <w:rsid w:val="009E5C98"/>
    <w:rsid w:val="009F090F"/>
    <w:rsid w:val="009F0C01"/>
    <w:rsid w:val="009F1886"/>
    <w:rsid w:val="009F1E4F"/>
    <w:rsid w:val="009F2039"/>
    <w:rsid w:val="009F4AC7"/>
    <w:rsid w:val="009F53B2"/>
    <w:rsid w:val="009F67F1"/>
    <w:rsid w:val="009F7968"/>
    <w:rsid w:val="00A007C8"/>
    <w:rsid w:val="00A01B6B"/>
    <w:rsid w:val="00A031B5"/>
    <w:rsid w:val="00A0485C"/>
    <w:rsid w:val="00A048AE"/>
    <w:rsid w:val="00A0687A"/>
    <w:rsid w:val="00A06C3C"/>
    <w:rsid w:val="00A071EC"/>
    <w:rsid w:val="00A100F6"/>
    <w:rsid w:val="00A10A07"/>
    <w:rsid w:val="00A11B7C"/>
    <w:rsid w:val="00A120E4"/>
    <w:rsid w:val="00A142D3"/>
    <w:rsid w:val="00A1593B"/>
    <w:rsid w:val="00A15FF2"/>
    <w:rsid w:val="00A17D7C"/>
    <w:rsid w:val="00A21121"/>
    <w:rsid w:val="00A21280"/>
    <w:rsid w:val="00A21EF6"/>
    <w:rsid w:val="00A237CC"/>
    <w:rsid w:val="00A23F9E"/>
    <w:rsid w:val="00A255FC"/>
    <w:rsid w:val="00A26D4B"/>
    <w:rsid w:val="00A3091D"/>
    <w:rsid w:val="00A30CF2"/>
    <w:rsid w:val="00A31CAB"/>
    <w:rsid w:val="00A324CA"/>
    <w:rsid w:val="00A37C53"/>
    <w:rsid w:val="00A403BB"/>
    <w:rsid w:val="00A4082D"/>
    <w:rsid w:val="00A40A6D"/>
    <w:rsid w:val="00A426E1"/>
    <w:rsid w:val="00A42B17"/>
    <w:rsid w:val="00A43A23"/>
    <w:rsid w:val="00A43FB7"/>
    <w:rsid w:val="00A44724"/>
    <w:rsid w:val="00A4480D"/>
    <w:rsid w:val="00A4577A"/>
    <w:rsid w:val="00A475D1"/>
    <w:rsid w:val="00A50D96"/>
    <w:rsid w:val="00A5114A"/>
    <w:rsid w:val="00A5185E"/>
    <w:rsid w:val="00A54BF4"/>
    <w:rsid w:val="00A55A36"/>
    <w:rsid w:val="00A5609F"/>
    <w:rsid w:val="00A57453"/>
    <w:rsid w:val="00A577FF"/>
    <w:rsid w:val="00A6073B"/>
    <w:rsid w:val="00A6150B"/>
    <w:rsid w:val="00A61682"/>
    <w:rsid w:val="00A62657"/>
    <w:rsid w:val="00A62CEF"/>
    <w:rsid w:val="00A63307"/>
    <w:rsid w:val="00A63E4A"/>
    <w:rsid w:val="00A64D6B"/>
    <w:rsid w:val="00A6562A"/>
    <w:rsid w:val="00A66D4B"/>
    <w:rsid w:val="00A67BB8"/>
    <w:rsid w:val="00A70065"/>
    <w:rsid w:val="00A7286E"/>
    <w:rsid w:val="00A743C1"/>
    <w:rsid w:val="00A77AD6"/>
    <w:rsid w:val="00A8032F"/>
    <w:rsid w:val="00A808F4"/>
    <w:rsid w:val="00A8230D"/>
    <w:rsid w:val="00A83FD2"/>
    <w:rsid w:val="00A8400A"/>
    <w:rsid w:val="00A8401F"/>
    <w:rsid w:val="00A8425D"/>
    <w:rsid w:val="00A87DCA"/>
    <w:rsid w:val="00A90231"/>
    <w:rsid w:val="00A902EB"/>
    <w:rsid w:val="00A90828"/>
    <w:rsid w:val="00A916C1"/>
    <w:rsid w:val="00A93206"/>
    <w:rsid w:val="00A93609"/>
    <w:rsid w:val="00A948E7"/>
    <w:rsid w:val="00A94ADD"/>
    <w:rsid w:val="00A95274"/>
    <w:rsid w:val="00A956AF"/>
    <w:rsid w:val="00A96042"/>
    <w:rsid w:val="00AA076D"/>
    <w:rsid w:val="00AA1399"/>
    <w:rsid w:val="00AA16C1"/>
    <w:rsid w:val="00AA35FF"/>
    <w:rsid w:val="00AA5FE8"/>
    <w:rsid w:val="00AA6B30"/>
    <w:rsid w:val="00AB0456"/>
    <w:rsid w:val="00AB2502"/>
    <w:rsid w:val="00AB2784"/>
    <w:rsid w:val="00AB27A5"/>
    <w:rsid w:val="00AB2DBD"/>
    <w:rsid w:val="00AB3029"/>
    <w:rsid w:val="00AB3140"/>
    <w:rsid w:val="00AB3359"/>
    <w:rsid w:val="00AB3E34"/>
    <w:rsid w:val="00AB511E"/>
    <w:rsid w:val="00AB5350"/>
    <w:rsid w:val="00AB5E2C"/>
    <w:rsid w:val="00AB5F9A"/>
    <w:rsid w:val="00AB76AE"/>
    <w:rsid w:val="00AC1BDD"/>
    <w:rsid w:val="00AC49F9"/>
    <w:rsid w:val="00AC72E4"/>
    <w:rsid w:val="00AD1D11"/>
    <w:rsid w:val="00AD20A7"/>
    <w:rsid w:val="00AD3312"/>
    <w:rsid w:val="00AD3F15"/>
    <w:rsid w:val="00AD66EB"/>
    <w:rsid w:val="00AD6826"/>
    <w:rsid w:val="00AE1C65"/>
    <w:rsid w:val="00AE2742"/>
    <w:rsid w:val="00AE2D76"/>
    <w:rsid w:val="00AE2FCC"/>
    <w:rsid w:val="00AE43BB"/>
    <w:rsid w:val="00AE5F09"/>
    <w:rsid w:val="00AE7BA1"/>
    <w:rsid w:val="00AF0996"/>
    <w:rsid w:val="00AF0F7C"/>
    <w:rsid w:val="00AF21E0"/>
    <w:rsid w:val="00AF2C85"/>
    <w:rsid w:val="00AF37FE"/>
    <w:rsid w:val="00AF5676"/>
    <w:rsid w:val="00AF7B5B"/>
    <w:rsid w:val="00B01CC9"/>
    <w:rsid w:val="00B02273"/>
    <w:rsid w:val="00B03670"/>
    <w:rsid w:val="00B05575"/>
    <w:rsid w:val="00B05D31"/>
    <w:rsid w:val="00B065DA"/>
    <w:rsid w:val="00B06ABC"/>
    <w:rsid w:val="00B11D79"/>
    <w:rsid w:val="00B127DD"/>
    <w:rsid w:val="00B139FB"/>
    <w:rsid w:val="00B14955"/>
    <w:rsid w:val="00B151B4"/>
    <w:rsid w:val="00B179C5"/>
    <w:rsid w:val="00B17FF2"/>
    <w:rsid w:val="00B20F63"/>
    <w:rsid w:val="00B21351"/>
    <w:rsid w:val="00B22193"/>
    <w:rsid w:val="00B26DD2"/>
    <w:rsid w:val="00B30E00"/>
    <w:rsid w:val="00B319CB"/>
    <w:rsid w:val="00B31B46"/>
    <w:rsid w:val="00B33372"/>
    <w:rsid w:val="00B33441"/>
    <w:rsid w:val="00B33852"/>
    <w:rsid w:val="00B33864"/>
    <w:rsid w:val="00B34159"/>
    <w:rsid w:val="00B341E6"/>
    <w:rsid w:val="00B347EC"/>
    <w:rsid w:val="00B34CCB"/>
    <w:rsid w:val="00B34F62"/>
    <w:rsid w:val="00B35107"/>
    <w:rsid w:val="00B367CB"/>
    <w:rsid w:val="00B371FA"/>
    <w:rsid w:val="00B4083D"/>
    <w:rsid w:val="00B40F96"/>
    <w:rsid w:val="00B418D7"/>
    <w:rsid w:val="00B4206D"/>
    <w:rsid w:val="00B43569"/>
    <w:rsid w:val="00B435A7"/>
    <w:rsid w:val="00B436CC"/>
    <w:rsid w:val="00B44848"/>
    <w:rsid w:val="00B4528E"/>
    <w:rsid w:val="00B45902"/>
    <w:rsid w:val="00B50BC8"/>
    <w:rsid w:val="00B51008"/>
    <w:rsid w:val="00B547C5"/>
    <w:rsid w:val="00B54B88"/>
    <w:rsid w:val="00B551EF"/>
    <w:rsid w:val="00B5611A"/>
    <w:rsid w:val="00B57054"/>
    <w:rsid w:val="00B574FE"/>
    <w:rsid w:val="00B603AD"/>
    <w:rsid w:val="00B61286"/>
    <w:rsid w:val="00B6156B"/>
    <w:rsid w:val="00B61A8E"/>
    <w:rsid w:val="00B62651"/>
    <w:rsid w:val="00B6295A"/>
    <w:rsid w:val="00B633EE"/>
    <w:rsid w:val="00B63661"/>
    <w:rsid w:val="00B64F04"/>
    <w:rsid w:val="00B6541B"/>
    <w:rsid w:val="00B65FF7"/>
    <w:rsid w:val="00B66732"/>
    <w:rsid w:val="00B66A58"/>
    <w:rsid w:val="00B67B82"/>
    <w:rsid w:val="00B7058E"/>
    <w:rsid w:val="00B71A26"/>
    <w:rsid w:val="00B72542"/>
    <w:rsid w:val="00B72FEA"/>
    <w:rsid w:val="00B73C32"/>
    <w:rsid w:val="00B767A3"/>
    <w:rsid w:val="00B7789B"/>
    <w:rsid w:val="00B81282"/>
    <w:rsid w:val="00B817E8"/>
    <w:rsid w:val="00B81B9F"/>
    <w:rsid w:val="00B81BC4"/>
    <w:rsid w:val="00B81E77"/>
    <w:rsid w:val="00B839E5"/>
    <w:rsid w:val="00B841D1"/>
    <w:rsid w:val="00B8438B"/>
    <w:rsid w:val="00B8763D"/>
    <w:rsid w:val="00B922F3"/>
    <w:rsid w:val="00B93B9B"/>
    <w:rsid w:val="00B94F51"/>
    <w:rsid w:val="00B94F83"/>
    <w:rsid w:val="00B95776"/>
    <w:rsid w:val="00B95C70"/>
    <w:rsid w:val="00B96F0B"/>
    <w:rsid w:val="00B97492"/>
    <w:rsid w:val="00B97BB0"/>
    <w:rsid w:val="00B97BF0"/>
    <w:rsid w:val="00BA2F1D"/>
    <w:rsid w:val="00BA31B8"/>
    <w:rsid w:val="00BA4D87"/>
    <w:rsid w:val="00BA4F89"/>
    <w:rsid w:val="00BB6254"/>
    <w:rsid w:val="00BC1817"/>
    <w:rsid w:val="00BC1A77"/>
    <w:rsid w:val="00BC2692"/>
    <w:rsid w:val="00BC3C51"/>
    <w:rsid w:val="00BC4C89"/>
    <w:rsid w:val="00BC4E77"/>
    <w:rsid w:val="00BC67DC"/>
    <w:rsid w:val="00BC6F94"/>
    <w:rsid w:val="00BC7264"/>
    <w:rsid w:val="00BD12BF"/>
    <w:rsid w:val="00BD1B33"/>
    <w:rsid w:val="00BD2C00"/>
    <w:rsid w:val="00BD45A5"/>
    <w:rsid w:val="00BD482B"/>
    <w:rsid w:val="00BD5927"/>
    <w:rsid w:val="00BD5BEF"/>
    <w:rsid w:val="00BE065C"/>
    <w:rsid w:val="00BE12B1"/>
    <w:rsid w:val="00BE2679"/>
    <w:rsid w:val="00BE3C64"/>
    <w:rsid w:val="00BE4264"/>
    <w:rsid w:val="00BE7715"/>
    <w:rsid w:val="00BE7CD1"/>
    <w:rsid w:val="00BF09CC"/>
    <w:rsid w:val="00BF0F49"/>
    <w:rsid w:val="00BF44BD"/>
    <w:rsid w:val="00BF4563"/>
    <w:rsid w:val="00BF66E5"/>
    <w:rsid w:val="00BF6FE6"/>
    <w:rsid w:val="00BF7992"/>
    <w:rsid w:val="00C01C94"/>
    <w:rsid w:val="00C01DFB"/>
    <w:rsid w:val="00C03C18"/>
    <w:rsid w:val="00C04C5E"/>
    <w:rsid w:val="00C05548"/>
    <w:rsid w:val="00C06004"/>
    <w:rsid w:val="00C10264"/>
    <w:rsid w:val="00C119F1"/>
    <w:rsid w:val="00C13D70"/>
    <w:rsid w:val="00C142C7"/>
    <w:rsid w:val="00C147AD"/>
    <w:rsid w:val="00C152CB"/>
    <w:rsid w:val="00C156ED"/>
    <w:rsid w:val="00C15AA0"/>
    <w:rsid w:val="00C1747D"/>
    <w:rsid w:val="00C176F3"/>
    <w:rsid w:val="00C202AF"/>
    <w:rsid w:val="00C2096E"/>
    <w:rsid w:val="00C23688"/>
    <w:rsid w:val="00C23A41"/>
    <w:rsid w:val="00C24862"/>
    <w:rsid w:val="00C24A6C"/>
    <w:rsid w:val="00C302C1"/>
    <w:rsid w:val="00C302F7"/>
    <w:rsid w:val="00C31D86"/>
    <w:rsid w:val="00C32A23"/>
    <w:rsid w:val="00C32B6F"/>
    <w:rsid w:val="00C330FD"/>
    <w:rsid w:val="00C34E6F"/>
    <w:rsid w:val="00C3581F"/>
    <w:rsid w:val="00C36BBB"/>
    <w:rsid w:val="00C406D3"/>
    <w:rsid w:val="00C41DD1"/>
    <w:rsid w:val="00C4368D"/>
    <w:rsid w:val="00C44501"/>
    <w:rsid w:val="00C44579"/>
    <w:rsid w:val="00C44CD8"/>
    <w:rsid w:val="00C4510A"/>
    <w:rsid w:val="00C45FE4"/>
    <w:rsid w:val="00C4683D"/>
    <w:rsid w:val="00C46D0F"/>
    <w:rsid w:val="00C50989"/>
    <w:rsid w:val="00C53F6C"/>
    <w:rsid w:val="00C55272"/>
    <w:rsid w:val="00C554C8"/>
    <w:rsid w:val="00C55A52"/>
    <w:rsid w:val="00C55EA8"/>
    <w:rsid w:val="00C56318"/>
    <w:rsid w:val="00C566FF"/>
    <w:rsid w:val="00C56973"/>
    <w:rsid w:val="00C56CD6"/>
    <w:rsid w:val="00C56E4A"/>
    <w:rsid w:val="00C56EC3"/>
    <w:rsid w:val="00C61D2A"/>
    <w:rsid w:val="00C641F6"/>
    <w:rsid w:val="00C64719"/>
    <w:rsid w:val="00C65548"/>
    <w:rsid w:val="00C6704C"/>
    <w:rsid w:val="00C675C8"/>
    <w:rsid w:val="00C702EB"/>
    <w:rsid w:val="00C7254C"/>
    <w:rsid w:val="00C73971"/>
    <w:rsid w:val="00C73B9F"/>
    <w:rsid w:val="00C768B7"/>
    <w:rsid w:val="00C7744C"/>
    <w:rsid w:val="00C77AE1"/>
    <w:rsid w:val="00C77E84"/>
    <w:rsid w:val="00C80BC9"/>
    <w:rsid w:val="00C81F8C"/>
    <w:rsid w:val="00C8258A"/>
    <w:rsid w:val="00C826BB"/>
    <w:rsid w:val="00C843D0"/>
    <w:rsid w:val="00C8444F"/>
    <w:rsid w:val="00C857BC"/>
    <w:rsid w:val="00C85BE2"/>
    <w:rsid w:val="00C85F2A"/>
    <w:rsid w:val="00C8618E"/>
    <w:rsid w:val="00C863C1"/>
    <w:rsid w:val="00C87368"/>
    <w:rsid w:val="00C9121B"/>
    <w:rsid w:val="00C9147D"/>
    <w:rsid w:val="00C92335"/>
    <w:rsid w:val="00C95BB7"/>
    <w:rsid w:val="00C95C2A"/>
    <w:rsid w:val="00C96F07"/>
    <w:rsid w:val="00C97213"/>
    <w:rsid w:val="00CA24F2"/>
    <w:rsid w:val="00CA2759"/>
    <w:rsid w:val="00CA2C7F"/>
    <w:rsid w:val="00CA320F"/>
    <w:rsid w:val="00CA4513"/>
    <w:rsid w:val="00CA566A"/>
    <w:rsid w:val="00CA648D"/>
    <w:rsid w:val="00CA6E5B"/>
    <w:rsid w:val="00CA7928"/>
    <w:rsid w:val="00CA7FBA"/>
    <w:rsid w:val="00CB15F0"/>
    <w:rsid w:val="00CB1A5C"/>
    <w:rsid w:val="00CB3FEF"/>
    <w:rsid w:val="00CB4F04"/>
    <w:rsid w:val="00CB56AC"/>
    <w:rsid w:val="00CB6495"/>
    <w:rsid w:val="00CB742D"/>
    <w:rsid w:val="00CB7A65"/>
    <w:rsid w:val="00CB7CF4"/>
    <w:rsid w:val="00CC14A4"/>
    <w:rsid w:val="00CC1588"/>
    <w:rsid w:val="00CC296E"/>
    <w:rsid w:val="00CC3A41"/>
    <w:rsid w:val="00CC4E53"/>
    <w:rsid w:val="00CC6BF9"/>
    <w:rsid w:val="00CC71AA"/>
    <w:rsid w:val="00CC71E3"/>
    <w:rsid w:val="00CD0D32"/>
    <w:rsid w:val="00CD1DF3"/>
    <w:rsid w:val="00CD2F60"/>
    <w:rsid w:val="00CD2F9B"/>
    <w:rsid w:val="00CD4527"/>
    <w:rsid w:val="00CD65A9"/>
    <w:rsid w:val="00CD6C98"/>
    <w:rsid w:val="00CD6E22"/>
    <w:rsid w:val="00CD750C"/>
    <w:rsid w:val="00CD7F95"/>
    <w:rsid w:val="00CE0943"/>
    <w:rsid w:val="00CE2558"/>
    <w:rsid w:val="00CE2692"/>
    <w:rsid w:val="00CE312C"/>
    <w:rsid w:val="00CE6D66"/>
    <w:rsid w:val="00CF01E3"/>
    <w:rsid w:val="00CF0989"/>
    <w:rsid w:val="00CF20CB"/>
    <w:rsid w:val="00CF4C29"/>
    <w:rsid w:val="00D00FFB"/>
    <w:rsid w:val="00D01223"/>
    <w:rsid w:val="00D02714"/>
    <w:rsid w:val="00D10479"/>
    <w:rsid w:val="00D10D18"/>
    <w:rsid w:val="00D115AE"/>
    <w:rsid w:val="00D11B9A"/>
    <w:rsid w:val="00D12090"/>
    <w:rsid w:val="00D1286E"/>
    <w:rsid w:val="00D130A0"/>
    <w:rsid w:val="00D13865"/>
    <w:rsid w:val="00D13CF3"/>
    <w:rsid w:val="00D167E7"/>
    <w:rsid w:val="00D17AA9"/>
    <w:rsid w:val="00D17C07"/>
    <w:rsid w:val="00D20761"/>
    <w:rsid w:val="00D211E4"/>
    <w:rsid w:val="00D21281"/>
    <w:rsid w:val="00D2410D"/>
    <w:rsid w:val="00D2556F"/>
    <w:rsid w:val="00D25A31"/>
    <w:rsid w:val="00D25DE0"/>
    <w:rsid w:val="00D26862"/>
    <w:rsid w:val="00D276D8"/>
    <w:rsid w:val="00D27946"/>
    <w:rsid w:val="00D27FB7"/>
    <w:rsid w:val="00D30550"/>
    <w:rsid w:val="00D3085D"/>
    <w:rsid w:val="00D33891"/>
    <w:rsid w:val="00D33C67"/>
    <w:rsid w:val="00D346BB"/>
    <w:rsid w:val="00D355A9"/>
    <w:rsid w:val="00D36A97"/>
    <w:rsid w:val="00D377D3"/>
    <w:rsid w:val="00D3797E"/>
    <w:rsid w:val="00D40026"/>
    <w:rsid w:val="00D42267"/>
    <w:rsid w:val="00D42B5A"/>
    <w:rsid w:val="00D4509A"/>
    <w:rsid w:val="00D45285"/>
    <w:rsid w:val="00D45DD4"/>
    <w:rsid w:val="00D45F60"/>
    <w:rsid w:val="00D4750C"/>
    <w:rsid w:val="00D51EE4"/>
    <w:rsid w:val="00D53D0C"/>
    <w:rsid w:val="00D54C24"/>
    <w:rsid w:val="00D57E40"/>
    <w:rsid w:val="00D600F6"/>
    <w:rsid w:val="00D61717"/>
    <w:rsid w:val="00D6196C"/>
    <w:rsid w:val="00D61E3F"/>
    <w:rsid w:val="00D63CCB"/>
    <w:rsid w:val="00D669C2"/>
    <w:rsid w:val="00D673B5"/>
    <w:rsid w:val="00D674C0"/>
    <w:rsid w:val="00D70622"/>
    <w:rsid w:val="00D721BD"/>
    <w:rsid w:val="00D74504"/>
    <w:rsid w:val="00D761BD"/>
    <w:rsid w:val="00D77B43"/>
    <w:rsid w:val="00D81236"/>
    <w:rsid w:val="00D8186B"/>
    <w:rsid w:val="00D82D3B"/>
    <w:rsid w:val="00D83781"/>
    <w:rsid w:val="00D83A99"/>
    <w:rsid w:val="00D83DCF"/>
    <w:rsid w:val="00D8431B"/>
    <w:rsid w:val="00D84D53"/>
    <w:rsid w:val="00D8753A"/>
    <w:rsid w:val="00D87FE2"/>
    <w:rsid w:val="00D90766"/>
    <w:rsid w:val="00D90BCB"/>
    <w:rsid w:val="00D930CB"/>
    <w:rsid w:val="00D936E8"/>
    <w:rsid w:val="00D9431D"/>
    <w:rsid w:val="00D94C9F"/>
    <w:rsid w:val="00D977A4"/>
    <w:rsid w:val="00DA0BC5"/>
    <w:rsid w:val="00DA1BFD"/>
    <w:rsid w:val="00DA1E04"/>
    <w:rsid w:val="00DA2E56"/>
    <w:rsid w:val="00DA37F4"/>
    <w:rsid w:val="00DA39EF"/>
    <w:rsid w:val="00DA3D09"/>
    <w:rsid w:val="00DA4E01"/>
    <w:rsid w:val="00DA4E91"/>
    <w:rsid w:val="00DA5488"/>
    <w:rsid w:val="00DB196C"/>
    <w:rsid w:val="00DB31F1"/>
    <w:rsid w:val="00DB3E77"/>
    <w:rsid w:val="00DB5B68"/>
    <w:rsid w:val="00DB64E8"/>
    <w:rsid w:val="00DC030B"/>
    <w:rsid w:val="00DC112F"/>
    <w:rsid w:val="00DC19EE"/>
    <w:rsid w:val="00DC3C81"/>
    <w:rsid w:val="00DC5EA0"/>
    <w:rsid w:val="00DC7EDE"/>
    <w:rsid w:val="00DD273F"/>
    <w:rsid w:val="00DD447B"/>
    <w:rsid w:val="00DD77F4"/>
    <w:rsid w:val="00DD7868"/>
    <w:rsid w:val="00DE036C"/>
    <w:rsid w:val="00DE10AA"/>
    <w:rsid w:val="00DE2B4B"/>
    <w:rsid w:val="00DE3278"/>
    <w:rsid w:val="00DE3C28"/>
    <w:rsid w:val="00DE5C5A"/>
    <w:rsid w:val="00DF2267"/>
    <w:rsid w:val="00DF42D8"/>
    <w:rsid w:val="00DF5D27"/>
    <w:rsid w:val="00DF7306"/>
    <w:rsid w:val="00E00B15"/>
    <w:rsid w:val="00E10B6F"/>
    <w:rsid w:val="00E10D46"/>
    <w:rsid w:val="00E12105"/>
    <w:rsid w:val="00E12467"/>
    <w:rsid w:val="00E14A63"/>
    <w:rsid w:val="00E15DC3"/>
    <w:rsid w:val="00E16C4F"/>
    <w:rsid w:val="00E205B2"/>
    <w:rsid w:val="00E21EB8"/>
    <w:rsid w:val="00E225BF"/>
    <w:rsid w:val="00E22B6A"/>
    <w:rsid w:val="00E2431D"/>
    <w:rsid w:val="00E250DB"/>
    <w:rsid w:val="00E25633"/>
    <w:rsid w:val="00E25F7C"/>
    <w:rsid w:val="00E277B3"/>
    <w:rsid w:val="00E27839"/>
    <w:rsid w:val="00E32236"/>
    <w:rsid w:val="00E32241"/>
    <w:rsid w:val="00E322D6"/>
    <w:rsid w:val="00E32871"/>
    <w:rsid w:val="00E33034"/>
    <w:rsid w:val="00E3381E"/>
    <w:rsid w:val="00E33C83"/>
    <w:rsid w:val="00E34A63"/>
    <w:rsid w:val="00E37216"/>
    <w:rsid w:val="00E40272"/>
    <w:rsid w:val="00E42487"/>
    <w:rsid w:val="00E429A7"/>
    <w:rsid w:val="00E43E49"/>
    <w:rsid w:val="00E456EC"/>
    <w:rsid w:val="00E46B4A"/>
    <w:rsid w:val="00E478BA"/>
    <w:rsid w:val="00E540A5"/>
    <w:rsid w:val="00E54797"/>
    <w:rsid w:val="00E55A5F"/>
    <w:rsid w:val="00E5702D"/>
    <w:rsid w:val="00E60821"/>
    <w:rsid w:val="00E62C5E"/>
    <w:rsid w:val="00E666AB"/>
    <w:rsid w:val="00E703E6"/>
    <w:rsid w:val="00E7054E"/>
    <w:rsid w:val="00E7378E"/>
    <w:rsid w:val="00E73F9F"/>
    <w:rsid w:val="00E74758"/>
    <w:rsid w:val="00E7790A"/>
    <w:rsid w:val="00E77FA9"/>
    <w:rsid w:val="00E809D3"/>
    <w:rsid w:val="00E80BCF"/>
    <w:rsid w:val="00E81EA5"/>
    <w:rsid w:val="00E81FE8"/>
    <w:rsid w:val="00E8279C"/>
    <w:rsid w:val="00E84BD0"/>
    <w:rsid w:val="00E84D83"/>
    <w:rsid w:val="00E85107"/>
    <w:rsid w:val="00E85C84"/>
    <w:rsid w:val="00E86654"/>
    <w:rsid w:val="00E86A22"/>
    <w:rsid w:val="00E87781"/>
    <w:rsid w:val="00E90639"/>
    <w:rsid w:val="00E95012"/>
    <w:rsid w:val="00E95090"/>
    <w:rsid w:val="00E96FE5"/>
    <w:rsid w:val="00E97508"/>
    <w:rsid w:val="00E97E03"/>
    <w:rsid w:val="00E97E72"/>
    <w:rsid w:val="00EA1194"/>
    <w:rsid w:val="00EA1BB6"/>
    <w:rsid w:val="00EA516A"/>
    <w:rsid w:val="00EA5455"/>
    <w:rsid w:val="00EA57C4"/>
    <w:rsid w:val="00EA7330"/>
    <w:rsid w:val="00EB04E9"/>
    <w:rsid w:val="00EB2374"/>
    <w:rsid w:val="00EB48F0"/>
    <w:rsid w:val="00EB4D2C"/>
    <w:rsid w:val="00EB74E0"/>
    <w:rsid w:val="00EC10E5"/>
    <w:rsid w:val="00EC128C"/>
    <w:rsid w:val="00EC15A2"/>
    <w:rsid w:val="00EC3532"/>
    <w:rsid w:val="00EC56ED"/>
    <w:rsid w:val="00EC671F"/>
    <w:rsid w:val="00EC68B5"/>
    <w:rsid w:val="00EC6E83"/>
    <w:rsid w:val="00ED0059"/>
    <w:rsid w:val="00ED0175"/>
    <w:rsid w:val="00ED100A"/>
    <w:rsid w:val="00ED2A65"/>
    <w:rsid w:val="00ED3ACE"/>
    <w:rsid w:val="00ED406D"/>
    <w:rsid w:val="00EE00FC"/>
    <w:rsid w:val="00EE0E2D"/>
    <w:rsid w:val="00EE0F31"/>
    <w:rsid w:val="00EE124E"/>
    <w:rsid w:val="00EE2D4E"/>
    <w:rsid w:val="00EE2F32"/>
    <w:rsid w:val="00EE310A"/>
    <w:rsid w:val="00EE33AE"/>
    <w:rsid w:val="00EE4678"/>
    <w:rsid w:val="00EE5708"/>
    <w:rsid w:val="00EE6EB0"/>
    <w:rsid w:val="00EE7073"/>
    <w:rsid w:val="00EF1620"/>
    <w:rsid w:val="00EF2AAA"/>
    <w:rsid w:val="00EF2FC7"/>
    <w:rsid w:val="00EF3435"/>
    <w:rsid w:val="00EF7783"/>
    <w:rsid w:val="00EF7E32"/>
    <w:rsid w:val="00F020CB"/>
    <w:rsid w:val="00F021C8"/>
    <w:rsid w:val="00F024AE"/>
    <w:rsid w:val="00F02A61"/>
    <w:rsid w:val="00F02AC6"/>
    <w:rsid w:val="00F040CA"/>
    <w:rsid w:val="00F06291"/>
    <w:rsid w:val="00F066D4"/>
    <w:rsid w:val="00F10AEC"/>
    <w:rsid w:val="00F10FDC"/>
    <w:rsid w:val="00F113B4"/>
    <w:rsid w:val="00F1227D"/>
    <w:rsid w:val="00F1320C"/>
    <w:rsid w:val="00F13DC4"/>
    <w:rsid w:val="00F1455D"/>
    <w:rsid w:val="00F1611B"/>
    <w:rsid w:val="00F1794F"/>
    <w:rsid w:val="00F20550"/>
    <w:rsid w:val="00F20981"/>
    <w:rsid w:val="00F20E33"/>
    <w:rsid w:val="00F257AA"/>
    <w:rsid w:val="00F2692C"/>
    <w:rsid w:val="00F26C49"/>
    <w:rsid w:val="00F27192"/>
    <w:rsid w:val="00F31F17"/>
    <w:rsid w:val="00F33290"/>
    <w:rsid w:val="00F341FD"/>
    <w:rsid w:val="00F34B10"/>
    <w:rsid w:val="00F34F33"/>
    <w:rsid w:val="00F3503B"/>
    <w:rsid w:val="00F35768"/>
    <w:rsid w:val="00F35CDC"/>
    <w:rsid w:val="00F370AA"/>
    <w:rsid w:val="00F40490"/>
    <w:rsid w:val="00F417F9"/>
    <w:rsid w:val="00F43234"/>
    <w:rsid w:val="00F446F6"/>
    <w:rsid w:val="00F46166"/>
    <w:rsid w:val="00F46E9D"/>
    <w:rsid w:val="00F5166E"/>
    <w:rsid w:val="00F51CF5"/>
    <w:rsid w:val="00F52DEA"/>
    <w:rsid w:val="00F53D20"/>
    <w:rsid w:val="00F5402A"/>
    <w:rsid w:val="00F55105"/>
    <w:rsid w:val="00F56BD5"/>
    <w:rsid w:val="00F57323"/>
    <w:rsid w:val="00F575F7"/>
    <w:rsid w:val="00F57CD1"/>
    <w:rsid w:val="00F61A3F"/>
    <w:rsid w:val="00F626F3"/>
    <w:rsid w:val="00F62EBE"/>
    <w:rsid w:val="00F6385C"/>
    <w:rsid w:val="00F65861"/>
    <w:rsid w:val="00F67E51"/>
    <w:rsid w:val="00F705D4"/>
    <w:rsid w:val="00F7080B"/>
    <w:rsid w:val="00F7221D"/>
    <w:rsid w:val="00F72291"/>
    <w:rsid w:val="00F725E3"/>
    <w:rsid w:val="00F74466"/>
    <w:rsid w:val="00F801E1"/>
    <w:rsid w:val="00F81824"/>
    <w:rsid w:val="00F81E39"/>
    <w:rsid w:val="00F8236F"/>
    <w:rsid w:val="00F834DC"/>
    <w:rsid w:val="00F84C5F"/>
    <w:rsid w:val="00F853AC"/>
    <w:rsid w:val="00F85B00"/>
    <w:rsid w:val="00F85D33"/>
    <w:rsid w:val="00F867DD"/>
    <w:rsid w:val="00F9049B"/>
    <w:rsid w:val="00F90CFE"/>
    <w:rsid w:val="00F91B3B"/>
    <w:rsid w:val="00F92561"/>
    <w:rsid w:val="00F926DD"/>
    <w:rsid w:val="00F928AC"/>
    <w:rsid w:val="00F92920"/>
    <w:rsid w:val="00F944B1"/>
    <w:rsid w:val="00F94F1F"/>
    <w:rsid w:val="00F9765F"/>
    <w:rsid w:val="00FA09BA"/>
    <w:rsid w:val="00FA227A"/>
    <w:rsid w:val="00FA2E87"/>
    <w:rsid w:val="00FA5278"/>
    <w:rsid w:val="00FA61DD"/>
    <w:rsid w:val="00FB2166"/>
    <w:rsid w:val="00FB244B"/>
    <w:rsid w:val="00FB2886"/>
    <w:rsid w:val="00FB2916"/>
    <w:rsid w:val="00FB3D02"/>
    <w:rsid w:val="00FB48C1"/>
    <w:rsid w:val="00FB7067"/>
    <w:rsid w:val="00FB7318"/>
    <w:rsid w:val="00FB73E6"/>
    <w:rsid w:val="00FB7DF0"/>
    <w:rsid w:val="00FB7E42"/>
    <w:rsid w:val="00FC0A76"/>
    <w:rsid w:val="00FC2AFD"/>
    <w:rsid w:val="00FC31C7"/>
    <w:rsid w:val="00FC34E4"/>
    <w:rsid w:val="00FC3CBC"/>
    <w:rsid w:val="00FC43FD"/>
    <w:rsid w:val="00FC46C9"/>
    <w:rsid w:val="00FC4E01"/>
    <w:rsid w:val="00FC73E8"/>
    <w:rsid w:val="00FC773A"/>
    <w:rsid w:val="00FC7992"/>
    <w:rsid w:val="00FD1151"/>
    <w:rsid w:val="00FD2636"/>
    <w:rsid w:val="00FD3490"/>
    <w:rsid w:val="00FD3C04"/>
    <w:rsid w:val="00FD69A2"/>
    <w:rsid w:val="00FD7595"/>
    <w:rsid w:val="00FE07EE"/>
    <w:rsid w:val="00FE0FF7"/>
    <w:rsid w:val="00FE3149"/>
    <w:rsid w:val="00FE4002"/>
    <w:rsid w:val="00FE475F"/>
    <w:rsid w:val="00FE5191"/>
    <w:rsid w:val="00FE6D1E"/>
    <w:rsid w:val="00FE6E21"/>
    <w:rsid w:val="00FE6FBB"/>
    <w:rsid w:val="00FE767F"/>
    <w:rsid w:val="00FE7734"/>
    <w:rsid w:val="00FE79E0"/>
    <w:rsid w:val="00FF0480"/>
    <w:rsid w:val="00FF062F"/>
    <w:rsid w:val="00FF3B42"/>
    <w:rsid w:val="00FF3CD0"/>
    <w:rsid w:val="00FF4962"/>
    <w:rsid w:val="00FF53F8"/>
    <w:rsid w:val="00FF5E67"/>
    <w:rsid w:val="00FF6035"/>
    <w:rsid w:val="00FF6BEF"/>
    <w:rsid w:val="00FF7B06"/>
  </w:rsids>
  <m:mathPr>
    <m:mathFont m:val="Cambria Math"/>
    <m:brkBin m:val="before"/>
    <m:brkBinSub m:val="--"/>
    <m:smallFrac m:val="0"/>
    <m:dispDef/>
    <m:lMargin m:val="0"/>
    <m:rMargin m:val="0"/>
    <m:defJc m:val="centerGroup"/>
    <m:wrapIndent m:val="1440"/>
    <m:intLim m:val="subSup"/>
    <m:naryLim m:val="undOvr"/>
  </m:mathPr>
  <w:themeFontLang w:val="fr-FR"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4DFBD"/>
  <w15:docId w15:val="{80F2F691-CDA9-40F5-9DDB-63E54621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F11"/>
    <w:pPr>
      <w:spacing w:after="240"/>
      <w:jc w:val="both"/>
    </w:p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aliases w:val="Header 2"/>
    <w:basedOn w:val="Normal"/>
    <w:next w:val="Text3"/>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link w:val="Text2Char"/>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uiPriority w:val="9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t,single space,FOOTNOTES,fn,footnote text,Footnote Text Char Car,Footnote Text Char1 Char Car,Footnote Text Char Char Char Car,Footnote Text Char1 Char,Footnote Text Char Char Char,Geneva 9,Font: Geneva 9,Boston 10,f,Footnote,Fußnot"/>
    <w:basedOn w:val="Normal"/>
    <w:link w:val="FootnoteTextChar"/>
    <w:uiPriority w:val="99"/>
    <w:qFormat/>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uiPriority w:val="99"/>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B06ABC"/>
    <w:rPr>
      <w:rFonts w:ascii="Arial" w:hAnsi="Arial"/>
      <w:sz w:val="16"/>
      <w:lang w:val="fr-FR" w:eastAsia="en-US"/>
    </w:rPr>
  </w:style>
  <w:style w:type="character" w:customStyle="1" w:styleId="DateChar">
    <w:name w:val="Date Char"/>
    <w:link w:val="Date"/>
    <w:uiPriority w:val="99"/>
    <w:rsid w:val="00B06ABC"/>
    <w:rPr>
      <w:sz w:val="24"/>
      <w:lang w:val="fr-FR" w:eastAsia="en-US"/>
    </w:rPr>
  </w:style>
  <w:style w:type="character" w:customStyle="1" w:styleId="SignatureChar">
    <w:name w:val="Signature Char"/>
    <w:link w:val="Signature"/>
    <w:uiPriority w:val="99"/>
    <w:rsid w:val="00B06ABC"/>
    <w:rPr>
      <w:sz w:val="24"/>
      <w:lang w:val="fr-FR" w:eastAsia="en-US"/>
    </w:rPr>
  </w:style>
  <w:style w:type="paragraph" w:customStyle="1" w:styleId="ZCom">
    <w:name w:val="Z_Com"/>
    <w:basedOn w:val="Normal"/>
    <w:next w:val="ZDGName"/>
    <w:uiPriority w:val="99"/>
    <w:rsid w:val="00B06ABC"/>
    <w:pPr>
      <w:widowControl w:val="0"/>
      <w:autoSpaceDE w:val="0"/>
      <w:autoSpaceDN w:val="0"/>
      <w:spacing w:after="0"/>
      <w:ind w:right="85"/>
    </w:pPr>
    <w:rPr>
      <w:rFonts w:ascii="Arial" w:hAnsi="Arial" w:cs="Arial"/>
      <w:lang w:eastAsia="en-GB"/>
    </w:rPr>
  </w:style>
  <w:style w:type="paragraph" w:customStyle="1" w:styleId="ZDGName">
    <w:name w:val="Z_DGName"/>
    <w:basedOn w:val="Normal"/>
    <w:uiPriority w:val="99"/>
    <w:rsid w:val="00B06ABC"/>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B06ABC"/>
    <w:rPr>
      <w:sz w:val="24"/>
      <w:lang w:val="fr-FR" w:eastAsia="en-US"/>
    </w:rPr>
  </w:style>
  <w:style w:type="paragraph" w:styleId="BalloonText">
    <w:name w:val="Balloon Text"/>
    <w:basedOn w:val="Normal"/>
    <w:link w:val="BalloonTextChar"/>
    <w:uiPriority w:val="99"/>
    <w:semiHidden/>
    <w:unhideWhenUsed/>
    <w:rsid w:val="00823EE9"/>
    <w:pPr>
      <w:spacing w:after="0"/>
    </w:pPr>
    <w:rPr>
      <w:rFonts w:ascii="Tahoma" w:hAnsi="Tahoma" w:cs="Tahoma"/>
      <w:sz w:val="16"/>
      <w:szCs w:val="16"/>
    </w:rPr>
  </w:style>
  <w:style w:type="character" w:customStyle="1" w:styleId="BalloonTextChar">
    <w:name w:val="Balloon Text Char"/>
    <w:link w:val="BalloonText"/>
    <w:uiPriority w:val="99"/>
    <w:semiHidden/>
    <w:rsid w:val="00823EE9"/>
    <w:rPr>
      <w:rFonts w:ascii="Tahoma" w:hAnsi="Tahoma" w:cs="Tahoma"/>
      <w:sz w:val="16"/>
      <w:szCs w:val="16"/>
      <w:lang w:val="fr-FR" w:eastAsia="en-US"/>
    </w:rPr>
  </w:style>
  <w:style w:type="paragraph" w:customStyle="1" w:styleId="titlefront">
    <w:name w:val="title_front"/>
    <w:basedOn w:val="Normal"/>
    <w:rsid w:val="00734799"/>
    <w:pPr>
      <w:spacing w:before="240" w:after="0"/>
      <w:ind w:left="1701"/>
      <w:jc w:val="right"/>
    </w:pPr>
    <w:rPr>
      <w:rFonts w:ascii="Optima" w:hAnsi="Optima"/>
      <w:b/>
      <w:sz w:val="28"/>
      <w:lang w:val="en-GB" w:eastAsia="en-GB"/>
    </w:rPr>
  </w:style>
  <w:style w:type="character" w:styleId="FootnoteReference">
    <w:name w:val="footnote reference"/>
    <w:aliases w:val="Ref,de nota al pie,16 Point,Superscript 6 Point,Appel note de bas de page,ftref,BVI fnr,Знак сноски 1,note bp,Char Char,Carattere Char1,Carattere Char Char Carattere Carattere Char Char,Error-Fußnotenzeichen5,ftref Char"/>
    <w:link w:val="BVIfnrCharCharChar1CharCharCharCharCharCharChar1CharCharChar1Char"/>
    <w:uiPriority w:val="99"/>
    <w:qFormat/>
    <w:rsid w:val="00734799"/>
    <w:rPr>
      <w:vertAlign w:val="superscript"/>
    </w:rPr>
  </w:style>
  <w:style w:type="paragraph" w:customStyle="1" w:styleId="StyleHeading1TimesNewRoman">
    <w:name w:val="Style Heading 1 + Times New Roman"/>
    <w:basedOn w:val="Heading1"/>
    <w:link w:val="StyleHeading1TimesNewRomanChar"/>
    <w:autoRedefine/>
    <w:rsid w:val="00751933"/>
    <w:pPr>
      <w:numPr>
        <w:numId w:val="19"/>
      </w:numPr>
      <w:spacing w:before="120"/>
      <w:ind w:left="357" w:hanging="357"/>
      <w:jc w:val="left"/>
    </w:pPr>
    <w:rPr>
      <w:bCs/>
      <w:smallCaps w:val="0"/>
      <w:kern w:val="28"/>
      <w:sz w:val="28"/>
      <w:lang w:val="en-GB" w:eastAsia="en-GB"/>
    </w:rPr>
  </w:style>
  <w:style w:type="character" w:customStyle="1" w:styleId="StyleHeading1TimesNewRomanChar">
    <w:name w:val="Style Heading 1 + Times New Roman Char"/>
    <w:link w:val="StyleHeading1TimesNewRoman"/>
    <w:rsid w:val="00751933"/>
    <w:rPr>
      <w:b/>
      <w:bCs/>
      <w:kern w:val="28"/>
      <w:sz w:val="28"/>
      <w:szCs w:val="24"/>
      <w:lang w:val="en-GB" w:eastAsia="en-GB"/>
    </w:rPr>
  </w:style>
  <w:style w:type="table" w:styleId="TableGrid">
    <w:name w:val="Table Grid"/>
    <w:basedOn w:val="TableNormal"/>
    <w:uiPriority w:val="59"/>
    <w:rsid w:val="00D8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6169"/>
    <w:rPr>
      <w:color w:val="0000FF"/>
      <w:u w:val="single"/>
    </w:rPr>
  </w:style>
  <w:style w:type="character" w:styleId="CommentReference">
    <w:name w:val="annotation reference"/>
    <w:uiPriority w:val="99"/>
    <w:semiHidden/>
    <w:unhideWhenUsed/>
    <w:rsid w:val="009B234D"/>
    <w:rPr>
      <w:sz w:val="16"/>
      <w:szCs w:val="16"/>
    </w:rPr>
  </w:style>
  <w:style w:type="paragraph" w:styleId="CommentSubject">
    <w:name w:val="annotation subject"/>
    <w:basedOn w:val="CommentText"/>
    <w:next w:val="CommentText"/>
    <w:link w:val="CommentSubjectChar"/>
    <w:uiPriority w:val="99"/>
    <w:semiHidden/>
    <w:unhideWhenUsed/>
    <w:rsid w:val="009B234D"/>
    <w:rPr>
      <w:b/>
      <w:bCs/>
    </w:rPr>
  </w:style>
  <w:style w:type="character" w:customStyle="1" w:styleId="CommentTextChar">
    <w:name w:val="Comment Text Char"/>
    <w:link w:val="CommentText"/>
    <w:semiHidden/>
    <w:rsid w:val="009B234D"/>
    <w:rPr>
      <w:lang w:val="fr-FR" w:eastAsia="en-US"/>
    </w:rPr>
  </w:style>
  <w:style w:type="character" w:customStyle="1" w:styleId="CommentSubjectChar">
    <w:name w:val="Comment Subject Char"/>
    <w:link w:val="CommentSubject"/>
    <w:uiPriority w:val="99"/>
    <w:semiHidden/>
    <w:rsid w:val="009B234D"/>
    <w:rPr>
      <w:b/>
      <w:bCs/>
      <w:lang w:val="fr-FR" w:eastAsia="en-US"/>
    </w:rPr>
  </w:style>
  <w:style w:type="paragraph" w:styleId="Revision">
    <w:name w:val="Revision"/>
    <w:hidden/>
    <w:uiPriority w:val="99"/>
    <w:semiHidden/>
    <w:rsid w:val="001E23F6"/>
  </w:style>
  <w:style w:type="paragraph" w:customStyle="1" w:styleId="bodytext0">
    <w:name w:val="bodytext"/>
    <w:basedOn w:val="Normal"/>
    <w:rsid w:val="00743EF2"/>
    <w:pPr>
      <w:spacing w:before="100" w:beforeAutospacing="1" w:after="100" w:afterAutospacing="1"/>
      <w:jc w:val="left"/>
    </w:pPr>
    <w:rPr>
      <w:lang w:val="en-US" w:eastAsia="fr-FR"/>
    </w:rPr>
  </w:style>
  <w:style w:type="paragraph" w:styleId="ListParagraph">
    <w:name w:val="List Paragraph"/>
    <w:aliases w:val="Numbered List Paragraph,Bullets,List Bullet Mary,Liste 1,List Paragraph1,List Paragraph (numbered (a)),ReferencesCxSpLast,Medium Grid 1 - Accent 21"/>
    <w:basedOn w:val="Normal"/>
    <w:link w:val="ListParagraphChar"/>
    <w:uiPriority w:val="34"/>
    <w:qFormat/>
    <w:rsid w:val="00C31D86"/>
    <w:pPr>
      <w:spacing w:before="120" w:after="120"/>
      <w:ind w:left="720"/>
      <w:contextualSpacing/>
    </w:pPr>
    <w:rPr>
      <w:b/>
      <w:bCs/>
      <w:sz w:val="20"/>
    </w:rPr>
  </w:style>
  <w:style w:type="character" w:customStyle="1" w:styleId="ListParagraphChar">
    <w:name w:val="List Paragraph Char"/>
    <w:aliases w:val="Numbered List Paragraph Char,Bullets Char,List Bullet Mary Char,Liste 1 Char,List Paragraph1 Char,List Paragraph (numbered (a)) Char,ReferencesCxSpLast Char,Medium Grid 1 - Accent 21 Char"/>
    <w:link w:val="ListParagraph"/>
    <w:uiPriority w:val="34"/>
    <w:rsid w:val="00C31D86"/>
    <w:rPr>
      <w:b/>
      <w:bCs/>
      <w:lang w:val="fr-FR" w:eastAsia="en-US"/>
    </w:rPr>
  </w:style>
  <w:style w:type="character" w:customStyle="1" w:styleId="FootnoteTextChar">
    <w:name w:val="Footnote Text Char"/>
    <w:aliases w:val="ft Char,single space Char,FOOTNOTES Char,fn Char,footnote text Char,Footnote Text Char Car Char,Footnote Text Char1 Char Car Char,Footnote Text Char Char Char Car Char,Footnote Text Char1 Char Char,Footnote Text Char Char Char Char"/>
    <w:link w:val="FootnoteText"/>
    <w:uiPriority w:val="99"/>
    <w:rsid w:val="00C31D86"/>
    <w:rPr>
      <w:lang w:val="fr-FR" w:eastAsia="en-US"/>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rsid w:val="00C31D86"/>
    <w:pPr>
      <w:spacing w:after="160" w:line="240" w:lineRule="exact"/>
      <w:jc w:val="left"/>
    </w:pPr>
    <w:rPr>
      <w:sz w:val="20"/>
      <w:vertAlign w:val="superscript"/>
      <w:lang w:val="en-GB" w:eastAsia="en-GB"/>
    </w:rPr>
  </w:style>
  <w:style w:type="character" w:customStyle="1" w:styleId="BodyTextChar">
    <w:name w:val="Body Text Char"/>
    <w:link w:val="BodyText"/>
    <w:rsid w:val="00C31D86"/>
    <w:rPr>
      <w:sz w:val="24"/>
      <w:lang w:val="fr-FR" w:eastAsia="en-US"/>
    </w:rPr>
  </w:style>
  <w:style w:type="paragraph" w:customStyle="1" w:styleId="BVIfnrCarCarCarCarChar">
    <w:name w:val="BVI fnr Car Car Car Car Char"/>
    <w:basedOn w:val="Normal"/>
    <w:uiPriority w:val="99"/>
    <w:rsid w:val="009A3BC3"/>
    <w:pPr>
      <w:shd w:val="clear" w:color="auto" w:fill="FFFFFF"/>
      <w:spacing w:before="120" w:after="120" w:line="240" w:lineRule="exact"/>
    </w:pPr>
    <w:rPr>
      <w:rFonts w:ascii="Calibri" w:eastAsia="Calibri" w:hAnsi="Calibri"/>
      <w:sz w:val="22"/>
      <w:szCs w:val="22"/>
      <w:vertAlign w:val="superscript"/>
      <w:lang w:val="en-US"/>
    </w:rPr>
  </w:style>
  <w:style w:type="paragraph" w:customStyle="1" w:styleId="Default">
    <w:name w:val="Default"/>
    <w:rsid w:val="007C5378"/>
    <w:pPr>
      <w:autoSpaceDE w:val="0"/>
      <w:autoSpaceDN w:val="0"/>
      <w:adjustRightInd w:val="0"/>
    </w:pPr>
    <w:rPr>
      <w:rFonts w:ascii="Calibri" w:hAnsi="Calibri" w:cs="Calibri"/>
      <w:color w:val="000000"/>
      <w:lang w:val="en-GB" w:eastAsia="en-GB"/>
    </w:rPr>
  </w:style>
  <w:style w:type="paragraph" w:customStyle="1" w:styleId="Blockquote">
    <w:name w:val="Blockquote"/>
    <w:basedOn w:val="Normal"/>
    <w:rsid w:val="00D57E40"/>
    <w:pPr>
      <w:widowControl w:val="0"/>
      <w:spacing w:before="100" w:after="100"/>
      <w:ind w:left="360" w:right="360"/>
      <w:jc w:val="left"/>
    </w:pPr>
    <w:rPr>
      <w:snapToGrid w:val="0"/>
      <w:lang w:val="en-US"/>
    </w:rPr>
  </w:style>
  <w:style w:type="paragraph" w:styleId="NoSpacing">
    <w:name w:val="No Spacing"/>
    <w:uiPriority w:val="1"/>
    <w:qFormat/>
    <w:rsid w:val="0068011A"/>
    <w:rPr>
      <w:rFonts w:ascii="Calibri" w:eastAsia="Calibri" w:hAnsi="Calibri"/>
      <w:sz w:val="22"/>
      <w:szCs w:val="22"/>
    </w:rPr>
  </w:style>
  <w:style w:type="character" w:customStyle="1" w:styleId="Heading4Char">
    <w:name w:val="Heading 4 Char"/>
    <w:link w:val="Heading4"/>
    <w:rsid w:val="00837B2A"/>
    <w:rPr>
      <w:sz w:val="24"/>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B45902"/>
    <w:pPr>
      <w:spacing w:after="200" w:line="240" w:lineRule="exact"/>
      <w:jc w:val="left"/>
    </w:pPr>
    <w:rPr>
      <w:vertAlign w:val="superscript"/>
      <w:lang w:val="en-GB"/>
    </w:rPr>
  </w:style>
  <w:style w:type="character" w:styleId="Emphasis">
    <w:name w:val="Emphasis"/>
    <w:qFormat/>
    <w:rsid w:val="00FC773A"/>
    <w:rPr>
      <w:i/>
      <w:iCs/>
    </w:rPr>
  </w:style>
  <w:style w:type="character" w:customStyle="1" w:styleId="Text2Char">
    <w:name w:val="Text 2 Char"/>
    <w:link w:val="Text2"/>
    <w:locked/>
    <w:rsid w:val="00FC773A"/>
    <w:rPr>
      <w:sz w:val="24"/>
      <w:lang w:val="fr-FR" w:eastAsia="en-US"/>
    </w:rPr>
  </w:style>
  <w:style w:type="character" w:styleId="UnresolvedMention">
    <w:name w:val="Unresolved Mention"/>
    <w:basedOn w:val="DefaultParagraphFont"/>
    <w:uiPriority w:val="99"/>
    <w:semiHidden/>
    <w:unhideWhenUsed/>
    <w:rsid w:val="00A9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299">
      <w:bodyDiv w:val="1"/>
      <w:marLeft w:val="0"/>
      <w:marRight w:val="0"/>
      <w:marTop w:val="0"/>
      <w:marBottom w:val="0"/>
      <w:divBdr>
        <w:top w:val="none" w:sz="0" w:space="0" w:color="auto"/>
        <w:left w:val="none" w:sz="0" w:space="0" w:color="auto"/>
        <w:bottom w:val="none" w:sz="0" w:space="0" w:color="auto"/>
        <w:right w:val="none" w:sz="0" w:space="0" w:color="auto"/>
      </w:divBdr>
    </w:div>
    <w:div w:id="152377493">
      <w:bodyDiv w:val="1"/>
      <w:marLeft w:val="0"/>
      <w:marRight w:val="0"/>
      <w:marTop w:val="0"/>
      <w:marBottom w:val="0"/>
      <w:divBdr>
        <w:top w:val="none" w:sz="0" w:space="0" w:color="auto"/>
        <w:left w:val="none" w:sz="0" w:space="0" w:color="auto"/>
        <w:bottom w:val="none" w:sz="0" w:space="0" w:color="auto"/>
        <w:right w:val="none" w:sz="0" w:space="0" w:color="auto"/>
      </w:divBdr>
      <w:divsChild>
        <w:div w:id="1607040116">
          <w:marLeft w:val="547"/>
          <w:marRight w:val="0"/>
          <w:marTop w:val="77"/>
          <w:marBottom w:val="0"/>
          <w:divBdr>
            <w:top w:val="none" w:sz="0" w:space="0" w:color="auto"/>
            <w:left w:val="none" w:sz="0" w:space="0" w:color="auto"/>
            <w:bottom w:val="none" w:sz="0" w:space="0" w:color="auto"/>
            <w:right w:val="none" w:sz="0" w:space="0" w:color="auto"/>
          </w:divBdr>
        </w:div>
        <w:div w:id="1997755045">
          <w:marLeft w:val="547"/>
          <w:marRight w:val="0"/>
          <w:marTop w:val="77"/>
          <w:marBottom w:val="0"/>
          <w:divBdr>
            <w:top w:val="none" w:sz="0" w:space="0" w:color="auto"/>
            <w:left w:val="none" w:sz="0" w:space="0" w:color="auto"/>
            <w:bottom w:val="none" w:sz="0" w:space="0" w:color="auto"/>
            <w:right w:val="none" w:sz="0" w:space="0" w:color="auto"/>
          </w:divBdr>
        </w:div>
      </w:divsChild>
    </w:div>
    <w:div w:id="440150337">
      <w:bodyDiv w:val="1"/>
      <w:marLeft w:val="0"/>
      <w:marRight w:val="0"/>
      <w:marTop w:val="0"/>
      <w:marBottom w:val="0"/>
      <w:divBdr>
        <w:top w:val="none" w:sz="0" w:space="0" w:color="auto"/>
        <w:left w:val="none" w:sz="0" w:space="0" w:color="auto"/>
        <w:bottom w:val="none" w:sz="0" w:space="0" w:color="auto"/>
        <w:right w:val="none" w:sz="0" w:space="0" w:color="auto"/>
      </w:divBdr>
    </w:div>
    <w:div w:id="906691320">
      <w:bodyDiv w:val="1"/>
      <w:marLeft w:val="0"/>
      <w:marRight w:val="0"/>
      <w:marTop w:val="0"/>
      <w:marBottom w:val="0"/>
      <w:divBdr>
        <w:top w:val="none" w:sz="0" w:space="0" w:color="auto"/>
        <w:left w:val="none" w:sz="0" w:space="0" w:color="auto"/>
        <w:bottom w:val="none" w:sz="0" w:space="0" w:color="auto"/>
        <w:right w:val="none" w:sz="0" w:space="0" w:color="auto"/>
      </w:divBdr>
    </w:div>
    <w:div w:id="915555446">
      <w:bodyDiv w:val="1"/>
      <w:marLeft w:val="0"/>
      <w:marRight w:val="0"/>
      <w:marTop w:val="0"/>
      <w:marBottom w:val="0"/>
      <w:divBdr>
        <w:top w:val="none" w:sz="0" w:space="0" w:color="auto"/>
        <w:left w:val="none" w:sz="0" w:space="0" w:color="auto"/>
        <w:bottom w:val="none" w:sz="0" w:space="0" w:color="auto"/>
        <w:right w:val="none" w:sz="0" w:space="0" w:color="auto"/>
      </w:divBdr>
    </w:div>
    <w:div w:id="1071344368">
      <w:bodyDiv w:val="1"/>
      <w:marLeft w:val="0"/>
      <w:marRight w:val="0"/>
      <w:marTop w:val="0"/>
      <w:marBottom w:val="0"/>
      <w:divBdr>
        <w:top w:val="none" w:sz="0" w:space="0" w:color="auto"/>
        <w:left w:val="none" w:sz="0" w:space="0" w:color="auto"/>
        <w:bottom w:val="none" w:sz="0" w:space="0" w:color="auto"/>
        <w:right w:val="none" w:sz="0" w:space="0" w:color="auto"/>
      </w:divBdr>
    </w:div>
    <w:div w:id="1178546959">
      <w:bodyDiv w:val="1"/>
      <w:marLeft w:val="0"/>
      <w:marRight w:val="0"/>
      <w:marTop w:val="0"/>
      <w:marBottom w:val="0"/>
      <w:divBdr>
        <w:top w:val="none" w:sz="0" w:space="0" w:color="auto"/>
        <w:left w:val="none" w:sz="0" w:space="0" w:color="auto"/>
        <w:bottom w:val="none" w:sz="0" w:space="0" w:color="auto"/>
        <w:right w:val="none" w:sz="0" w:space="0" w:color="auto"/>
      </w:divBdr>
    </w:div>
    <w:div w:id="1323464076">
      <w:bodyDiv w:val="1"/>
      <w:marLeft w:val="0"/>
      <w:marRight w:val="0"/>
      <w:marTop w:val="0"/>
      <w:marBottom w:val="0"/>
      <w:divBdr>
        <w:top w:val="none" w:sz="0" w:space="0" w:color="auto"/>
        <w:left w:val="none" w:sz="0" w:space="0" w:color="auto"/>
        <w:bottom w:val="none" w:sz="0" w:space="0" w:color="auto"/>
        <w:right w:val="none" w:sz="0" w:space="0" w:color="auto"/>
      </w:divBdr>
    </w:div>
    <w:div w:id="1469129054">
      <w:bodyDiv w:val="1"/>
      <w:marLeft w:val="0"/>
      <w:marRight w:val="0"/>
      <w:marTop w:val="0"/>
      <w:marBottom w:val="0"/>
      <w:divBdr>
        <w:top w:val="none" w:sz="0" w:space="0" w:color="auto"/>
        <w:left w:val="none" w:sz="0" w:space="0" w:color="auto"/>
        <w:bottom w:val="none" w:sz="0" w:space="0" w:color="auto"/>
        <w:right w:val="none" w:sz="0" w:space="0" w:color="auto"/>
      </w:divBdr>
    </w:div>
    <w:div w:id="1567061945">
      <w:bodyDiv w:val="1"/>
      <w:marLeft w:val="0"/>
      <w:marRight w:val="0"/>
      <w:marTop w:val="0"/>
      <w:marBottom w:val="0"/>
      <w:divBdr>
        <w:top w:val="none" w:sz="0" w:space="0" w:color="auto"/>
        <w:left w:val="none" w:sz="0" w:space="0" w:color="auto"/>
        <w:bottom w:val="none" w:sz="0" w:space="0" w:color="auto"/>
        <w:right w:val="none" w:sz="0" w:space="0" w:color="auto"/>
      </w:divBdr>
    </w:div>
    <w:div w:id="1963342635">
      <w:bodyDiv w:val="1"/>
      <w:marLeft w:val="0"/>
      <w:marRight w:val="0"/>
      <w:marTop w:val="0"/>
      <w:marBottom w:val="0"/>
      <w:divBdr>
        <w:top w:val="none" w:sz="0" w:space="0" w:color="auto"/>
        <w:left w:val="none" w:sz="0" w:space="0" w:color="auto"/>
        <w:bottom w:val="none" w:sz="0" w:space="0" w:color="auto"/>
        <w:right w:val="none" w:sz="0" w:space="0" w:color="auto"/>
      </w:divBdr>
    </w:div>
    <w:div w:id="2006468757">
      <w:bodyDiv w:val="1"/>
      <w:marLeft w:val="0"/>
      <w:marRight w:val="0"/>
      <w:marTop w:val="0"/>
      <w:marBottom w:val="0"/>
      <w:divBdr>
        <w:top w:val="none" w:sz="0" w:space="0" w:color="auto"/>
        <w:left w:val="none" w:sz="0" w:space="0" w:color="auto"/>
        <w:bottom w:val="none" w:sz="0" w:space="0" w:color="auto"/>
        <w:right w:val="none" w:sz="0" w:space="0" w:color="auto"/>
      </w:divBdr>
    </w:div>
    <w:div w:id="2053461293">
      <w:bodyDiv w:val="1"/>
      <w:marLeft w:val="0"/>
      <w:marRight w:val="0"/>
      <w:marTop w:val="0"/>
      <w:marBottom w:val="0"/>
      <w:divBdr>
        <w:top w:val="none" w:sz="0" w:space="0" w:color="auto"/>
        <w:left w:val="none" w:sz="0" w:space="0" w:color="auto"/>
        <w:bottom w:val="none" w:sz="0" w:space="0" w:color="auto"/>
        <w:right w:val="none" w:sz="0" w:space="0" w:color="auto"/>
      </w:divBdr>
    </w:div>
    <w:div w:id="211998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los.abaitua-zarza@eeas.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elegation-central-african-rep-fcs@eeas.europa.eu" TargetMode="External"/><Relationship Id="rId17" Type="http://schemas.openxmlformats.org/officeDocument/2006/relationships/hyperlink" Target="http://ec.europa.eu/europeaid/prag/document.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eas.europa.eu/delegations/central-african-republic_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peaid/manuel-de-comm-unicationet-de-visibilite-pour-les-actions-exterieures-de-lunion-europeenne_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rlos.bernard.bandabaitua-zarza@eeas.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egation-central-african-rep-fcs@eeas.europa.e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peaid/prag/document.do?nodeNumber=2.6.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8fde892b-d6ed-4264-bc3c-66b75f7eddd2</Id>
  <Names>
    <Latin>
      <FirstName>Frederique</FirstName>
      <LastName>THIBOUT</LastName>
    </Latin>
    <Greek>
      <FirstName/>
      <LastName/>
    </Greek>
    <Cyrillic>
      <FirstName/>
      <LastName/>
    </Cyrillic>
    <DocumentScript>
      <FirstName>Frederique</FirstName>
      <LastName>THIBOUT</LastName>
      <FullName>Frederique THIBOUT</FullName>
    </DocumentScript>
  </Names>
  <Initials>FT</Initials>
  <Gender>f</Gender>
  <Email>Frederique.THIBOUT@ec.europa.eu</Email>
  <Service>DEVCO.E.1</Service>
  <Function ShowInSignature="true"/>
  <WebAddress/>
  <InheritedWebAddress>WebAddress</InheritedWebAddress>
  <OrgaEntity1>
    <Id>93e8f0f9-1ec7-4448-bd27-bbb0d2689d92</Id>
    <LogicalLevel>1</LogicalLevel>
    <Name>DEVCO</Name>
    <HeadLine1>DIRECTION GÉNÉRALE DE LA COOPÉRATION INTERNATIONALE ET DU DÉVELOPPEMENT</HeadLine1>
    <HeadLine2/>
    <PrimaryAddressId>f03b5801-04c9-4931-aa17-c6d6c70bc579</PrimaryAddressId>
    <SecondaryAddressId/>
    <WebAddress>WebAddress</WebAddress>
    <InheritedWebAddress>WebAddress</InheritedWebAddress>
    <ShowInHeader>true</ShowInHeader>
  </OrgaEntity1>
  <OrgaEntity2>
    <Id>7dc1efa2-81e5-455d-b4ad-a6f89aa4c81c</Id>
    <LogicalLevel>2</LogicalLevel>
    <Name>DEVCO.E</Name>
    <HeadLine1>Afrique centrale et australe, océan Indien</HeadLine1>
    <HeadLine2/>
    <PrimaryAddressId>f03b5801-04c9-4931-aa17-c6d6c70bc579</PrimaryAddressId>
    <SecondaryAddressId/>
    <WebAddress/>
    <InheritedWebAddress>WebAddress</InheritedWebAddress>
    <ShowInHeader>true</ShowInHeader>
  </OrgaEntity2>
  <OrgaEntity3>
    <Id>ae1491d0-60c2-47b7-9f16-22b275b3c343</Id>
    <LogicalLevel>3</LogicalLevel>
    <Name>DEVCO.E.1</Name>
    <HeadLine1>Afrique centrale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+32 229 59499</Phone>
    <Office>L-41 05/033</Office>
  </MainWorkplace>
  <Workplaces>
    <Workplace IsMain="false">
      <AddressId>1264fb81-f6bb-475e-9f9d-a937d3be6ee2</AddressId>
      <Fax/>
      <Phone/>
      <Office/>
    </Workplace>
    <Workplace IsMain="true">
      <AddressId>f03b5801-04c9-4931-aa17-c6d6c70bc579</AddressId>
      <Fax/>
      <Phone>+32 229 59499</Phone>
      <Office>L-41 05/033</Office>
    </Workplace>
  </Workplaces>
</Author>
</file>

<file path=customXml/item2.xml><?xml version="1.0" encoding="utf-8"?>
<EurolookProperties>
  <ProductCustomizationId/>
  <Created>
    <Version>4.5</Version>
    <Date>2019-06-27T15:39:27</Date>
    <Language>FR</Language>
  </Created>
  <Edited>
    <Version>10.0.40769.0</Version>
    <Date>2020-06-03T18:09:00</Date>
  </Edited>
  <DocumentModel>
    <Id>0b054141-88b1-4efb-8c91-2905cb0bed6c</Id>
    <Name>Note</Name>
  </DocumentModel>
  <DocumentDate/>
  <DocumentVersion/>
  <CompatibilityMode>Eurolook4X</CompatibilityMode>
  <Address/>
</EurolookProperties>
</file>

<file path=customXml/item3.xml><?xml version="1.0" encoding="utf-8"?>
<Texts>
  <NoteCopy>Copie:</NoteCopy>
  <SecurityPharma>Pharma investigations</SecurityPharma>
  <MarkingUntilText>UNTIL</MarkingUntilText>
  <TOCHeading>Table des matières</TOCHeading>
  <NoteEnclosures>Annexes:</NoteEnclosures>
  <FooterOffice>Bureau:</FooterOffice>
  <SecurityMediationServiceMatter>Mediation service</SecurityMediationServiceMatter>
  <NoteEnclosure>Annexe:</NoteEnclosure>
  <SecurityEconomyAndFinance>Economy and Finance</SecurityEconomyAndFinance>
  <COMPFootnoteText>{field:HYPERLINK "https://myintracomm.ec.europa.eu/corp/security/EN/newDS3/SensitiveInformation/Pages/SPECIAL-HANDLING-INFORMATION-DG-COMP.aspx?ln=en" |https://www.europa.eu/handling_instructions}</COMPFootnoteText>
  <SecurityOlafInvestigations>OLAF investigations</SecurityOlafInvestigations>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FooterFax>Fax</FooterFax>
  <FooterPhone>Tél. ligne directe</FooterPhone>
  <CourtProceduralDocuments>Documents de procédure juridictionnelle</CourtProceduralDocuments>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SecurityOpinionLegalService>Avis du Service Juridique</SecurityOpinionLegalService>
  <AddresseeTo>Destinataire:</AddresseeTo>
  <NoteFile>Note au dossier</NoteFile>
  <SecurityMedicalSecret>Secret médical</SecurityMedicalSecret>
  <NoteReference>Réf.:</NoteReference>
  <EconomyFinanceHandling>{field:HYPERLINK "https://myintracomm.ec.europa.eu/corp/security/EN/newDS3/SensitiveInformation/Pages/SPECIAL-HANDLING-INFORMATION-DG-ECFIN.aspx?ln=en" |https://www.europa.eu/handling_instructions}</EconomyFinanceHandling>
  <NoteSubject>Objet:</NoteSubject>
  <NoteParticipant>Participant:</NoteParticipant>
  <SensitiveLabel>Sensitive</SensitiveLabel>
  <OLAFHandlingInstructions>{field:HYPERLINK "https://myintracomm.ec.europa.eu/corp/security/EN/newDS3/SensitiveInformation/Pages/SPECIAL-HANDLING-INFORMATION-OLAF-Investigations.aspx?ln=en" |https://www.europa.eu/handling_instructions}</OLAFHandlingInstructions>
  <SecurityInvestigationsDisciplinary>Enquêtes et affaires disciplinaires</SecurityInvestigationsDisciplinary>
  <Contacts>Personnes à contacter:</Contacts>
  <SpecialHandlingLabel>Special Handling</SpecialHandlingLabel>
  <SecurityCompOperations>COMP Operations</SecurityCompOperations>
  <NoteParticipants>Participants:</NoteParticipants>
  <SecurityReleasable>RELEASABLE TO:</SecurityReleasable>
  <NoteCopies>Copies:</NoteCopies>
  <SecuritySecurityMatter>Question de sécurité</SecuritySecurityMatter>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OrgaRoot>COMMISSION EUROPÉENNE</OrgaRoot>
  <SecurityEtsSensitive>ETS</SecurityEtsSensitive>
  <SecurityStaffMatter>Affaire de personnel</SecurityStaffMatter>
  <SecurityEtsCritical>ETS Critical</SecurityEtsCritical>
  <NoteHead>Note à l'attention de</NoteHead>
  <SecurityCompSpecial>COMP</SecurityCompSpecial>
  <SecurityPharmaSpecial>Pharma investigations</SecurityPharmaSpecial>
  <ETSLimited>ETS Joint Procurement</ETSLimited>
  <SecurityIasOperations>IAS operations</SecurityIasOperations>
  <Contact>Personne à contacter:</Contact>
  <AddressFooterBrussels>Commission européenne, 1049 Bruxelles, BELGIQUE - Tél. +32 229-91111</AddressFooterBrussels>
  <SecurityEmbargo>Embargo jusqu'à</SecurityEmbargo>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C56A-80EE-4073-9F97-654402D5B2DF}">
  <ds:schemaRefs/>
</ds:datastoreItem>
</file>

<file path=customXml/itemProps2.xml><?xml version="1.0" encoding="utf-8"?>
<ds:datastoreItem xmlns:ds="http://schemas.openxmlformats.org/officeDocument/2006/customXml" ds:itemID="{44806BA8-90AC-4849-9957-F0DAEF1A1769}">
  <ds:schemaRefs/>
</ds:datastoreItem>
</file>

<file path=customXml/itemProps3.xml><?xml version="1.0" encoding="utf-8"?>
<ds:datastoreItem xmlns:ds="http://schemas.openxmlformats.org/officeDocument/2006/customXml" ds:itemID="{A9B93E8F-4691-4793-9A49-204C71B1B4D1}">
  <ds:schemaRefs/>
</ds:datastoreItem>
</file>

<file path=customXml/itemProps4.xml><?xml version="1.0" encoding="utf-8"?>
<ds:datastoreItem xmlns:ds="http://schemas.openxmlformats.org/officeDocument/2006/customXml" ds:itemID="{577A0C56-D10E-434B-AD74-70A31CBB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11</TotalTime>
  <Pages>20</Pages>
  <Words>7784</Words>
  <Characters>44372</Characters>
  <Application>Microsoft Office Word</Application>
  <DocSecurity>0</DocSecurity>
  <PresentationFormat>Microsoft Word 14.0</PresentationFormat>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52052</CharactersWithSpaces>
  <SharedDoc>false</SharedDoc>
  <HLinks>
    <vt:vector size="24" baseType="variant">
      <vt:variant>
        <vt:i4>1376373</vt:i4>
      </vt:variant>
      <vt:variant>
        <vt:i4>9</vt:i4>
      </vt:variant>
      <vt:variant>
        <vt:i4>0</vt:i4>
      </vt:variant>
      <vt:variant>
        <vt:i4>5</vt:i4>
      </vt:variant>
      <vt:variant>
        <vt:lpwstr>https://eeas.europa.eu/delegations/central-african-republic_fr</vt:lpwstr>
      </vt:variant>
      <vt:variant>
        <vt:lpwstr/>
      </vt:variant>
      <vt:variant>
        <vt:i4>6357001</vt:i4>
      </vt:variant>
      <vt:variant>
        <vt:i4>6</vt:i4>
      </vt:variant>
      <vt:variant>
        <vt:i4>0</vt:i4>
      </vt:variant>
      <vt:variant>
        <vt:i4>5</vt:i4>
      </vt:variant>
      <vt:variant>
        <vt:lpwstr>mailto:jean.costedoat-miossec@eeas.europa.eu</vt:lpwstr>
      </vt:variant>
      <vt:variant>
        <vt:lpwstr/>
      </vt:variant>
      <vt:variant>
        <vt:i4>3014770</vt:i4>
      </vt:variant>
      <vt:variant>
        <vt:i4>3</vt:i4>
      </vt:variant>
      <vt:variant>
        <vt:i4>0</vt:i4>
      </vt:variant>
      <vt:variant>
        <vt:i4>5</vt:i4>
      </vt:variant>
      <vt:variant>
        <vt:lpwstr>mailto:bernard.banda@eeas.europa.eu</vt:lpwstr>
      </vt:variant>
      <vt:variant>
        <vt:lpwstr/>
      </vt:variant>
      <vt:variant>
        <vt:i4>8323134</vt:i4>
      </vt:variant>
      <vt:variant>
        <vt:i4>0</vt:i4>
      </vt:variant>
      <vt:variant>
        <vt:i4>0</vt:i4>
      </vt:variant>
      <vt:variant>
        <vt:i4>5</vt:i4>
      </vt:variant>
      <vt:variant>
        <vt:lpwstr>https://ec.europa.eu/europeaid/manuel-de-comm-unicationet-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zz</dc:subject>
  <dc:creator>Fokion Fotiadis</dc:creator>
  <cp:keywords>EL4</cp:keywords>
  <cp:lastModifiedBy>Carlos Abaitua</cp:lastModifiedBy>
  <cp:revision>4</cp:revision>
  <cp:lastPrinted>2020-03-12T17:36:00Z</cp:lastPrinted>
  <dcterms:created xsi:type="dcterms:W3CDTF">2020-06-04T12:25:00Z</dcterms:created>
  <dcterms:modified xsi:type="dcterms:W3CDTF">2020-06-05T09:55:00Z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Fokion Fotiadis</vt:lpwstr>
  </property>
  <property fmtid="{D5CDD505-2E9C-101B-9397-08002B2CF9AE}" pid="10" name="Type">
    <vt:lpwstr>Eurolook Note &amp; Letter</vt:lpwstr>
  </property>
  <property fmtid="{D5CDD505-2E9C-101B-9397-08002B2CF9AE}" pid="11" name="Language">
    <vt:lpwstr>FR</vt:lpwstr>
  </property>
  <property fmtid="{D5CDD505-2E9C-101B-9397-08002B2CF9AE}" pid="12" name="EL_Language">
    <vt:lpwstr>FR</vt:lpwstr>
  </property>
</Properties>
</file>