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340B" w14:textId="04854359" w:rsidR="00351B3E" w:rsidRPr="00AA2D39" w:rsidRDefault="00351B3E" w:rsidP="00351B3E">
      <w:pPr>
        <w:widowControl w:val="0"/>
        <w:spacing w:after="240" w:line="240" w:lineRule="auto"/>
        <w:jc w:val="center"/>
        <w:rPr>
          <w:b/>
          <w:noProof/>
          <w:color w:val="1F4E79" w:themeColor="accent1" w:themeShade="80"/>
          <w:sz w:val="28"/>
          <w:szCs w:val="28"/>
        </w:rPr>
      </w:pPr>
      <w:bookmarkStart w:id="0" w:name="_GoBack"/>
      <w:bookmarkEnd w:id="0"/>
      <w:r>
        <w:rPr>
          <w:b/>
          <w:color w:val="1F4E79" w:themeColor="accent1" w:themeShade="80"/>
          <w:sz w:val="28"/>
          <w:szCs w:val="28"/>
        </w:rPr>
        <w:t>DG Asociaciones Internacionales</w:t>
      </w:r>
    </w:p>
    <w:p w14:paraId="6CD0CE9A" w14:textId="22292402" w:rsidR="00E606DB" w:rsidRPr="00AA2D39" w:rsidRDefault="00946C80" w:rsidP="00E606DB">
      <w:pPr>
        <w:jc w:val="center"/>
        <w:rPr>
          <w:b/>
          <w:noProof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Parte A — Autoevaluación de los solicitantes, cosolicitantes y entidades afiliadas en relación con su política y sus procedimientos internos contra la explotación, el abuso y el acoso sexuales</w:t>
      </w:r>
    </w:p>
    <w:tbl>
      <w:tblPr>
        <w:tblStyle w:val="TableGrid1"/>
        <w:tblW w:w="14283" w:type="dxa"/>
        <w:tblLook w:val="04A0" w:firstRow="1" w:lastRow="0" w:firstColumn="1" w:lastColumn="0" w:noHBand="0" w:noVBand="1"/>
      </w:tblPr>
      <w:tblGrid>
        <w:gridCol w:w="5001"/>
        <w:gridCol w:w="1178"/>
        <w:gridCol w:w="1021"/>
        <w:gridCol w:w="1022"/>
        <w:gridCol w:w="1207"/>
        <w:gridCol w:w="1236"/>
        <w:gridCol w:w="1016"/>
        <w:gridCol w:w="2602"/>
      </w:tblGrid>
      <w:tr w:rsidR="002352F8" w:rsidRPr="0074490D" w14:paraId="040784DA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3A33A464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Pregunta: ¿Cómo calificaría el nivel de cumplimiento de su organización en relación con los siguientes elementos?</w:t>
            </w:r>
          </w:p>
        </w:tc>
        <w:tc>
          <w:tcPr>
            <w:tcW w:w="1041" w:type="dxa"/>
            <w:shd w:val="clear" w:color="auto" w:fill="2E74B5"/>
          </w:tcPr>
          <w:p w14:paraId="6A3650EA" w14:textId="77777777" w:rsidR="002352F8" w:rsidRPr="0074490D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Excelente</w:t>
            </w:r>
          </w:p>
        </w:tc>
        <w:tc>
          <w:tcPr>
            <w:tcW w:w="1041" w:type="dxa"/>
            <w:shd w:val="clear" w:color="auto" w:fill="2E74B5"/>
          </w:tcPr>
          <w:p w14:paraId="40CB10E0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Muy bueno</w:t>
            </w:r>
          </w:p>
        </w:tc>
        <w:tc>
          <w:tcPr>
            <w:tcW w:w="1041" w:type="dxa"/>
            <w:shd w:val="clear" w:color="auto" w:fill="2E74B5"/>
          </w:tcPr>
          <w:p w14:paraId="4953427B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Bueno</w:t>
            </w:r>
          </w:p>
        </w:tc>
        <w:tc>
          <w:tcPr>
            <w:tcW w:w="1041" w:type="dxa"/>
            <w:shd w:val="clear" w:color="auto" w:fill="2E74B5"/>
          </w:tcPr>
          <w:p w14:paraId="1A2A521C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Suficiente</w:t>
            </w:r>
          </w:p>
        </w:tc>
        <w:tc>
          <w:tcPr>
            <w:tcW w:w="1041" w:type="dxa"/>
            <w:shd w:val="clear" w:color="auto" w:fill="2E74B5"/>
          </w:tcPr>
          <w:p w14:paraId="649CC573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Deficiente</w:t>
            </w:r>
          </w:p>
        </w:tc>
        <w:tc>
          <w:tcPr>
            <w:tcW w:w="1041" w:type="dxa"/>
            <w:shd w:val="clear" w:color="auto" w:fill="2E74B5"/>
          </w:tcPr>
          <w:p w14:paraId="6D4FBF57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No aplica</w:t>
            </w:r>
          </w:p>
        </w:tc>
        <w:tc>
          <w:tcPr>
            <w:tcW w:w="2733" w:type="dxa"/>
            <w:shd w:val="clear" w:color="auto" w:fill="2E74B5"/>
          </w:tcPr>
          <w:p w14:paraId="276C6265" w14:textId="77777777" w:rsidR="002352F8" w:rsidRDefault="002352F8" w:rsidP="00E80976">
            <w:pPr>
              <w:widowControl w:val="0"/>
              <w:spacing w:before="120" w:after="120" w:line="259" w:lineRule="auto"/>
              <w:jc w:val="center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Comentarios</w:t>
            </w:r>
          </w:p>
        </w:tc>
      </w:tr>
      <w:tr w:rsidR="002352F8" w:rsidRPr="0074490D" w14:paraId="3E6B14E3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2F804F9A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Normas éticas y deontológicas</w:t>
            </w:r>
          </w:p>
        </w:tc>
        <w:tc>
          <w:tcPr>
            <w:tcW w:w="1041" w:type="dxa"/>
            <w:shd w:val="clear" w:color="auto" w:fill="2E74B5"/>
          </w:tcPr>
          <w:p w14:paraId="687A877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3FAB7C6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30D060A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451882FE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58661713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5F9014B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357757AB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33335303" w14:textId="77777777" w:rsidTr="00E80976">
        <w:tc>
          <w:tcPr>
            <w:tcW w:w="5304" w:type="dxa"/>
          </w:tcPr>
          <w:p w14:paraId="2D0D132B" w14:textId="77777777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hAnsi="Calibri"/>
              </w:rPr>
              <w:t>La organización cuenta con una política y unos procedimientos contra la explotación, el abuso y el acoso sexuales.</w:t>
            </w:r>
          </w:p>
          <w:p w14:paraId="69A53621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  <w:noProof/>
                <w:lang w:eastAsia="en-IE"/>
              </w:rPr>
            </w:pPr>
          </w:p>
        </w:tc>
        <w:tc>
          <w:tcPr>
            <w:tcW w:w="1041" w:type="dxa"/>
          </w:tcPr>
          <w:p w14:paraId="021A843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E4E8E2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36B0C1D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36094B1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D939AF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2AC99C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72940290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598F33F9" w14:textId="77777777" w:rsidTr="00E80976">
        <w:tc>
          <w:tcPr>
            <w:tcW w:w="5304" w:type="dxa"/>
            <w:tcBorders>
              <w:bottom w:val="single" w:sz="4" w:space="0" w:color="auto"/>
            </w:tcBorders>
          </w:tcPr>
          <w:p w14:paraId="530467F1" w14:textId="6F69ACF4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La política y los procedimientos contienen detalles de las disposiciones sobre investigación y medidas disciplinarias en caso de infracción conforme a la legislación aplicable, incluidas las decisiones de la dirección y las investigaciones.</w:t>
            </w:r>
          </w:p>
          <w:p w14:paraId="6B1457D3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067A1A3D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54D4EE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1D7FAD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5BEA93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E6DF1F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AE8E59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13BD205C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30E92AFB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65C9CD64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b/>
                <w:color w:val="FFFFFF" w:themeColor="background1"/>
              </w:rPr>
              <w:t>Enfoque centrado en los supervivientes</w:t>
            </w:r>
          </w:p>
        </w:tc>
        <w:tc>
          <w:tcPr>
            <w:tcW w:w="1041" w:type="dxa"/>
            <w:shd w:val="clear" w:color="auto" w:fill="2E74B5"/>
          </w:tcPr>
          <w:p w14:paraId="09D971CA" w14:textId="77777777" w:rsidR="002352F8" w:rsidRPr="001D46D6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75EEFA8B" w14:textId="77777777" w:rsidR="002352F8" w:rsidRPr="001D46D6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6C0E8E1F" w14:textId="77777777" w:rsidR="002352F8" w:rsidRPr="001D46D6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56F1D32" w14:textId="77777777" w:rsidR="002352F8" w:rsidRPr="001D46D6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12BFCA3A" w14:textId="77777777" w:rsidR="002352F8" w:rsidRPr="001D46D6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62BDDC59" w14:textId="77777777" w:rsidR="002352F8" w:rsidRPr="001D46D6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28BB34E6" w14:textId="77777777" w:rsidR="002352F8" w:rsidRPr="001D46D6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eastAsia="en-IE"/>
              </w:rPr>
            </w:pPr>
          </w:p>
        </w:tc>
      </w:tr>
      <w:tr w:rsidR="002352F8" w:rsidRPr="0074490D" w14:paraId="0EFB9C12" w14:textId="77777777" w:rsidTr="00E80976">
        <w:tc>
          <w:tcPr>
            <w:tcW w:w="5304" w:type="dxa"/>
          </w:tcPr>
          <w:p w14:paraId="7C22A756" w14:textId="77777777" w:rsidR="002352F8" w:rsidRPr="0074490D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>
              <w:t xml:space="preserve">La organización tiene un enfoque centrado en los supervivientes en el que estos reciben apoyo a lo largo de todo el proceso y sus experiencias, derechos y necesidades ocupan </w:t>
            </w:r>
            <w:r>
              <w:lastRenderedPageBreak/>
              <w:t>un lugar central.</w:t>
            </w:r>
          </w:p>
          <w:p w14:paraId="587A8B5F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041A28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105589C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65250F7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9CE59C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C5757E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DD3F14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66DB87F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3C9E4973" w14:textId="77777777" w:rsidTr="00E80976">
        <w:tc>
          <w:tcPr>
            <w:tcW w:w="5304" w:type="dxa"/>
          </w:tcPr>
          <w:p w14:paraId="659F1EC0" w14:textId="7698C869" w:rsidR="002352F8" w:rsidRDefault="002352F8" w:rsidP="00516CA0">
            <w:pPr>
              <w:widowControl w:val="0"/>
              <w:numPr>
                <w:ilvl w:val="0"/>
                <w:numId w:val="3"/>
              </w:numPr>
              <w:spacing w:before="120" w:after="120"/>
              <w:contextualSpacing/>
              <w:rPr>
                <w:rFonts w:cstheme="minorHAnsi"/>
              </w:rPr>
            </w:pPr>
            <w:r>
              <w:t>La organización tiene un punto de contacto (con las siguientes tareas:  prevenir la explotación, el abuso y el acoso sexuales; responder a las necesidades de los supervivientes; realizar labores de notificación interna) especializado en la explotación, el abuso y el acoso sexuales.</w:t>
            </w:r>
          </w:p>
          <w:p w14:paraId="246B9F24" w14:textId="77777777" w:rsidR="002352F8" w:rsidRPr="00AA2D39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041" w:type="dxa"/>
          </w:tcPr>
          <w:p w14:paraId="4FC4F76D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254F82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0C0A4B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97B00C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EDAA4E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4F4B8A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7B5D129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0316478B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1F74958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b/>
                <w:color w:val="FFFFFF" w:themeColor="background1"/>
              </w:rPr>
              <w:t>Estructuras internas de notificación</w:t>
            </w:r>
          </w:p>
        </w:tc>
        <w:tc>
          <w:tcPr>
            <w:tcW w:w="1041" w:type="dxa"/>
            <w:shd w:val="clear" w:color="auto" w:fill="2E74B5"/>
          </w:tcPr>
          <w:p w14:paraId="5698F9D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45B6785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43462E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68C2E69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18155BA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669772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170DAF9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30C05332" w14:textId="77777777" w:rsidTr="00E80976">
        <w:tc>
          <w:tcPr>
            <w:tcW w:w="5304" w:type="dxa"/>
          </w:tcPr>
          <w:p w14:paraId="08C35380" w14:textId="1F131BB5" w:rsidR="002352F8" w:rsidRPr="0074490D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ascii="Calibri" w:eastAsia="Calibri" w:hAnsi="Calibri" w:cs="Calibri"/>
              </w:rPr>
            </w:pPr>
            <w:r>
              <w:t>La política y los procedimientos contra la explotación, el abuso y el acoso sexuales indican que todo el personal tiene la responsabilidad de comunicar ese tipo de incidentes al punto de contacto. El punto de contacto sigue normas y procedimientos internos específicos para implicar a los altos directivos y a los consejos ejecutivos.</w:t>
            </w:r>
          </w:p>
          <w:p w14:paraId="48670B3A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3426839B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493B02B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0DA39CF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EE8B26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01040E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A97B08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385BB1CA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5E23A92A" w14:textId="77777777" w:rsidTr="00E80976">
        <w:tc>
          <w:tcPr>
            <w:tcW w:w="5304" w:type="dxa"/>
          </w:tcPr>
          <w:p w14:paraId="5D448392" w14:textId="1DE6DB2E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cstheme="minorHAnsi"/>
              </w:rPr>
            </w:pPr>
            <w:r>
              <w:t xml:space="preserve">Los mecanismos internos de notificación son sencillos, claros, fácilmente accesibles y adecuados al contexto, y son de sobra conocidos entre el personal, los socios, los beneficiarios, etc. Este mecanismo centrado en las víctimas incluirá características como </w:t>
            </w:r>
            <w:r>
              <w:lastRenderedPageBreak/>
              <w:t xml:space="preserve">un buzón funcional, una línea directa, un punto de contacto o un canal de denuncia de irregularidades. Además, este mecanismo deberá diseñarse para dar cabida a medidas adaptadas a las personas con discapacidad y a los niños. </w:t>
            </w:r>
          </w:p>
          <w:p w14:paraId="28787326" w14:textId="77777777" w:rsidR="002352F8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041" w:type="dxa"/>
          </w:tcPr>
          <w:p w14:paraId="2FE63CF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EBE9AFD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614CB70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716363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A2B08C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FFC1BCC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75C33DB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5AD12DCD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191D8AB3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b/>
                <w:color w:val="FFFFFF" w:themeColor="background1"/>
              </w:rPr>
              <w:t>Responsabilidad y transparencia</w:t>
            </w:r>
          </w:p>
        </w:tc>
        <w:tc>
          <w:tcPr>
            <w:tcW w:w="1041" w:type="dxa"/>
            <w:shd w:val="clear" w:color="auto" w:fill="2E74B5"/>
          </w:tcPr>
          <w:p w14:paraId="1D5EB1B9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54D4BEA1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0A1F7B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60A8D70F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484F4167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238CE164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6EAF6C0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27B049F4" w14:textId="77777777" w:rsidTr="00E80976">
        <w:tc>
          <w:tcPr>
            <w:tcW w:w="5304" w:type="dxa"/>
          </w:tcPr>
          <w:p w14:paraId="25D6EDB6" w14:textId="67DF85BC" w:rsidR="002352F8" w:rsidRPr="0074490D" w:rsidRDefault="002352F8" w:rsidP="006309D6">
            <w:pPr>
              <w:widowControl w:val="0"/>
              <w:numPr>
                <w:ilvl w:val="0"/>
                <w:numId w:val="3"/>
              </w:numPr>
              <w:spacing w:before="120" w:after="120"/>
              <w:contextualSpacing/>
              <w:rPr>
                <w:rFonts w:ascii="Calibri" w:eastAsia="Calibri" w:hAnsi="Calibri" w:cs="Calibri"/>
              </w:rPr>
            </w:pPr>
            <w:r>
              <w:t xml:space="preserve">La organización cuenta con procesos sólidos de selección de personal y prácticas laborales que afrontan y gestionan el riesgo de explotación, acoso y abuso sexuales y ofrecen garantías razonables de que se han tomado precauciones al respecto, como la solicitud de un certificado de antecedentes penales reciente a los candidatos, la realización de controles de verificación y procedimientos de solicitud de referencias (para encarar el problema específico que plantean los abusos sexuales conocidos ocurridos en distintas agencias humanitarias y de desarrollo y se desplazan entre ellas), lo que confirma la ausencia de incidentes relacionados con la explotación, el acoso y los abusos sexuales en empleos anteriores. </w:t>
            </w:r>
          </w:p>
          <w:p w14:paraId="416A2999" w14:textId="77777777" w:rsidR="002352F8" w:rsidRPr="0074490D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0CA9B3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7B05AA7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639286D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74AEB1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60290800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124C88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1B2CFB4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7AFEFA31" w14:textId="77777777" w:rsidTr="00E80976">
        <w:tc>
          <w:tcPr>
            <w:tcW w:w="5304" w:type="dxa"/>
          </w:tcPr>
          <w:p w14:paraId="3111DED9" w14:textId="77777777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cstheme="minorHAnsi"/>
              </w:rPr>
            </w:pPr>
            <w:r>
              <w:t>La organización dispone de unos procedimientos estándar de trabajo, que implican rendición de cuentas, para tratar las acusaciones y denuncias de explotación, acoso y abusos sexuales, como la observancia del principio de respeto de las garantías procesales dando prioridad a la seguridad de los supervivientes y salvaguardando la identidad de las personas implicadas; limitando el intercambio de información sobre la base de la necesidad de conocer, y documentando cada reclamación/incidente y las medidas de seguimiento conexas, como las acciones de investigación y correctoras.</w:t>
            </w:r>
          </w:p>
          <w:p w14:paraId="159EF012" w14:textId="77777777" w:rsidR="002352F8" w:rsidRPr="00AA2D39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041" w:type="dxa"/>
          </w:tcPr>
          <w:p w14:paraId="0D6C8FB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8D273FE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CB88B3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2EC0F8A6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3C0FB8F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4237D291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7295E1A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2352F8" w:rsidRPr="0074490D" w14:paraId="46B35068" w14:textId="77777777" w:rsidTr="00E80976">
        <w:trPr>
          <w:trHeight w:val="480"/>
        </w:trPr>
        <w:tc>
          <w:tcPr>
            <w:tcW w:w="5304" w:type="dxa"/>
            <w:shd w:val="clear" w:color="auto" w:fill="2E74B5"/>
          </w:tcPr>
          <w:p w14:paraId="22D115ED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</w:rPr>
            </w:pPr>
            <w:r>
              <w:rPr>
                <w:b/>
                <w:color w:val="FFFFFF" w:themeColor="background1"/>
              </w:rPr>
              <w:t>Formación y concienciación</w:t>
            </w:r>
          </w:p>
        </w:tc>
        <w:tc>
          <w:tcPr>
            <w:tcW w:w="1041" w:type="dxa"/>
            <w:shd w:val="clear" w:color="auto" w:fill="2E74B5"/>
          </w:tcPr>
          <w:p w14:paraId="4A42DCC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021C49D6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1249492C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2088D9D5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3D197760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1041" w:type="dxa"/>
            <w:shd w:val="clear" w:color="auto" w:fill="2E74B5"/>
          </w:tcPr>
          <w:p w14:paraId="15058428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  <w:tc>
          <w:tcPr>
            <w:tcW w:w="2733" w:type="dxa"/>
            <w:shd w:val="clear" w:color="auto" w:fill="2E74B5"/>
          </w:tcPr>
          <w:p w14:paraId="0FABA3B0" w14:textId="77777777" w:rsidR="002352F8" w:rsidRPr="0074490D" w:rsidRDefault="002352F8" w:rsidP="00E80976">
            <w:pPr>
              <w:widowControl w:val="0"/>
              <w:spacing w:before="120" w:after="120" w:line="259" w:lineRule="auto"/>
              <w:rPr>
                <w:rFonts w:ascii="Calibri" w:eastAsia="Calibri" w:hAnsi="Calibri" w:cs="Calibri"/>
                <w:b/>
                <w:noProof/>
                <w:color w:val="FFFFFF"/>
                <w:lang w:val="en-IE" w:eastAsia="en-IE"/>
              </w:rPr>
            </w:pPr>
          </w:p>
        </w:tc>
      </w:tr>
      <w:tr w:rsidR="002352F8" w:rsidRPr="0074490D" w14:paraId="34C5EC3C" w14:textId="77777777" w:rsidTr="00E80976">
        <w:tc>
          <w:tcPr>
            <w:tcW w:w="5304" w:type="dxa"/>
          </w:tcPr>
          <w:p w14:paraId="68208BD5" w14:textId="77777777" w:rsidR="002352F8" w:rsidRDefault="002352F8" w:rsidP="002352F8">
            <w:pPr>
              <w:widowControl w:val="0"/>
              <w:numPr>
                <w:ilvl w:val="0"/>
                <w:numId w:val="3"/>
              </w:numPr>
              <w:spacing w:before="120" w:after="120"/>
              <w:ind w:left="284" w:hanging="284"/>
              <w:contextualSpacing/>
              <w:rPr>
                <w:rFonts w:cstheme="minorHAnsi"/>
              </w:rPr>
            </w:pPr>
            <w:r>
              <w:t>La organización imparte una formación obligatoria sobre la política contra la explotación, el acoso y los abusos sexuales a la que pueden acceder todos los miembros del personal.</w:t>
            </w:r>
          </w:p>
          <w:p w14:paraId="43A1535B" w14:textId="77777777" w:rsidR="002352F8" w:rsidRPr="00AA2D39" w:rsidRDefault="002352F8" w:rsidP="00E80976">
            <w:pPr>
              <w:widowControl w:val="0"/>
              <w:spacing w:before="120" w:after="120"/>
              <w:ind w:left="284"/>
              <w:contextualSpacing/>
              <w:rPr>
                <w:rFonts w:cstheme="minorHAnsi"/>
              </w:rPr>
            </w:pPr>
          </w:p>
        </w:tc>
        <w:tc>
          <w:tcPr>
            <w:tcW w:w="1041" w:type="dxa"/>
          </w:tcPr>
          <w:p w14:paraId="1F078FE5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02802C3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9FE99A8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75978F4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1E82165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F9F0022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11D508F9" w14:textId="77777777" w:rsidR="002352F8" w:rsidRPr="0074490D" w:rsidRDefault="002352F8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  <w:tr w:rsidR="00936D1E" w:rsidRPr="0074490D" w14:paraId="0B30A0C6" w14:textId="77777777" w:rsidTr="00E80976">
        <w:tc>
          <w:tcPr>
            <w:tcW w:w="5304" w:type="dxa"/>
          </w:tcPr>
          <w:p w14:paraId="5DE1BA7F" w14:textId="56552704" w:rsidR="00936D1E" w:rsidRPr="00AA2D39" w:rsidRDefault="006309D6" w:rsidP="001D46D6">
            <w:pPr>
              <w:widowControl w:val="0"/>
              <w:numPr>
                <w:ilvl w:val="0"/>
                <w:numId w:val="3"/>
              </w:numPr>
              <w:spacing w:before="120" w:after="120"/>
              <w:ind w:left="426" w:hanging="426"/>
              <w:contextualSpacing/>
              <w:rPr>
                <w:rFonts w:cstheme="minorHAnsi"/>
              </w:rPr>
            </w:pPr>
            <w:r>
              <w:t xml:space="preserve">Periódicamente se envían a todos los miembros del personal recordatorios (repasos de las formaciones, correos electrónicos, informes anuales, etc.) sobre las normas éticas y relativas a la explotación, el acoso y el abuso sexuales identificadas, aplicadas y supervisadas.  </w:t>
            </w:r>
          </w:p>
        </w:tc>
        <w:tc>
          <w:tcPr>
            <w:tcW w:w="1041" w:type="dxa"/>
          </w:tcPr>
          <w:p w14:paraId="37BC9159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5820DCCC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7FC3534D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35F9EF9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6625C73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041" w:type="dxa"/>
          </w:tcPr>
          <w:p w14:paraId="06815EC7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733" w:type="dxa"/>
          </w:tcPr>
          <w:p w14:paraId="2C1DB835" w14:textId="77777777" w:rsidR="00936D1E" w:rsidRPr="0074490D" w:rsidRDefault="00936D1E" w:rsidP="00E80976">
            <w:pPr>
              <w:widowControl w:val="0"/>
              <w:spacing w:before="120" w:after="120"/>
              <w:contextualSpacing/>
              <w:rPr>
                <w:rFonts w:ascii="Calibri" w:eastAsia="Calibri" w:hAnsi="Calibri" w:cs="Calibri"/>
              </w:rPr>
            </w:pPr>
          </w:p>
        </w:tc>
      </w:tr>
    </w:tbl>
    <w:p w14:paraId="4BD4890B" w14:textId="77777777" w:rsidR="009F547C" w:rsidRDefault="008B7DE6" w:rsidP="009F547C">
      <w:pPr>
        <w:rPr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Organizaciones</w:t>
      </w:r>
      <w:r>
        <w:rPr>
          <w:color w:val="FFFFFF" w:themeColor="background1"/>
          <w:sz w:val="26"/>
          <w:szCs w:val="26"/>
        </w:rPr>
        <w:t xml:space="preserve"> </w:t>
      </w:r>
    </w:p>
    <w:p w14:paraId="339A43A3" w14:textId="450BEF0E" w:rsidR="00A812F6" w:rsidRDefault="00A812F6" w:rsidP="00495456">
      <w:pPr>
        <w:spacing w:after="240" w:line="240" w:lineRule="auto"/>
        <w:rPr>
          <w:b/>
        </w:rPr>
      </w:pPr>
    </w:p>
    <w:p w14:paraId="27B67E9F" w14:textId="6E524A50" w:rsidR="00495456" w:rsidRDefault="00495456" w:rsidP="009F547C">
      <w:pPr>
        <w:rPr>
          <w:b/>
        </w:rPr>
      </w:pPr>
    </w:p>
    <w:p w14:paraId="65F9DEBD" w14:textId="0ABE0ADB" w:rsidR="00946C80" w:rsidRPr="000F00DB" w:rsidRDefault="00946C80" w:rsidP="009F547C">
      <w:pPr>
        <w:rPr>
          <w:b/>
        </w:rPr>
      </w:pPr>
      <w:r>
        <w:rPr>
          <w:b/>
          <w:color w:val="1F4E79" w:themeColor="accent1" w:themeShade="80"/>
          <w:sz w:val="28"/>
          <w:szCs w:val="28"/>
        </w:rPr>
        <w:t>Parte B — Lista de medidas previstas para mejorar la política contra la explotación, el acoso y los abusos sexuales, si las hubiera.</w:t>
      </w:r>
    </w:p>
    <w:sectPr w:rsidR="00946C80" w:rsidRPr="000F00DB" w:rsidSect="00AA2D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7DE9" w14:textId="77777777" w:rsidR="00A40E49" w:rsidRDefault="00A40E49" w:rsidP="008D5F88">
      <w:pPr>
        <w:spacing w:after="0" w:line="240" w:lineRule="auto"/>
      </w:pPr>
      <w:r>
        <w:separator/>
      </w:r>
    </w:p>
  </w:endnote>
  <w:endnote w:type="continuationSeparator" w:id="0">
    <w:p w14:paraId="20460E04" w14:textId="77777777" w:rsidR="00A40E49" w:rsidRDefault="00A40E49" w:rsidP="008D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AD9A" w14:textId="77777777" w:rsidR="0091191B" w:rsidRDefault="0091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52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BDC92" w14:textId="0CDF520E" w:rsidR="008F26B5" w:rsidRDefault="008F26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B65">
          <w:rPr>
            <w:noProof/>
          </w:rPr>
          <w:t>1</w:t>
        </w:r>
        <w:r>
          <w:fldChar w:fldCharType="end"/>
        </w:r>
      </w:p>
    </w:sdtContent>
  </w:sdt>
  <w:p w14:paraId="6F8978F2" w14:textId="480607E2" w:rsidR="008F26B5" w:rsidRDefault="00433FD8">
    <w:pPr>
      <w:pStyle w:val="Footer"/>
    </w:pPr>
    <w:r>
      <w:rPr>
        <w:b/>
        <w:snapToGrid w:val="0"/>
        <w:sz w:val="18"/>
      </w:rPr>
      <w:t>Dic</w:t>
    </w:r>
    <w:r w:rsidR="00B57AD4">
      <w:rPr>
        <w:b/>
        <w:snapToGrid w:val="0"/>
        <w:sz w:val="18"/>
      </w:rPr>
      <w:t>iembre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C817" w14:textId="77777777" w:rsidR="0091191B" w:rsidRDefault="0091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4C9DC" w14:textId="77777777" w:rsidR="00A40E49" w:rsidRDefault="00A40E49" w:rsidP="008D5F88">
      <w:pPr>
        <w:spacing w:after="0" w:line="240" w:lineRule="auto"/>
      </w:pPr>
      <w:r>
        <w:separator/>
      </w:r>
    </w:p>
  </w:footnote>
  <w:footnote w:type="continuationSeparator" w:id="0">
    <w:p w14:paraId="34B0DCE8" w14:textId="77777777" w:rsidR="00A40E49" w:rsidRDefault="00A40E49" w:rsidP="008D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FC56" w14:textId="77777777" w:rsidR="0091191B" w:rsidRDefault="0091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2CA" w14:textId="77777777" w:rsidR="008D5F88" w:rsidRDefault="008F26B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0048" behindDoc="0" locked="0" layoutInCell="1" allowOverlap="1" wp14:anchorId="2FA888A4" wp14:editId="5EB47B81">
          <wp:simplePos x="0" y="0"/>
          <wp:positionH relativeFrom="column">
            <wp:posOffset>3399790</wp:posOffset>
          </wp:positionH>
          <wp:positionV relativeFrom="page">
            <wp:posOffset>486410</wp:posOffset>
          </wp:positionV>
          <wp:extent cx="1694815" cy="1310640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44928" behindDoc="0" locked="0" layoutInCell="1" allowOverlap="1" wp14:anchorId="52D83B7C" wp14:editId="4C6EF1F7">
          <wp:simplePos x="0" y="0"/>
          <wp:positionH relativeFrom="column">
            <wp:posOffset>-900429</wp:posOffset>
          </wp:positionH>
          <wp:positionV relativeFrom="paragraph">
            <wp:posOffset>-450215</wp:posOffset>
          </wp:positionV>
          <wp:extent cx="10058400" cy="11708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0019" cy="1179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21A1" w14:textId="77777777" w:rsidR="0091191B" w:rsidRDefault="0091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1E45"/>
    <w:multiLevelType w:val="hybridMultilevel"/>
    <w:tmpl w:val="198EE708"/>
    <w:lvl w:ilvl="0" w:tplc="033EB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359A8"/>
    <w:multiLevelType w:val="hybridMultilevel"/>
    <w:tmpl w:val="609EF50C"/>
    <w:lvl w:ilvl="0" w:tplc="4412B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B0A2D"/>
    <w:multiLevelType w:val="hybridMultilevel"/>
    <w:tmpl w:val="0942A404"/>
    <w:lvl w:ilvl="0" w:tplc="1A3006F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7CA4636E"/>
    <w:multiLevelType w:val="hybridMultilevel"/>
    <w:tmpl w:val="94A06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5F88"/>
    <w:rsid w:val="000071EC"/>
    <w:rsid w:val="00055802"/>
    <w:rsid w:val="000F00DB"/>
    <w:rsid w:val="00144671"/>
    <w:rsid w:val="0015305D"/>
    <w:rsid w:val="001C6476"/>
    <w:rsid w:val="001D46D6"/>
    <w:rsid w:val="002352F8"/>
    <w:rsid w:val="002419C3"/>
    <w:rsid w:val="00297817"/>
    <w:rsid w:val="002A7D57"/>
    <w:rsid w:val="002D20B9"/>
    <w:rsid w:val="002F31EC"/>
    <w:rsid w:val="003117AB"/>
    <w:rsid w:val="00344511"/>
    <w:rsid w:val="00351B3E"/>
    <w:rsid w:val="00390D69"/>
    <w:rsid w:val="00390E03"/>
    <w:rsid w:val="003A26E8"/>
    <w:rsid w:val="003A3F92"/>
    <w:rsid w:val="003F2860"/>
    <w:rsid w:val="003F409C"/>
    <w:rsid w:val="00417BA0"/>
    <w:rsid w:val="00433FD8"/>
    <w:rsid w:val="0046109E"/>
    <w:rsid w:val="00461A53"/>
    <w:rsid w:val="00495456"/>
    <w:rsid w:val="004A5FF6"/>
    <w:rsid w:val="004F32BC"/>
    <w:rsid w:val="00516CA0"/>
    <w:rsid w:val="005954E3"/>
    <w:rsid w:val="005C2D44"/>
    <w:rsid w:val="005D33F6"/>
    <w:rsid w:val="0061315C"/>
    <w:rsid w:val="00621512"/>
    <w:rsid w:val="006309D6"/>
    <w:rsid w:val="006338D7"/>
    <w:rsid w:val="00641BFB"/>
    <w:rsid w:val="00685AB8"/>
    <w:rsid w:val="006D19C7"/>
    <w:rsid w:val="0077137E"/>
    <w:rsid w:val="00776F15"/>
    <w:rsid w:val="007D0DFE"/>
    <w:rsid w:val="00830602"/>
    <w:rsid w:val="00841E99"/>
    <w:rsid w:val="00850B65"/>
    <w:rsid w:val="008B43F3"/>
    <w:rsid w:val="008B7DE6"/>
    <w:rsid w:val="008C050C"/>
    <w:rsid w:val="008D3FB3"/>
    <w:rsid w:val="008D5F88"/>
    <w:rsid w:val="008D6B18"/>
    <w:rsid w:val="008F1EAD"/>
    <w:rsid w:val="008F26B5"/>
    <w:rsid w:val="0091191B"/>
    <w:rsid w:val="00927006"/>
    <w:rsid w:val="00936D1E"/>
    <w:rsid w:val="00946C80"/>
    <w:rsid w:val="009E4553"/>
    <w:rsid w:val="009F547C"/>
    <w:rsid w:val="00A2036D"/>
    <w:rsid w:val="00A35494"/>
    <w:rsid w:val="00A40E49"/>
    <w:rsid w:val="00A43A3B"/>
    <w:rsid w:val="00A812F6"/>
    <w:rsid w:val="00A87D66"/>
    <w:rsid w:val="00A92868"/>
    <w:rsid w:val="00A97881"/>
    <w:rsid w:val="00AA2D39"/>
    <w:rsid w:val="00AB312E"/>
    <w:rsid w:val="00AD75EE"/>
    <w:rsid w:val="00AF6B7C"/>
    <w:rsid w:val="00B23F20"/>
    <w:rsid w:val="00B57AD4"/>
    <w:rsid w:val="00B9549B"/>
    <w:rsid w:val="00BC4DC5"/>
    <w:rsid w:val="00BD4689"/>
    <w:rsid w:val="00BE05F2"/>
    <w:rsid w:val="00C53C1E"/>
    <w:rsid w:val="00C8547E"/>
    <w:rsid w:val="00CD15D3"/>
    <w:rsid w:val="00D237F8"/>
    <w:rsid w:val="00E1186E"/>
    <w:rsid w:val="00E23211"/>
    <w:rsid w:val="00E606DB"/>
    <w:rsid w:val="00EF32BD"/>
    <w:rsid w:val="00F15873"/>
    <w:rsid w:val="00F2251E"/>
    <w:rsid w:val="00F33777"/>
    <w:rsid w:val="00F4069B"/>
    <w:rsid w:val="00F4572A"/>
    <w:rsid w:val="00F71E50"/>
    <w:rsid w:val="00FB33A0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11B01D4"/>
  <w15:chartTrackingRefBased/>
  <w15:docId w15:val="{508EC893-0E37-4288-A32D-FE3D9103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F88"/>
  </w:style>
  <w:style w:type="paragraph" w:styleId="Footer">
    <w:name w:val="footer"/>
    <w:basedOn w:val="Normal"/>
    <w:link w:val="FooterChar"/>
    <w:uiPriority w:val="99"/>
    <w:unhideWhenUsed/>
    <w:rsid w:val="008D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F88"/>
  </w:style>
  <w:style w:type="table" w:customStyle="1" w:styleId="TableGrid1">
    <w:name w:val="Table Grid1"/>
    <w:basedOn w:val="TableNormal"/>
    <w:next w:val="TableGrid"/>
    <w:uiPriority w:val="39"/>
    <w:rsid w:val="009F547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6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15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C843-636B-45DC-87F0-6385DEC6BD1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C77DC9-9984-4052-899A-3ED607D28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F1D60-23D9-41B2-840B-2F9950D79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0C2DF-F99F-4FE0-855E-52E3518C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NERISANU Alexandra (EEAS-CARACAS)</cp:lastModifiedBy>
  <cp:revision>2</cp:revision>
  <dcterms:created xsi:type="dcterms:W3CDTF">2022-03-10T22:49:00Z</dcterms:created>
  <dcterms:modified xsi:type="dcterms:W3CDTF">2022-03-10T22:49:00Z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IsMyDocuments">
    <vt:bool>true</vt:bool>
  </property>
</Properties>
</file>