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D37" w:rsidRDefault="00247D37" w:rsidP="002E44C2">
      <w:pPr>
        <w:spacing w:before="240" w:after="240" w:line="360" w:lineRule="auto"/>
        <w:ind w:right="-23"/>
        <w:jc w:val="center"/>
        <w:rPr>
          <w:rFonts w:ascii="Arial" w:hAnsi="Arial" w:cs="Arial"/>
          <w:b/>
          <w:sz w:val="28"/>
          <w:szCs w:val="28"/>
        </w:rPr>
      </w:pPr>
      <w:bookmarkStart w:id="0" w:name="_GoBack"/>
      <w:bookmarkEnd w:id="0"/>
    </w:p>
    <w:p w:rsidR="00D735ED" w:rsidRDefault="00D735ED" w:rsidP="002E44C2">
      <w:pPr>
        <w:spacing w:before="240" w:after="240" w:line="360" w:lineRule="auto"/>
        <w:ind w:right="-23"/>
        <w:jc w:val="center"/>
        <w:rPr>
          <w:rFonts w:ascii="Arial" w:hAnsi="Arial" w:cs="Arial"/>
          <w:b/>
          <w:sz w:val="28"/>
          <w:szCs w:val="28"/>
        </w:rPr>
      </w:pPr>
      <w:r>
        <w:rPr>
          <w:rFonts w:ascii="Arial" w:hAnsi="Arial" w:cs="Arial"/>
          <w:b/>
          <w:sz w:val="28"/>
          <w:szCs w:val="28"/>
        </w:rPr>
        <w:t>THE FIVE PRESIDENTS</w:t>
      </w:r>
      <w:r w:rsidR="000622C3">
        <w:rPr>
          <w:rFonts w:ascii="Arial" w:hAnsi="Arial" w:cs="Arial"/>
          <w:b/>
          <w:sz w:val="28"/>
          <w:szCs w:val="28"/>
        </w:rPr>
        <w:t>’</w:t>
      </w:r>
      <w:r>
        <w:rPr>
          <w:rFonts w:ascii="Arial" w:hAnsi="Arial" w:cs="Arial"/>
          <w:b/>
          <w:sz w:val="28"/>
          <w:szCs w:val="28"/>
        </w:rPr>
        <w:t xml:space="preserve"> REPORT:</w:t>
      </w:r>
    </w:p>
    <w:p w:rsidR="00A609B3" w:rsidRDefault="00AF1039" w:rsidP="002E44C2">
      <w:pPr>
        <w:tabs>
          <w:tab w:val="left" w:pos="8827"/>
        </w:tabs>
        <w:spacing w:before="240" w:after="240" w:line="360" w:lineRule="auto"/>
        <w:jc w:val="center"/>
        <w:rPr>
          <w:rFonts w:ascii="Arial" w:hAnsi="Arial" w:cs="Arial"/>
          <w:b/>
          <w:sz w:val="28"/>
          <w:szCs w:val="28"/>
        </w:rPr>
      </w:pPr>
      <w:r w:rsidRPr="00AF1039">
        <w:rPr>
          <w:rFonts w:ascii="Arial" w:hAnsi="Arial" w:cs="Arial"/>
          <w:b/>
          <w:sz w:val="28"/>
          <w:szCs w:val="28"/>
        </w:rPr>
        <w:t>A</w:t>
      </w:r>
      <w:r>
        <w:rPr>
          <w:rFonts w:ascii="Arial" w:hAnsi="Arial" w:cs="Arial"/>
          <w:b/>
          <w:sz w:val="28"/>
          <w:szCs w:val="28"/>
        </w:rPr>
        <w:t>N</w:t>
      </w:r>
      <w:r w:rsidRPr="00AF1039">
        <w:rPr>
          <w:rFonts w:ascii="Arial" w:hAnsi="Arial" w:cs="Arial"/>
          <w:b/>
          <w:sz w:val="28"/>
          <w:szCs w:val="28"/>
        </w:rPr>
        <w:t xml:space="preserve"> </w:t>
      </w:r>
      <w:r>
        <w:rPr>
          <w:rFonts w:ascii="Arial" w:hAnsi="Arial" w:cs="Arial"/>
          <w:b/>
          <w:sz w:val="28"/>
          <w:szCs w:val="28"/>
        </w:rPr>
        <w:t>ASSESSMENT</w:t>
      </w:r>
      <w:r w:rsidRPr="00AF1039">
        <w:rPr>
          <w:rFonts w:ascii="Arial" w:hAnsi="Arial" w:cs="Arial"/>
          <w:b/>
          <w:sz w:val="28"/>
          <w:szCs w:val="28"/>
        </w:rPr>
        <w:t xml:space="preserve"> </w:t>
      </w:r>
      <w:r>
        <w:rPr>
          <w:rFonts w:ascii="Arial" w:hAnsi="Arial" w:cs="Arial"/>
          <w:b/>
          <w:sz w:val="28"/>
          <w:szCs w:val="28"/>
        </w:rPr>
        <w:t>OF THE</w:t>
      </w:r>
      <w:r w:rsidRPr="00AF1039">
        <w:rPr>
          <w:rFonts w:ascii="Arial" w:hAnsi="Arial" w:cs="Arial"/>
          <w:b/>
          <w:sz w:val="28"/>
          <w:szCs w:val="28"/>
        </w:rPr>
        <w:t xml:space="preserve"> </w:t>
      </w:r>
      <w:r>
        <w:rPr>
          <w:rFonts w:ascii="Arial" w:hAnsi="Arial" w:cs="Arial"/>
          <w:b/>
          <w:sz w:val="28"/>
          <w:szCs w:val="28"/>
        </w:rPr>
        <w:t>MEASURES PROPOSED</w:t>
      </w:r>
      <w:r w:rsidRPr="00AF1039">
        <w:rPr>
          <w:rFonts w:ascii="Arial" w:hAnsi="Arial" w:cs="Arial"/>
          <w:b/>
          <w:sz w:val="28"/>
          <w:szCs w:val="28"/>
        </w:rPr>
        <w:t xml:space="preserve"> </w:t>
      </w:r>
      <w:r>
        <w:rPr>
          <w:rFonts w:ascii="Arial" w:hAnsi="Arial" w:cs="Arial"/>
          <w:b/>
          <w:sz w:val="28"/>
          <w:szCs w:val="28"/>
        </w:rPr>
        <w:t>TO COMPLETE</w:t>
      </w:r>
      <w:r w:rsidRPr="00AF1039">
        <w:rPr>
          <w:rFonts w:ascii="Arial" w:hAnsi="Arial" w:cs="Arial"/>
          <w:b/>
          <w:sz w:val="28"/>
          <w:szCs w:val="28"/>
        </w:rPr>
        <w:t xml:space="preserve"> </w:t>
      </w:r>
      <w:r>
        <w:rPr>
          <w:rFonts w:ascii="Arial" w:hAnsi="Arial" w:cs="Arial"/>
          <w:b/>
          <w:sz w:val="28"/>
          <w:szCs w:val="28"/>
        </w:rPr>
        <w:t>EUROPE</w:t>
      </w:r>
      <w:r w:rsidR="000E1611">
        <w:rPr>
          <w:rFonts w:ascii="Arial" w:hAnsi="Arial" w:cs="Arial"/>
          <w:b/>
          <w:sz w:val="28"/>
          <w:szCs w:val="28"/>
        </w:rPr>
        <w:t>’</w:t>
      </w:r>
      <w:r>
        <w:rPr>
          <w:rFonts w:ascii="Arial" w:hAnsi="Arial" w:cs="Arial"/>
          <w:b/>
          <w:sz w:val="28"/>
          <w:szCs w:val="28"/>
        </w:rPr>
        <w:t>S ECONOMIC AND MONETARY UNION</w:t>
      </w:r>
    </w:p>
    <w:p w:rsidR="00247D37" w:rsidRDefault="00247D37" w:rsidP="002E44C2">
      <w:pPr>
        <w:tabs>
          <w:tab w:val="left" w:pos="8827"/>
        </w:tabs>
        <w:spacing w:before="240" w:after="240" w:line="360" w:lineRule="auto"/>
        <w:jc w:val="center"/>
        <w:rPr>
          <w:rFonts w:ascii="Arial" w:hAnsi="Arial" w:cs="Arial"/>
          <w:b/>
        </w:rPr>
      </w:pPr>
    </w:p>
    <w:p w:rsidR="0062783A" w:rsidRPr="007554B8" w:rsidRDefault="0062783A" w:rsidP="00FF1717">
      <w:pPr>
        <w:tabs>
          <w:tab w:val="left" w:pos="8827"/>
        </w:tabs>
        <w:spacing w:before="240" w:after="240" w:line="384" w:lineRule="auto"/>
        <w:jc w:val="both"/>
        <w:rPr>
          <w:rFonts w:ascii="Arial" w:hAnsi="Arial" w:cs="Arial"/>
          <w:b/>
          <w:sz w:val="24"/>
          <w:szCs w:val="24"/>
        </w:rPr>
      </w:pPr>
      <w:r w:rsidRPr="007554B8">
        <w:rPr>
          <w:rFonts w:ascii="Arial" w:hAnsi="Arial" w:cs="Arial"/>
          <w:b/>
          <w:sz w:val="24"/>
          <w:szCs w:val="24"/>
        </w:rPr>
        <w:t>Introduction</w:t>
      </w:r>
      <w:r w:rsidR="00C13DCE" w:rsidRPr="007554B8">
        <w:rPr>
          <w:rFonts w:ascii="Arial" w:hAnsi="Arial" w:cs="Arial"/>
          <w:b/>
          <w:sz w:val="24"/>
          <w:szCs w:val="24"/>
        </w:rPr>
        <w:tab/>
      </w:r>
    </w:p>
    <w:p w:rsidR="006B0C56" w:rsidRDefault="00AF1039" w:rsidP="00FF1717">
      <w:pPr>
        <w:tabs>
          <w:tab w:val="num" w:pos="851"/>
        </w:tabs>
        <w:spacing w:before="240" w:after="240" w:line="384" w:lineRule="auto"/>
        <w:jc w:val="both"/>
        <w:rPr>
          <w:rFonts w:ascii="Arial" w:hAnsi="Arial" w:cs="Arial"/>
        </w:rPr>
      </w:pPr>
      <w:r>
        <w:rPr>
          <w:rFonts w:ascii="Arial" w:hAnsi="Arial" w:cs="Arial"/>
        </w:rPr>
        <w:t>The ‘Five Presidents’ Report’, released in June 2015, presents a range of actions to complete ‘Europe’s Economic and Monetary Union’.</w:t>
      </w:r>
      <w:r>
        <w:rPr>
          <w:rStyle w:val="FootnoteReference"/>
          <w:rFonts w:ascii="Arial" w:hAnsi="Arial" w:cs="Arial"/>
        </w:rPr>
        <w:footnoteReference w:id="1"/>
      </w:r>
      <w:r>
        <w:rPr>
          <w:rFonts w:ascii="Arial" w:hAnsi="Arial" w:cs="Arial"/>
        </w:rPr>
        <w:t xml:space="preserve"> </w:t>
      </w:r>
      <w:r w:rsidRPr="00AF1039">
        <w:rPr>
          <w:rFonts w:ascii="Arial" w:hAnsi="Arial" w:cs="Arial"/>
        </w:rPr>
        <w:t>The report was prepared by the President of the European Commission, in close co-operation with the President</w:t>
      </w:r>
      <w:r w:rsidR="005E3D3B">
        <w:rPr>
          <w:rFonts w:ascii="Arial" w:hAnsi="Arial" w:cs="Arial"/>
        </w:rPr>
        <w:t>s</w:t>
      </w:r>
      <w:r w:rsidRPr="00AF1039">
        <w:rPr>
          <w:rFonts w:ascii="Arial" w:hAnsi="Arial" w:cs="Arial"/>
        </w:rPr>
        <w:t xml:space="preserve"> of the Euro Summit</w:t>
      </w:r>
      <w:r w:rsidR="005E3D3B">
        <w:rPr>
          <w:rFonts w:ascii="Arial" w:hAnsi="Arial" w:cs="Arial"/>
        </w:rPr>
        <w:t>,</w:t>
      </w:r>
      <w:r w:rsidRPr="00AF1039">
        <w:rPr>
          <w:rFonts w:ascii="Arial" w:hAnsi="Arial" w:cs="Arial"/>
        </w:rPr>
        <w:t xml:space="preserve"> Eurogroup</w:t>
      </w:r>
      <w:r w:rsidR="005E3D3B">
        <w:rPr>
          <w:rFonts w:ascii="Arial" w:hAnsi="Arial" w:cs="Arial"/>
        </w:rPr>
        <w:t>,</w:t>
      </w:r>
      <w:r w:rsidRPr="00AF1039">
        <w:rPr>
          <w:rFonts w:ascii="Arial" w:hAnsi="Arial" w:cs="Arial"/>
        </w:rPr>
        <w:t xml:space="preserve"> European Central Bank</w:t>
      </w:r>
      <w:r w:rsidR="000E3D01">
        <w:rPr>
          <w:rFonts w:ascii="Arial" w:hAnsi="Arial" w:cs="Arial"/>
        </w:rPr>
        <w:t xml:space="preserve"> (ECB)</w:t>
      </w:r>
      <w:r w:rsidRPr="00AF1039">
        <w:rPr>
          <w:rFonts w:ascii="Arial" w:hAnsi="Arial" w:cs="Arial"/>
        </w:rPr>
        <w:t xml:space="preserve"> </w:t>
      </w:r>
      <w:r w:rsidR="005E3D3B">
        <w:rPr>
          <w:rFonts w:ascii="Arial" w:hAnsi="Arial" w:cs="Arial"/>
        </w:rPr>
        <w:t>and</w:t>
      </w:r>
      <w:r w:rsidRPr="00AF1039">
        <w:rPr>
          <w:rFonts w:ascii="Arial" w:hAnsi="Arial" w:cs="Arial"/>
        </w:rPr>
        <w:t xml:space="preserve"> the European Parliament.</w:t>
      </w:r>
      <w:r w:rsidRPr="00AF1039">
        <w:rPr>
          <w:rFonts w:ascii="Arial" w:hAnsi="Arial" w:cs="Arial"/>
          <w:vertAlign w:val="superscript"/>
        </w:rPr>
        <w:footnoteReference w:id="2"/>
      </w:r>
      <w:r>
        <w:rPr>
          <w:rFonts w:ascii="Arial" w:hAnsi="Arial" w:cs="Arial"/>
        </w:rPr>
        <w:t xml:space="preserve"> It is the </w:t>
      </w:r>
      <w:r w:rsidR="005B7C44">
        <w:rPr>
          <w:rFonts w:ascii="Arial" w:hAnsi="Arial" w:cs="Arial"/>
        </w:rPr>
        <w:t>vision</w:t>
      </w:r>
      <w:r w:rsidR="00002BE1">
        <w:rPr>
          <w:rFonts w:ascii="Arial" w:hAnsi="Arial" w:cs="Arial"/>
        </w:rPr>
        <w:t xml:space="preserve"> of the </w:t>
      </w:r>
      <w:r w:rsidR="00FF1717">
        <w:rPr>
          <w:rFonts w:ascii="Arial" w:hAnsi="Arial" w:cs="Arial"/>
        </w:rPr>
        <w:t>r</w:t>
      </w:r>
      <w:r w:rsidR="00002BE1">
        <w:rPr>
          <w:rFonts w:ascii="Arial" w:hAnsi="Arial" w:cs="Arial"/>
        </w:rPr>
        <w:t>eport</w:t>
      </w:r>
      <w:r w:rsidR="005B7C44">
        <w:rPr>
          <w:rFonts w:ascii="Arial" w:hAnsi="Arial" w:cs="Arial"/>
        </w:rPr>
        <w:t xml:space="preserve"> that the measures proposed will</w:t>
      </w:r>
      <w:r w:rsidR="00002BE1">
        <w:rPr>
          <w:rFonts w:ascii="Arial" w:hAnsi="Arial" w:cs="Arial"/>
        </w:rPr>
        <w:t xml:space="preserve"> provide the citizens of the </w:t>
      </w:r>
      <w:r w:rsidR="00C74FE4">
        <w:rPr>
          <w:rFonts w:ascii="Arial" w:hAnsi="Arial" w:cs="Arial"/>
        </w:rPr>
        <w:t>E</w:t>
      </w:r>
      <w:r w:rsidR="00971469">
        <w:rPr>
          <w:rFonts w:ascii="Arial" w:hAnsi="Arial" w:cs="Arial"/>
        </w:rPr>
        <w:t>urozone</w:t>
      </w:r>
      <w:r w:rsidR="00002BE1">
        <w:rPr>
          <w:rFonts w:ascii="Arial" w:hAnsi="Arial" w:cs="Arial"/>
        </w:rPr>
        <w:t xml:space="preserve"> a</w:t>
      </w:r>
      <w:r w:rsidR="005B7C44">
        <w:rPr>
          <w:rFonts w:ascii="Arial" w:hAnsi="Arial" w:cs="Arial"/>
        </w:rPr>
        <w:t xml:space="preserve"> </w:t>
      </w:r>
      <w:r w:rsidR="00002BE1">
        <w:rPr>
          <w:rFonts w:ascii="Arial" w:hAnsi="Arial" w:cs="Arial"/>
        </w:rPr>
        <w:t>‘</w:t>
      </w:r>
      <w:r w:rsidR="005B7C44">
        <w:rPr>
          <w:rFonts w:ascii="Arial" w:hAnsi="Arial" w:cs="Arial"/>
        </w:rPr>
        <w:t xml:space="preserve">stable and prosperous place’ </w:t>
      </w:r>
      <w:r w:rsidR="00FE7ABB">
        <w:rPr>
          <w:rFonts w:ascii="Arial" w:hAnsi="Arial" w:cs="Arial"/>
        </w:rPr>
        <w:t>that is</w:t>
      </w:r>
      <w:r w:rsidR="005B7C44">
        <w:rPr>
          <w:rFonts w:ascii="Arial" w:hAnsi="Arial" w:cs="Arial"/>
        </w:rPr>
        <w:t xml:space="preserve"> </w:t>
      </w:r>
      <w:r w:rsidR="00002BE1">
        <w:rPr>
          <w:rFonts w:ascii="Arial" w:hAnsi="Arial" w:cs="Arial"/>
        </w:rPr>
        <w:t xml:space="preserve">also </w:t>
      </w:r>
      <w:r w:rsidR="005B7C44">
        <w:rPr>
          <w:rFonts w:ascii="Arial" w:hAnsi="Arial" w:cs="Arial"/>
        </w:rPr>
        <w:t>attractive for other E</w:t>
      </w:r>
      <w:r w:rsidR="00424FF2">
        <w:rPr>
          <w:rFonts w:ascii="Arial" w:hAnsi="Arial" w:cs="Arial"/>
        </w:rPr>
        <w:t>uropean Union</w:t>
      </w:r>
      <w:r w:rsidR="005B7C44">
        <w:rPr>
          <w:rFonts w:ascii="Arial" w:hAnsi="Arial" w:cs="Arial"/>
        </w:rPr>
        <w:t xml:space="preserve"> </w:t>
      </w:r>
      <w:r w:rsidR="00424FF2">
        <w:rPr>
          <w:rFonts w:ascii="Arial" w:hAnsi="Arial" w:cs="Arial"/>
        </w:rPr>
        <w:t xml:space="preserve">(EU) </w:t>
      </w:r>
      <w:r w:rsidR="005B7C44">
        <w:rPr>
          <w:rFonts w:ascii="Arial" w:hAnsi="Arial" w:cs="Arial"/>
        </w:rPr>
        <w:t>member states to join if they are ready to do so.</w:t>
      </w:r>
      <w:r w:rsidR="005B7C44">
        <w:rPr>
          <w:rStyle w:val="FootnoteReference"/>
          <w:rFonts w:ascii="Arial" w:hAnsi="Arial" w:cs="Arial"/>
        </w:rPr>
        <w:footnoteReference w:id="3"/>
      </w:r>
      <w:r w:rsidR="005960CF">
        <w:rPr>
          <w:rFonts w:ascii="Arial" w:hAnsi="Arial" w:cs="Arial"/>
        </w:rPr>
        <w:t xml:space="preserve"> </w:t>
      </w:r>
    </w:p>
    <w:p w:rsidR="00891186" w:rsidRDefault="005960CF" w:rsidP="006B0C56">
      <w:pPr>
        <w:tabs>
          <w:tab w:val="num" w:pos="851"/>
        </w:tabs>
        <w:spacing w:before="240" w:after="240" w:line="384" w:lineRule="auto"/>
        <w:jc w:val="both"/>
        <w:rPr>
          <w:rFonts w:ascii="Arial" w:hAnsi="Arial" w:cs="Arial"/>
        </w:rPr>
      </w:pPr>
      <w:r>
        <w:rPr>
          <w:rFonts w:ascii="Arial" w:hAnsi="Arial" w:cs="Arial"/>
        </w:rPr>
        <w:t xml:space="preserve">The aim of this essay is to </w:t>
      </w:r>
      <w:r w:rsidR="00356B3E">
        <w:rPr>
          <w:rFonts w:ascii="Arial" w:hAnsi="Arial" w:cs="Arial"/>
        </w:rPr>
        <w:t>assess</w:t>
      </w:r>
      <w:r>
        <w:rPr>
          <w:rFonts w:ascii="Arial" w:hAnsi="Arial" w:cs="Arial"/>
        </w:rPr>
        <w:t xml:space="preserve"> </w:t>
      </w:r>
      <w:r w:rsidR="00356B3E">
        <w:rPr>
          <w:rFonts w:ascii="Arial" w:hAnsi="Arial" w:cs="Arial"/>
        </w:rPr>
        <w:t xml:space="preserve">whether the </w:t>
      </w:r>
      <w:r>
        <w:rPr>
          <w:rFonts w:ascii="Arial" w:hAnsi="Arial" w:cs="Arial"/>
        </w:rPr>
        <w:t>Five Presidents’ Report</w:t>
      </w:r>
      <w:r w:rsidR="00356B3E">
        <w:rPr>
          <w:rFonts w:ascii="Arial" w:hAnsi="Arial" w:cs="Arial"/>
        </w:rPr>
        <w:t xml:space="preserve"> will lead to significant beneficial reforms</w:t>
      </w:r>
      <w:r>
        <w:rPr>
          <w:rFonts w:ascii="Arial" w:hAnsi="Arial" w:cs="Arial"/>
        </w:rPr>
        <w:t>, having regard to the European sovereign debt crisis</w:t>
      </w:r>
      <w:r w:rsidR="00356B3E">
        <w:rPr>
          <w:rFonts w:ascii="Arial" w:hAnsi="Arial" w:cs="Arial"/>
        </w:rPr>
        <w:t xml:space="preserve"> and the legal framework of the Economic and Monetary Union (EMU)</w:t>
      </w:r>
      <w:r>
        <w:rPr>
          <w:rFonts w:ascii="Arial" w:hAnsi="Arial" w:cs="Arial"/>
        </w:rPr>
        <w:t>.</w:t>
      </w:r>
      <w:r w:rsidR="006B0C56">
        <w:rPr>
          <w:rFonts w:ascii="Arial" w:hAnsi="Arial" w:cs="Arial"/>
        </w:rPr>
        <w:t xml:space="preserve"> </w:t>
      </w:r>
      <w:r w:rsidR="00D61460" w:rsidRPr="00891186">
        <w:rPr>
          <w:rFonts w:ascii="Arial" w:hAnsi="Arial" w:cs="Arial"/>
        </w:rPr>
        <w:t>The first section of this essay details the background to the production of the Five Presidents’ Report</w:t>
      </w:r>
      <w:r w:rsidR="0066218A">
        <w:rPr>
          <w:rFonts w:ascii="Arial" w:hAnsi="Arial" w:cs="Arial"/>
        </w:rPr>
        <w:t>, including how</w:t>
      </w:r>
      <w:r w:rsidR="00D61460" w:rsidRPr="00891186">
        <w:rPr>
          <w:rFonts w:ascii="Arial" w:hAnsi="Arial" w:cs="Arial"/>
        </w:rPr>
        <w:t xml:space="preserve"> </w:t>
      </w:r>
      <w:r w:rsidR="000F74CB">
        <w:rPr>
          <w:rFonts w:ascii="Arial" w:hAnsi="Arial" w:cs="Arial"/>
        </w:rPr>
        <w:t>p</w:t>
      </w:r>
      <w:r w:rsidR="00D61460" w:rsidRPr="00891186">
        <w:rPr>
          <w:rFonts w:ascii="Arial" w:hAnsi="Arial" w:cs="Arial"/>
        </w:rPr>
        <w:t>receding reports</w:t>
      </w:r>
      <w:r w:rsidR="000F74CB">
        <w:rPr>
          <w:rFonts w:ascii="Arial" w:hAnsi="Arial" w:cs="Arial"/>
        </w:rPr>
        <w:t xml:space="preserve"> </w:t>
      </w:r>
      <w:r w:rsidR="00D61460" w:rsidRPr="00891186">
        <w:rPr>
          <w:rFonts w:ascii="Arial" w:hAnsi="Arial" w:cs="Arial"/>
        </w:rPr>
        <w:t xml:space="preserve">responded to the European sovereign debt crisis. </w:t>
      </w:r>
      <w:r w:rsidR="0066218A">
        <w:rPr>
          <w:rFonts w:ascii="Arial" w:hAnsi="Arial" w:cs="Arial"/>
        </w:rPr>
        <w:t>T</w:t>
      </w:r>
      <w:r w:rsidR="00D61460" w:rsidRPr="00891186">
        <w:rPr>
          <w:rFonts w:ascii="Arial" w:hAnsi="Arial" w:cs="Arial"/>
        </w:rPr>
        <w:t>he second section of this essay will analyse three of the more contentious actions that have been proposed</w:t>
      </w:r>
      <w:r w:rsidR="00D61460" w:rsidRPr="004E0733">
        <w:rPr>
          <w:rFonts w:ascii="Arial" w:hAnsi="Arial" w:cs="Arial"/>
        </w:rPr>
        <w:t xml:space="preserve">. </w:t>
      </w:r>
      <w:r w:rsidR="00891186" w:rsidRPr="004E0733">
        <w:rPr>
          <w:rFonts w:ascii="Arial" w:hAnsi="Arial" w:cs="Arial"/>
        </w:rPr>
        <w:t>The proposals to create a European Deposit Insurance Scheme (EDIS)</w:t>
      </w:r>
      <w:r w:rsidR="006150C8">
        <w:rPr>
          <w:rFonts w:ascii="Arial" w:hAnsi="Arial" w:cs="Arial"/>
        </w:rPr>
        <w:t>,</w:t>
      </w:r>
      <w:r w:rsidR="002F212D">
        <w:rPr>
          <w:rFonts w:ascii="Arial" w:hAnsi="Arial" w:cs="Arial"/>
        </w:rPr>
        <w:t xml:space="preserve"> </w:t>
      </w:r>
      <w:r w:rsidR="00891186" w:rsidRPr="004E0733">
        <w:rPr>
          <w:rFonts w:ascii="Arial" w:hAnsi="Arial" w:cs="Arial"/>
        </w:rPr>
        <w:t xml:space="preserve">European Fiscal Board (EFB) </w:t>
      </w:r>
      <w:r w:rsidR="006150C8">
        <w:rPr>
          <w:rFonts w:ascii="Arial" w:hAnsi="Arial" w:cs="Arial"/>
        </w:rPr>
        <w:t>and a Euro</w:t>
      </w:r>
      <w:r w:rsidR="00C74FE4">
        <w:rPr>
          <w:rFonts w:ascii="Arial" w:hAnsi="Arial" w:cs="Arial"/>
        </w:rPr>
        <w:t>zone</w:t>
      </w:r>
      <w:r w:rsidR="006150C8">
        <w:rPr>
          <w:rFonts w:ascii="Arial" w:hAnsi="Arial" w:cs="Arial"/>
        </w:rPr>
        <w:t xml:space="preserve"> Treasury </w:t>
      </w:r>
      <w:r w:rsidR="00891186" w:rsidRPr="004E0733">
        <w:rPr>
          <w:rFonts w:ascii="Arial" w:hAnsi="Arial" w:cs="Arial"/>
        </w:rPr>
        <w:t>will be analysed.</w:t>
      </w:r>
      <w:r w:rsidR="00891186" w:rsidRPr="00891186">
        <w:rPr>
          <w:rFonts w:ascii="Arial" w:hAnsi="Arial" w:cs="Arial"/>
        </w:rPr>
        <w:t xml:space="preserve"> The final section of this paper presents </w:t>
      </w:r>
      <w:r w:rsidR="003168D2">
        <w:rPr>
          <w:rFonts w:ascii="Arial" w:hAnsi="Arial" w:cs="Arial"/>
        </w:rPr>
        <w:t xml:space="preserve">an overall assessment of the Five Presidents’ Report, including </w:t>
      </w:r>
      <w:r w:rsidR="00891186">
        <w:rPr>
          <w:rFonts w:ascii="Arial" w:hAnsi="Arial" w:cs="Arial"/>
        </w:rPr>
        <w:t xml:space="preserve">whether actions are </w:t>
      </w:r>
      <w:r w:rsidR="00891186" w:rsidRPr="00F71B3E">
        <w:rPr>
          <w:rFonts w:ascii="Arial" w:hAnsi="Arial" w:cs="Arial"/>
        </w:rPr>
        <w:t>absent</w:t>
      </w:r>
      <w:r w:rsidR="00891186">
        <w:rPr>
          <w:rFonts w:ascii="Arial" w:hAnsi="Arial" w:cs="Arial"/>
        </w:rPr>
        <w:t xml:space="preserve"> from</w:t>
      </w:r>
      <w:r w:rsidR="00891186" w:rsidRPr="00F71B3E">
        <w:rPr>
          <w:rFonts w:ascii="Arial" w:hAnsi="Arial" w:cs="Arial"/>
        </w:rPr>
        <w:t xml:space="preserve"> the report that should have been</w:t>
      </w:r>
      <w:r w:rsidR="00891186">
        <w:rPr>
          <w:rFonts w:ascii="Arial" w:hAnsi="Arial" w:cs="Arial"/>
        </w:rPr>
        <w:t xml:space="preserve"> included</w:t>
      </w:r>
      <w:r w:rsidR="00500CD8">
        <w:rPr>
          <w:rFonts w:ascii="Arial" w:hAnsi="Arial" w:cs="Arial"/>
        </w:rPr>
        <w:t>.</w:t>
      </w:r>
    </w:p>
    <w:p w:rsidR="00500CD8" w:rsidRDefault="00500CD8" w:rsidP="00FF1717">
      <w:pPr>
        <w:spacing w:before="240" w:after="240" w:line="384" w:lineRule="auto"/>
        <w:jc w:val="both"/>
        <w:rPr>
          <w:rFonts w:ascii="Arial" w:hAnsi="Arial" w:cs="Arial"/>
        </w:rPr>
      </w:pPr>
      <w:r w:rsidRPr="00247D37">
        <w:rPr>
          <w:rFonts w:ascii="Arial" w:hAnsi="Arial" w:cs="Arial"/>
        </w:rPr>
        <w:t xml:space="preserve">It is </w:t>
      </w:r>
      <w:r w:rsidR="0066218A">
        <w:rPr>
          <w:rFonts w:ascii="Arial" w:hAnsi="Arial" w:cs="Arial"/>
        </w:rPr>
        <w:t>submitted</w:t>
      </w:r>
      <w:r w:rsidRPr="00247D37">
        <w:rPr>
          <w:rFonts w:ascii="Arial" w:hAnsi="Arial" w:cs="Arial"/>
        </w:rPr>
        <w:t xml:space="preserve"> that the </w:t>
      </w:r>
      <w:r w:rsidR="00247D37">
        <w:rPr>
          <w:rFonts w:ascii="Arial" w:hAnsi="Arial" w:cs="Arial"/>
        </w:rPr>
        <w:t xml:space="preserve">measures proposed in the </w:t>
      </w:r>
      <w:r w:rsidR="00270F8B" w:rsidRPr="00247D37">
        <w:rPr>
          <w:rFonts w:ascii="Arial" w:hAnsi="Arial" w:cs="Arial"/>
        </w:rPr>
        <w:t>Five Presidents</w:t>
      </w:r>
      <w:r w:rsidR="0066218A">
        <w:rPr>
          <w:rFonts w:ascii="Arial" w:hAnsi="Arial" w:cs="Arial"/>
        </w:rPr>
        <w:t>’</w:t>
      </w:r>
      <w:r w:rsidR="00270F8B" w:rsidRPr="00247D37">
        <w:rPr>
          <w:rFonts w:ascii="Arial" w:hAnsi="Arial" w:cs="Arial"/>
        </w:rPr>
        <w:t xml:space="preserve"> Report</w:t>
      </w:r>
      <w:r w:rsidR="00247D37" w:rsidRPr="00247D37">
        <w:rPr>
          <w:rFonts w:ascii="Arial" w:hAnsi="Arial" w:cs="Arial"/>
        </w:rPr>
        <w:t xml:space="preserve"> </w:t>
      </w:r>
      <w:r w:rsidR="00247D37">
        <w:rPr>
          <w:rFonts w:ascii="Arial" w:hAnsi="Arial" w:cs="Arial"/>
        </w:rPr>
        <w:t xml:space="preserve">do not go far enough </w:t>
      </w:r>
      <w:r w:rsidR="0066218A">
        <w:rPr>
          <w:rFonts w:ascii="Arial" w:hAnsi="Arial" w:cs="Arial"/>
        </w:rPr>
        <w:t>towards</w:t>
      </w:r>
      <w:r w:rsidR="00247D37">
        <w:rPr>
          <w:rFonts w:ascii="Arial" w:hAnsi="Arial" w:cs="Arial"/>
        </w:rPr>
        <w:t xml:space="preserve"> </w:t>
      </w:r>
      <w:r w:rsidR="00356B3E">
        <w:rPr>
          <w:rFonts w:ascii="Arial" w:hAnsi="Arial" w:cs="Arial"/>
        </w:rPr>
        <w:t xml:space="preserve">restructuring the legal </w:t>
      </w:r>
      <w:r w:rsidR="00416879">
        <w:rPr>
          <w:rFonts w:ascii="Arial" w:hAnsi="Arial" w:cs="Arial"/>
        </w:rPr>
        <w:t>framework</w:t>
      </w:r>
      <w:r w:rsidR="00356B3E">
        <w:rPr>
          <w:rFonts w:ascii="Arial" w:hAnsi="Arial" w:cs="Arial"/>
        </w:rPr>
        <w:t xml:space="preserve"> of the EMU to ensure that </w:t>
      </w:r>
      <w:r w:rsidR="00247D37">
        <w:rPr>
          <w:rFonts w:ascii="Arial" w:hAnsi="Arial" w:cs="Arial"/>
        </w:rPr>
        <w:t xml:space="preserve">financial stability in the </w:t>
      </w:r>
      <w:r w:rsidR="00C74FE4">
        <w:rPr>
          <w:rFonts w:ascii="Arial" w:hAnsi="Arial" w:cs="Arial"/>
        </w:rPr>
        <w:t>E</w:t>
      </w:r>
      <w:r w:rsidR="00247D37">
        <w:rPr>
          <w:rFonts w:ascii="Arial" w:hAnsi="Arial" w:cs="Arial"/>
        </w:rPr>
        <w:t>urozone</w:t>
      </w:r>
      <w:r w:rsidR="00356B3E">
        <w:rPr>
          <w:rFonts w:ascii="Arial" w:hAnsi="Arial" w:cs="Arial"/>
        </w:rPr>
        <w:t xml:space="preserve"> is maintained</w:t>
      </w:r>
      <w:r w:rsidR="00C52ED9">
        <w:rPr>
          <w:rFonts w:ascii="Arial" w:hAnsi="Arial" w:cs="Arial"/>
        </w:rPr>
        <w:t>.</w:t>
      </w:r>
      <w:r w:rsidR="00247D37" w:rsidRPr="00247D37">
        <w:rPr>
          <w:rFonts w:ascii="Arial" w:hAnsi="Arial" w:cs="Arial"/>
        </w:rPr>
        <w:t xml:space="preserve"> </w:t>
      </w:r>
      <w:r w:rsidR="000E3D01">
        <w:rPr>
          <w:rFonts w:ascii="Arial" w:hAnsi="Arial" w:cs="Arial"/>
        </w:rPr>
        <w:t xml:space="preserve">In particular, a key criticism of the report </w:t>
      </w:r>
      <w:r w:rsidR="006C429E">
        <w:rPr>
          <w:rFonts w:ascii="Arial" w:hAnsi="Arial" w:cs="Arial"/>
        </w:rPr>
        <w:t>is</w:t>
      </w:r>
      <w:r w:rsidR="000E3D01">
        <w:rPr>
          <w:rFonts w:ascii="Arial" w:hAnsi="Arial" w:cs="Arial"/>
        </w:rPr>
        <w:t xml:space="preserve"> that </w:t>
      </w:r>
      <w:r w:rsidR="000E3D01" w:rsidRPr="006A7471">
        <w:rPr>
          <w:rFonts w:ascii="Arial" w:hAnsi="Arial" w:cs="Arial"/>
        </w:rPr>
        <w:t xml:space="preserve">counter-cyclical policy </w:t>
      </w:r>
      <w:r w:rsidR="000E3D01">
        <w:rPr>
          <w:rFonts w:ascii="Arial" w:hAnsi="Arial" w:cs="Arial"/>
        </w:rPr>
        <w:t>has not been</w:t>
      </w:r>
      <w:r w:rsidR="000E3D01" w:rsidRPr="006A7471">
        <w:rPr>
          <w:rFonts w:ascii="Arial" w:hAnsi="Arial" w:cs="Arial"/>
        </w:rPr>
        <w:t xml:space="preserve"> the </w:t>
      </w:r>
      <w:r w:rsidR="000E3D01">
        <w:rPr>
          <w:rFonts w:ascii="Arial" w:hAnsi="Arial" w:cs="Arial"/>
        </w:rPr>
        <w:t>focus</w:t>
      </w:r>
      <w:r w:rsidR="000E3D01" w:rsidRPr="006A7471">
        <w:rPr>
          <w:rFonts w:ascii="Arial" w:hAnsi="Arial" w:cs="Arial"/>
        </w:rPr>
        <w:t xml:space="preserve"> of </w:t>
      </w:r>
      <w:r w:rsidR="000E3D01">
        <w:rPr>
          <w:rFonts w:ascii="Arial" w:hAnsi="Arial" w:cs="Arial"/>
        </w:rPr>
        <w:t>the report’s</w:t>
      </w:r>
      <w:r w:rsidR="000E3D01" w:rsidRPr="006A7471">
        <w:rPr>
          <w:rFonts w:ascii="Arial" w:hAnsi="Arial" w:cs="Arial"/>
        </w:rPr>
        <w:t xml:space="preserve"> recommendations on fiscal matters</w:t>
      </w:r>
      <w:r w:rsidR="000E3D01">
        <w:rPr>
          <w:rFonts w:ascii="Arial" w:hAnsi="Arial" w:cs="Arial"/>
        </w:rPr>
        <w:t xml:space="preserve">. </w:t>
      </w:r>
      <w:r w:rsidR="00247D37">
        <w:rPr>
          <w:rFonts w:ascii="Arial" w:hAnsi="Arial" w:cs="Arial"/>
        </w:rPr>
        <w:t xml:space="preserve">However, </w:t>
      </w:r>
      <w:r w:rsidR="00DF0834">
        <w:rPr>
          <w:rFonts w:ascii="Arial" w:hAnsi="Arial" w:cs="Arial"/>
        </w:rPr>
        <w:t xml:space="preserve">given the likely opposition of countries, such as Germany, towards measures that transfer sovereignty to the </w:t>
      </w:r>
      <w:r w:rsidR="000D7292">
        <w:rPr>
          <w:rFonts w:ascii="Arial" w:hAnsi="Arial" w:cs="Arial"/>
        </w:rPr>
        <w:t>EU</w:t>
      </w:r>
      <w:r w:rsidR="00DF0834">
        <w:rPr>
          <w:rFonts w:ascii="Arial" w:hAnsi="Arial" w:cs="Arial"/>
        </w:rPr>
        <w:t xml:space="preserve">, </w:t>
      </w:r>
      <w:r w:rsidR="00247D37">
        <w:rPr>
          <w:rFonts w:ascii="Arial" w:hAnsi="Arial" w:cs="Arial"/>
        </w:rPr>
        <w:t xml:space="preserve">the </w:t>
      </w:r>
      <w:r w:rsidR="004123CC">
        <w:rPr>
          <w:rFonts w:ascii="Arial" w:hAnsi="Arial" w:cs="Arial"/>
        </w:rPr>
        <w:t>report</w:t>
      </w:r>
      <w:r w:rsidR="00DF0834">
        <w:rPr>
          <w:rFonts w:ascii="Arial" w:hAnsi="Arial" w:cs="Arial"/>
        </w:rPr>
        <w:t>’s measured approach</w:t>
      </w:r>
      <w:r w:rsidR="00247D37">
        <w:rPr>
          <w:rFonts w:ascii="Arial" w:hAnsi="Arial" w:cs="Arial"/>
        </w:rPr>
        <w:t xml:space="preserve"> </w:t>
      </w:r>
      <w:r w:rsidR="00DF0834">
        <w:rPr>
          <w:rFonts w:ascii="Arial" w:hAnsi="Arial" w:cs="Arial"/>
        </w:rPr>
        <w:t>at least provides some momentum</w:t>
      </w:r>
      <w:r w:rsidR="00247D37">
        <w:rPr>
          <w:rFonts w:ascii="Arial" w:hAnsi="Arial" w:cs="Arial"/>
        </w:rPr>
        <w:t xml:space="preserve"> towards the process of reforming the </w:t>
      </w:r>
      <w:r w:rsidR="00DF0834">
        <w:rPr>
          <w:rFonts w:ascii="Arial" w:hAnsi="Arial" w:cs="Arial"/>
        </w:rPr>
        <w:t>economic</w:t>
      </w:r>
      <w:r w:rsidR="00247D37">
        <w:rPr>
          <w:rFonts w:ascii="Arial" w:hAnsi="Arial" w:cs="Arial"/>
        </w:rPr>
        <w:t xml:space="preserve"> architecture of the </w:t>
      </w:r>
      <w:r w:rsidR="00C74FE4">
        <w:rPr>
          <w:rFonts w:ascii="Arial" w:hAnsi="Arial" w:cs="Arial"/>
        </w:rPr>
        <w:t>E</w:t>
      </w:r>
      <w:r w:rsidR="00247D37">
        <w:rPr>
          <w:rFonts w:ascii="Arial" w:hAnsi="Arial" w:cs="Arial"/>
        </w:rPr>
        <w:t>urozone.</w:t>
      </w:r>
    </w:p>
    <w:p w:rsidR="00815A1E" w:rsidRDefault="00424FF2" w:rsidP="003E1CC7">
      <w:pPr>
        <w:tabs>
          <w:tab w:val="num" w:pos="851"/>
        </w:tabs>
        <w:spacing w:after="240" w:line="360" w:lineRule="auto"/>
        <w:jc w:val="both"/>
        <w:rPr>
          <w:rFonts w:ascii="Arial" w:hAnsi="Arial" w:cs="Arial"/>
          <w:b/>
          <w:sz w:val="24"/>
          <w:szCs w:val="24"/>
        </w:rPr>
      </w:pPr>
      <w:r>
        <w:rPr>
          <w:rFonts w:ascii="Arial" w:hAnsi="Arial" w:cs="Arial"/>
          <w:b/>
          <w:sz w:val="24"/>
          <w:szCs w:val="24"/>
        </w:rPr>
        <w:lastRenderedPageBreak/>
        <w:t xml:space="preserve">The </w:t>
      </w:r>
      <w:r w:rsidR="0006429E">
        <w:rPr>
          <w:rFonts w:ascii="Arial" w:hAnsi="Arial" w:cs="Arial"/>
          <w:b/>
          <w:sz w:val="24"/>
          <w:szCs w:val="24"/>
        </w:rPr>
        <w:t>European Sovereign Debt Crisis</w:t>
      </w:r>
    </w:p>
    <w:p w:rsidR="009E63C1" w:rsidRDefault="0006429E" w:rsidP="00DF2A7F">
      <w:pPr>
        <w:tabs>
          <w:tab w:val="num" w:pos="851"/>
        </w:tabs>
        <w:spacing w:before="240" w:after="240" w:line="360" w:lineRule="auto"/>
        <w:jc w:val="both"/>
        <w:rPr>
          <w:rFonts w:ascii="Arial" w:hAnsi="Arial" w:cs="Arial"/>
        </w:rPr>
      </w:pPr>
      <w:r w:rsidRPr="00E50C4A">
        <w:rPr>
          <w:rFonts w:ascii="Arial" w:hAnsi="Arial" w:cs="Arial"/>
        </w:rPr>
        <w:t xml:space="preserve">In the autumn of 2009, the newly elected Greek Government announced </w:t>
      </w:r>
      <w:r w:rsidR="009E63C1">
        <w:rPr>
          <w:rFonts w:ascii="Arial" w:hAnsi="Arial" w:cs="Arial"/>
        </w:rPr>
        <w:t>a revised</w:t>
      </w:r>
      <w:r w:rsidRPr="00E50C4A">
        <w:rPr>
          <w:rFonts w:ascii="Arial" w:hAnsi="Arial" w:cs="Arial"/>
        </w:rPr>
        <w:t xml:space="preserve"> nation</w:t>
      </w:r>
      <w:r w:rsidR="00831856">
        <w:rPr>
          <w:rFonts w:ascii="Arial" w:hAnsi="Arial" w:cs="Arial"/>
        </w:rPr>
        <w:t>al</w:t>
      </w:r>
      <w:r w:rsidRPr="00E50C4A">
        <w:rPr>
          <w:rFonts w:ascii="Arial" w:hAnsi="Arial" w:cs="Arial"/>
        </w:rPr>
        <w:t xml:space="preserve"> budget deficit </w:t>
      </w:r>
      <w:r w:rsidR="009E63C1">
        <w:rPr>
          <w:rFonts w:ascii="Arial" w:hAnsi="Arial" w:cs="Arial"/>
        </w:rPr>
        <w:t>of</w:t>
      </w:r>
      <w:r w:rsidRPr="00E50C4A">
        <w:rPr>
          <w:rFonts w:ascii="Arial" w:hAnsi="Arial" w:cs="Arial"/>
        </w:rPr>
        <w:t xml:space="preserve"> 12.</w:t>
      </w:r>
      <w:r w:rsidR="009E63C1">
        <w:rPr>
          <w:rFonts w:ascii="Arial" w:hAnsi="Arial" w:cs="Arial"/>
        </w:rPr>
        <w:t>7</w:t>
      </w:r>
      <w:r w:rsidRPr="00E50C4A">
        <w:rPr>
          <w:rFonts w:ascii="Arial" w:hAnsi="Arial" w:cs="Arial"/>
        </w:rPr>
        <w:t xml:space="preserve"> per cent of its Gross Domestic Product (GDP), </w:t>
      </w:r>
      <w:r w:rsidR="009E63C1">
        <w:rPr>
          <w:rFonts w:ascii="Arial" w:hAnsi="Arial" w:cs="Arial"/>
        </w:rPr>
        <w:t>over double</w:t>
      </w:r>
      <w:r w:rsidRPr="00E50C4A">
        <w:rPr>
          <w:rFonts w:ascii="Arial" w:hAnsi="Arial" w:cs="Arial"/>
        </w:rPr>
        <w:t xml:space="preserve"> the 6.0 per cent of GDP deficit </w:t>
      </w:r>
      <w:r w:rsidR="00EC7E1C" w:rsidRPr="00E50C4A">
        <w:rPr>
          <w:rFonts w:ascii="Arial" w:hAnsi="Arial" w:cs="Arial"/>
        </w:rPr>
        <w:t xml:space="preserve">that </w:t>
      </w:r>
      <w:r w:rsidR="00D44F83">
        <w:rPr>
          <w:rFonts w:ascii="Arial" w:hAnsi="Arial" w:cs="Arial"/>
        </w:rPr>
        <w:t xml:space="preserve">had been </w:t>
      </w:r>
      <w:r w:rsidR="009E63C1">
        <w:rPr>
          <w:rFonts w:ascii="Arial" w:hAnsi="Arial" w:cs="Arial"/>
        </w:rPr>
        <w:t>estimated</w:t>
      </w:r>
      <w:r w:rsidR="00D44F83">
        <w:rPr>
          <w:rFonts w:ascii="Arial" w:hAnsi="Arial" w:cs="Arial"/>
        </w:rPr>
        <w:t xml:space="preserve"> by </w:t>
      </w:r>
      <w:r w:rsidR="00EC7E1C" w:rsidRPr="00E50C4A">
        <w:rPr>
          <w:rFonts w:ascii="Arial" w:hAnsi="Arial" w:cs="Arial"/>
        </w:rPr>
        <w:t>the previous government</w:t>
      </w:r>
      <w:r w:rsidRPr="00E50C4A">
        <w:rPr>
          <w:rFonts w:ascii="Arial" w:hAnsi="Arial" w:cs="Arial"/>
        </w:rPr>
        <w:t>.</w:t>
      </w:r>
      <w:r w:rsidRPr="00E50C4A">
        <w:rPr>
          <w:rStyle w:val="FootnoteReference"/>
          <w:rFonts w:ascii="Arial" w:hAnsi="Arial" w:cs="Arial"/>
        </w:rPr>
        <w:footnoteReference w:id="4"/>
      </w:r>
      <w:r w:rsidRPr="00E50C4A">
        <w:rPr>
          <w:rFonts w:ascii="Arial" w:hAnsi="Arial" w:cs="Arial"/>
        </w:rPr>
        <w:t xml:space="preserve"> </w:t>
      </w:r>
      <w:r w:rsidR="00E02E6B" w:rsidRPr="00E50C4A">
        <w:rPr>
          <w:rFonts w:ascii="Arial" w:hAnsi="Arial" w:cs="Arial"/>
        </w:rPr>
        <w:t xml:space="preserve">This event marked the beginning of the European </w:t>
      </w:r>
      <w:r w:rsidR="00C17248">
        <w:rPr>
          <w:rFonts w:ascii="Arial" w:hAnsi="Arial" w:cs="Arial"/>
        </w:rPr>
        <w:t>s</w:t>
      </w:r>
      <w:r w:rsidR="00E02E6B" w:rsidRPr="00E50C4A">
        <w:rPr>
          <w:rFonts w:ascii="Arial" w:hAnsi="Arial" w:cs="Arial"/>
        </w:rPr>
        <w:t xml:space="preserve">overeign </w:t>
      </w:r>
      <w:r w:rsidR="00C17248">
        <w:rPr>
          <w:rFonts w:ascii="Arial" w:hAnsi="Arial" w:cs="Arial"/>
        </w:rPr>
        <w:t>d</w:t>
      </w:r>
      <w:r w:rsidR="00E02E6B" w:rsidRPr="00E50C4A">
        <w:rPr>
          <w:rFonts w:ascii="Arial" w:hAnsi="Arial" w:cs="Arial"/>
        </w:rPr>
        <w:t xml:space="preserve">ebt </w:t>
      </w:r>
      <w:r w:rsidR="00C17248">
        <w:rPr>
          <w:rFonts w:ascii="Arial" w:hAnsi="Arial" w:cs="Arial"/>
        </w:rPr>
        <w:t>c</w:t>
      </w:r>
      <w:r w:rsidR="00E02E6B" w:rsidRPr="00E50C4A">
        <w:rPr>
          <w:rFonts w:ascii="Arial" w:hAnsi="Arial" w:cs="Arial"/>
        </w:rPr>
        <w:t>risis.</w:t>
      </w:r>
      <w:r w:rsidR="00E02E6B" w:rsidRPr="00E50C4A">
        <w:rPr>
          <w:rStyle w:val="FootnoteReference"/>
          <w:rFonts w:ascii="Arial" w:hAnsi="Arial" w:cs="Arial"/>
        </w:rPr>
        <w:footnoteReference w:id="5"/>
      </w:r>
      <w:r w:rsidR="00E02E6B" w:rsidRPr="00E50C4A">
        <w:rPr>
          <w:rFonts w:ascii="Arial" w:hAnsi="Arial" w:cs="Arial"/>
        </w:rPr>
        <w:t xml:space="preserve"> Greece</w:t>
      </w:r>
      <w:r w:rsidR="009E63C1">
        <w:rPr>
          <w:rFonts w:ascii="Arial" w:hAnsi="Arial" w:cs="Arial"/>
        </w:rPr>
        <w:t xml:space="preserve">’s fiscal accounts for previous years were also revised and demonstrated that Greece’s </w:t>
      </w:r>
      <w:r w:rsidR="00FE7ABB">
        <w:rPr>
          <w:rFonts w:ascii="Arial" w:hAnsi="Arial" w:cs="Arial"/>
        </w:rPr>
        <w:t>previous annual deficits</w:t>
      </w:r>
      <w:r w:rsidR="009E63C1">
        <w:rPr>
          <w:rFonts w:ascii="Arial" w:hAnsi="Arial" w:cs="Arial"/>
        </w:rPr>
        <w:t xml:space="preserve"> were also significantly larger than had been reported.</w:t>
      </w:r>
      <w:r w:rsidR="004719D9">
        <w:rPr>
          <w:rStyle w:val="FootnoteReference"/>
          <w:rFonts w:ascii="Arial" w:hAnsi="Arial" w:cs="Arial"/>
        </w:rPr>
        <w:footnoteReference w:id="6"/>
      </w:r>
      <w:r w:rsidR="00E02E6B" w:rsidRPr="00E50C4A">
        <w:rPr>
          <w:rFonts w:ascii="Arial" w:hAnsi="Arial" w:cs="Arial"/>
        </w:rPr>
        <w:t xml:space="preserve"> </w:t>
      </w:r>
      <w:r w:rsidR="009E63C1">
        <w:rPr>
          <w:rFonts w:ascii="Arial" w:hAnsi="Arial" w:cs="Arial"/>
        </w:rPr>
        <w:t xml:space="preserve">The revelation that Greece </w:t>
      </w:r>
      <w:r w:rsidR="00E02E6B" w:rsidRPr="00E50C4A">
        <w:rPr>
          <w:rFonts w:ascii="Arial" w:hAnsi="Arial" w:cs="Arial"/>
        </w:rPr>
        <w:t xml:space="preserve">had manipulated its budgetary figures in 2001 upon its accession to the </w:t>
      </w:r>
      <w:r w:rsidR="00C74FE4">
        <w:rPr>
          <w:rFonts w:ascii="Arial" w:hAnsi="Arial" w:cs="Arial"/>
        </w:rPr>
        <w:t>E</w:t>
      </w:r>
      <w:r w:rsidR="00E02E6B" w:rsidRPr="00E50C4A">
        <w:rPr>
          <w:rFonts w:ascii="Arial" w:hAnsi="Arial" w:cs="Arial"/>
        </w:rPr>
        <w:t>uro</w:t>
      </w:r>
      <w:r w:rsidR="004719D9" w:rsidRPr="00E50C4A">
        <w:rPr>
          <w:rFonts w:ascii="Arial" w:hAnsi="Arial" w:cs="Arial"/>
        </w:rPr>
        <w:t>zone</w:t>
      </w:r>
      <w:r w:rsidR="00E02E6B" w:rsidRPr="00E50C4A">
        <w:rPr>
          <w:rFonts w:ascii="Arial" w:hAnsi="Arial" w:cs="Arial"/>
        </w:rPr>
        <w:t xml:space="preserve"> </w:t>
      </w:r>
      <w:r w:rsidR="009E63C1">
        <w:rPr>
          <w:rFonts w:ascii="Arial" w:hAnsi="Arial" w:cs="Arial"/>
        </w:rPr>
        <w:t>played an important role in the political narrative of the European sovereign debt crisis at that time</w:t>
      </w:r>
      <w:r w:rsidR="00FE7ABB">
        <w:rPr>
          <w:rFonts w:ascii="Arial" w:hAnsi="Arial" w:cs="Arial"/>
        </w:rPr>
        <w:t>.</w:t>
      </w:r>
      <w:r w:rsidR="00FE7ABB">
        <w:rPr>
          <w:rStyle w:val="FootnoteReference"/>
          <w:rFonts w:ascii="Arial" w:hAnsi="Arial" w:cs="Arial"/>
        </w:rPr>
        <w:footnoteReference w:id="7"/>
      </w:r>
      <w:r w:rsidR="009E63C1">
        <w:rPr>
          <w:rFonts w:ascii="Arial" w:hAnsi="Arial" w:cs="Arial"/>
        </w:rPr>
        <w:t xml:space="preserve"> </w:t>
      </w:r>
      <w:r w:rsidR="00FE7ABB">
        <w:rPr>
          <w:rFonts w:ascii="Arial" w:hAnsi="Arial" w:cs="Arial"/>
        </w:rPr>
        <w:t>Th</w:t>
      </w:r>
      <w:r w:rsidR="009E63C1">
        <w:rPr>
          <w:rFonts w:ascii="Arial" w:hAnsi="Arial" w:cs="Arial"/>
        </w:rPr>
        <w:t xml:space="preserve">e primary blame for the crisis </w:t>
      </w:r>
      <w:r w:rsidR="00FE7ABB">
        <w:rPr>
          <w:rFonts w:ascii="Arial" w:hAnsi="Arial" w:cs="Arial"/>
        </w:rPr>
        <w:t>was placed upon the</w:t>
      </w:r>
      <w:r w:rsidR="009E63C1">
        <w:rPr>
          <w:rFonts w:ascii="Arial" w:hAnsi="Arial" w:cs="Arial"/>
        </w:rPr>
        <w:t xml:space="preserve"> fiscal irresponsibility of those nations</w:t>
      </w:r>
      <w:r w:rsidR="00FE7ABB">
        <w:rPr>
          <w:rFonts w:ascii="Arial" w:hAnsi="Arial" w:cs="Arial"/>
        </w:rPr>
        <w:t>,</w:t>
      </w:r>
      <w:r w:rsidR="009E63C1">
        <w:rPr>
          <w:rFonts w:ascii="Arial" w:hAnsi="Arial" w:cs="Arial"/>
        </w:rPr>
        <w:t xml:space="preserve"> such as Greece</w:t>
      </w:r>
      <w:r w:rsidR="00FE7ABB">
        <w:rPr>
          <w:rFonts w:ascii="Arial" w:hAnsi="Arial" w:cs="Arial"/>
        </w:rPr>
        <w:t>,</w:t>
      </w:r>
      <w:r w:rsidR="009E63C1">
        <w:rPr>
          <w:rFonts w:ascii="Arial" w:hAnsi="Arial" w:cs="Arial"/>
        </w:rPr>
        <w:t xml:space="preserve"> who experienced the greatest </w:t>
      </w:r>
      <w:r w:rsidR="004719D9">
        <w:rPr>
          <w:rFonts w:ascii="Arial" w:hAnsi="Arial" w:cs="Arial"/>
        </w:rPr>
        <w:t>impacts.</w:t>
      </w:r>
      <w:r w:rsidR="004719D9">
        <w:rPr>
          <w:rStyle w:val="FootnoteReference"/>
          <w:rFonts w:ascii="Arial" w:hAnsi="Arial" w:cs="Arial"/>
        </w:rPr>
        <w:footnoteReference w:id="8"/>
      </w:r>
    </w:p>
    <w:p w:rsidR="007D07E0" w:rsidRPr="00E50C4A" w:rsidRDefault="004719D9" w:rsidP="00DF2A7F">
      <w:pPr>
        <w:tabs>
          <w:tab w:val="num" w:pos="851"/>
        </w:tabs>
        <w:spacing w:before="240" w:after="240" w:line="360" w:lineRule="auto"/>
        <w:jc w:val="both"/>
        <w:rPr>
          <w:rFonts w:ascii="Arial" w:hAnsi="Arial" w:cs="Arial"/>
        </w:rPr>
      </w:pPr>
      <w:r>
        <w:rPr>
          <w:rFonts w:ascii="Arial" w:hAnsi="Arial" w:cs="Arial"/>
        </w:rPr>
        <w:t>It is submitted that underlying financial and macroeconomic imbalances, rather than the irresponsibility of the Greek Government, were more significant factors behind the economic problems that plagued Greece.</w:t>
      </w:r>
      <w:r>
        <w:rPr>
          <w:rStyle w:val="FootnoteReference"/>
          <w:rFonts w:ascii="Arial" w:hAnsi="Arial" w:cs="Arial"/>
        </w:rPr>
        <w:footnoteReference w:id="9"/>
      </w:r>
      <w:r>
        <w:rPr>
          <w:rFonts w:ascii="Arial" w:hAnsi="Arial" w:cs="Arial"/>
        </w:rPr>
        <w:t xml:space="preserve">  T</w:t>
      </w:r>
      <w:r w:rsidR="00DD192F" w:rsidRPr="00E50C4A">
        <w:rPr>
          <w:rFonts w:ascii="Arial" w:hAnsi="Arial" w:cs="Arial"/>
        </w:rPr>
        <w:t xml:space="preserve">he global </w:t>
      </w:r>
      <w:r w:rsidR="00424FF2">
        <w:rPr>
          <w:rFonts w:ascii="Arial" w:hAnsi="Arial" w:cs="Arial"/>
        </w:rPr>
        <w:t>impact</w:t>
      </w:r>
      <w:r w:rsidR="00DD192F" w:rsidRPr="00E50C4A">
        <w:rPr>
          <w:rFonts w:ascii="Arial" w:hAnsi="Arial" w:cs="Arial"/>
        </w:rPr>
        <w:t xml:space="preserve"> of the United States subprime mortgage </w:t>
      </w:r>
      <w:r w:rsidR="00DD192F">
        <w:rPr>
          <w:rFonts w:ascii="Arial" w:hAnsi="Arial" w:cs="Arial"/>
        </w:rPr>
        <w:t xml:space="preserve">market </w:t>
      </w:r>
      <w:r>
        <w:rPr>
          <w:rFonts w:ascii="Arial" w:hAnsi="Arial" w:cs="Arial"/>
        </w:rPr>
        <w:t>was a major contributor to</w:t>
      </w:r>
      <w:r w:rsidR="00EC7E1C" w:rsidRPr="00E50C4A">
        <w:rPr>
          <w:rFonts w:ascii="Arial" w:hAnsi="Arial" w:cs="Arial"/>
        </w:rPr>
        <w:t xml:space="preserve"> the deficit </w:t>
      </w:r>
      <w:r w:rsidR="00DD192F">
        <w:rPr>
          <w:rFonts w:ascii="Arial" w:hAnsi="Arial" w:cs="Arial"/>
        </w:rPr>
        <w:t>announced by the Greek Government in 2009</w:t>
      </w:r>
      <w:r w:rsidR="00EC7E1C" w:rsidRPr="00E50C4A">
        <w:rPr>
          <w:rFonts w:ascii="Arial" w:hAnsi="Arial" w:cs="Arial"/>
        </w:rPr>
        <w:t>.</w:t>
      </w:r>
      <w:r w:rsidR="00EC7E1C" w:rsidRPr="00E50C4A">
        <w:rPr>
          <w:rStyle w:val="FootnoteReference"/>
          <w:rFonts w:ascii="Arial" w:hAnsi="Arial" w:cs="Arial"/>
        </w:rPr>
        <w:footnoteReference w:id="10"/>
      </w:r>
      <w:r w:rsidR="00EC7E1C" w:rsidRPr="00E50C4A">
        <w:rPr>
          <w:rFonts w:ascii="Arial" w:hAnsi="Arial" w:cs="Arial"/>
        </w:rPr>
        <w:t xml:space="preserve"> After 2007, the tax incomes of European nations plummeted, while additional spending was required by </w:t>
      </w:r>
      <w:r w:rsidR="002D2B93" w:rsidRPr="00E50C4A">
        <w:rPr>
          <w:rFonts w:ascii="Arial" w:hAnsi="Arial" w:cs="Arial"/>
        </w:rPr>
        <w:t>governments</w:t>
      </w:r>
      <w:r w:rsidR="00EC7E1C" w:rsidRPr="00E50C4A">
        <w:rPr>
          <w:rFonts w:ascii="Arial" w:hAnsi="Arial" w:cs="Arial"/>
        </w:rPr>
        <w:t xml:space="preserve"> for </w:t>
      </w:r>
      <w:r w:rsidR="00FE7ABB" w:rsidRPr="00E50C4A">
        <w:rPr>
          <w:rFonts w:ascii="Arial" w:hAnsi="Arial" w:cs="Arial"/>
        </w:rPr>
        <w:t>bank bailouts, refinancing</w:t>
      </w:r>
      <w:r w:rsidR="00FE7ABB">
        <w:rPr>
          <w:rFonts w:ascii="Arial" w:hAnsi="Arial" w:cs="Arial"/>
        </w:rPr>
        <w:t>,</w:t>
      </w:r>
      <w:r w:rsidR="00FE7ABB" w:rsidRPr="00E50C4A">
        <w:rPr>
          <w:rFonts w:ascii="Arial" w:hAnsi="Arial" w:cs="Arial"/>
        </w:rPr>
        <w:t xml:space="preserve"> stimulus packages </w:t>
      </w:r>
      <w:r w:rsidR="00FE7ABB">
        <w:rPr>
          <w:rFonts w:ascii="Arial" w:hAnsi="Arial" w:cs="Arial"/>
        </w:rPr>
        <w:t xml:space="preserve">and </w:t>
      </w:r>
      <w:r w:rsidR="00EC7E1C" w:rsidRPr="00E50C4A">
        <w:rPr>
          <w:rFonts w:ascii="Arial" w:hAnsi="Arial" w:cs="Arial"/>
        </w:rPr>
        <w:t>social secur</w:t>
      </w:r>
      <w:r w:rsidR="000E3D01">
        <w:rPr>
          <w:rFonts w:ascii="Arial" w:hAnsi="Arial" w:cs="Arial"/>
        </w:rPr>
        <w:t>ity benefits for the unemployed.</w:t>
      </w:r>
      <w:r w:rsidR="00EC7E1C" w:rsidRPr="00E50C4A">
        <w:rPr>
          <w:rStyle w:val="FootnoteReference"/>
          <w:rFonts w:ascii="Arial" w:hAnsi="Arial" w:cs="Arial"/>
        </w:rPr>
        <w:footnoteReference w:id="11"/>
      </w:r>
      <w:r w:rsidR="007D07E0" w:rsidRPr="00E50C4A">
        <w:rPr>
          <w:rFonts w:ascii="Arial" w:hAnsi="Arial" w:cs="Arial"/>
        </w:rPr>
        <w:t xml:space="preserve"> </w:t>
      </w:r>
    </w:p>
    <w:p w:rsidR="005E4EE2" w:rsidRDefault="009A020C" w:rsidP="00A32DC0">
      <w:pPr>
        <w:tabs>
          <w:tab w:val="num" w:pos="851"/>
        </w:tabs>
        <w:spacing w:before="240" w:after="0" w:line="360" w:lineRule="auto"/>
        <w:jc w:val="both"/>
        <w:rPr>
          <w:rFonts w:ascii="Arial" w:hAnsi="Arial" w:cs="Arial"/>
        </w:rPr>
      </w:pPr>
      <w:r w:rsidRPr="00E50C4A">
        <w:rPr>
          <w:rFonts w:ascii="Arial" w:hAnsi="Arial" w:cs="Arial"/>
        </w:rPr>
        <w:t xml:space="preserve">In the spring of 2010, interest rates for Greek bonds rose to unsustainable levels, and it became </w:t>
      </w:r>
      <w:r w:rsidR="00E50C4A" w:rsidRPr="00E50C4A">
        <w:rPr>
          <w:rFonts w:ascii="Arial" w:hAnsi="Arial" w:cs="Arial"/>
        </w:rPr>
        <w:t>apparent</w:t>
      </w:r>
      <w:r w:rsidRPr="00E50C4A">
        <w:rPr>
          <w:rFonts w:ascii="Arial" w:hAnsi="Arial" w:cs="Arial"/>
        </w:rPr>
        <w:t xml:space="preserve"> that Greece would lose access to market financing.</w:t>
      </w:r>
      <w:r w:rsidR="00101E78">
        <w:rPr>
          <w:rStyle w:val="FootnoteReference"/>
          <w:rFonts w:ascii="Arial" w:hAnsi="Arial" w:cs="Arial"/>
        </w:rPr>
        <w:footnoteReference w:id="12"/>
      </w:r>
      <w:r w:rsidRPr="00E50C4A">
        <w:rPr>
          <w:rFonts w:ascii="Arial" w:hAnsi="Arial" w:cs="Arial"/>
        </w:rPr>
        <w:t xml:space="preserve"> </w:t>
      </w:r>
      <w:r w:rsidR="00D44F83">
        <w:rPr>
          <w:rFonts w:ascii="Arial" w:hAnsi="Arial" w:cs="Arial"/>
        </w:rPr>
        <w:t xml:space="preserve">As Greece was a </w:t>
      </w:r>
      <w:r w:rsidR="00C74FE4">
        <w:rPr>
          <w:rFonts w:ascii="Arial" w:hAnsi="Arial" w:cs="Arial"/>
        </w:rPr>
        <w:t>E</w:t>
      </w:r>
      <w:r w:rsidR="00D44F83">
        <w:rPr>
          <w:rFonts w:ascii="Arial" w:hAnsi="Arial" w:cs="Arial"/>
        </w:rPr>
        <w:t>uro</w:t>
      </w:r>
      <w:r w:rsidR="003A2E74">
        <w:rPr>
          <w:rFonts w:ascii="Arial" w:hAnsi="Arial" w:cs="Arial"/>
        </w:rPr>
        <w:t>zone</w:t>
      </w:r>
      <w:r w:rsidR="00D44F83">
        <w:rPr>
          <w:rFonts w:ascii="Arial" w:hAnsi="Arial" w:cs="Arial"/>
        </w:rPr>
        <w:t xml:space="preserve"> Member Nation, it did not have the option of printing money (and consequently devaluing its currency), in order to prevent default.</w:t>
      </w:r>
      <w:r w:rsidR="00D44F83">
        <w:rPr>
          <w:rStyle w:val="FootnoteReference"/>
          <w:rFonts w:ascii="Arial" w:hAnsi="Arial" w:cs="Arial"/>
        </w:rPr>
        <w:footnoteReference w:id="13"/>
      </w:r>
      <w:r w:rsidR="00D44F83">
        <w:rPr>
          <w:rFonts w:ascii="Arial" w:hAnsi="Arial" w:cs="Arial"/>
        </w:rPr>
        <w:t xml:space="preserve"> W</w:t>
      </w:r>
      <w:r w:rsidR="005E4EE2">
        <w:rPr>
          <w:rFonts w:ascii="Arial" w:hAnsi="Arial" w:cs="Arial"/>
        </w:rPr>
        <w:t xml:space="preserve">hile withdrawal </w:t>
      </w:r>
      <w:r w:rsidR="00D44F83">
        <w:rPr>
          <w:rFonts w:ascii="Arial" w:hAnsi="Arial" w:cs="Arial"/>
        </w:rPr>
        <w:t xml:space="preserve">from the </w:t>
      </w:r>
      <w:r w:rsidR="00C74FE4">
        <w:rPr>
          <w:rFonts w:ascii="Arial" w:hAnsi="Arial" w:cs="Arial"/>
        </w:rPr>
        <w:t>E</w:t>
      </w:r>
      <w:r w:rsidR="00D44F83">
        <w:rPr>
          <w:rFonts w:ascii="Arial" w:hAnsi="Arial" w:cs="Arial"/>
        </w:rPr>
        <w:t>uro</w:t>
      </w:r>
      <w:r w:rsidR="003A2E74">
        <w:rPr>
          <w:rFonts w:ascii="Arial" w:hAnsi="Arial" w:cs="Arial"/>
        </w:rPr>
        <w:t>zone</w:t>
      </w:r>
      <w:r w:rsidR="005E4EE2">
        <w:rPr>
          <w:rFonts w:ascii="Arial" w:hAnsi="Arial" w:cs="Arial"/>
        </w:rPr>
        <w:t xml:space="preserve"> may have presented a potential option</w:t>
      </w:r>
      <w:r w:rsidR="00D44F83">
        <w:rPr>
          <w:rFonts w:ascii="Arial" w:hAnsi="Arial" w:cs="Arial"/>
        </w:rPr>
        <w:t xml:space="preserve"> to re-establish monetary sovereignty, </w:t>
      </w:r>
      <w:r w:rsidR="005E4EE2">
        <w:rPr>
          <w:rFonts w:ascii="Arial" w:hAnsi="Arial" w:cs="Arial"/>
        </w:rPr>
        <w:t>this action woul</w:t>
      </w:r>
      <w:r w:rsidR="00A32DC0">
        <w:rPr>
          <w:rFonts w:ascii="Arial" w:hAnsi="Arial" w:cs="Arial"/>
        </w:rPr>
        <w:t>d have been legally troublesome</w:t>
      </w:r>
      <w:r w:rsidR="000D7292">
        <w:rPr>
          <w:rFonts w:ascii="Arial" w:hAnsi="Arial" w:cs="Arial"/>
        </w:rPr>
        <w:t xml:space="preserve">. </w:t>
      </w:r>
      <w:r w:rsidR="00EA65F2">
        <w:rPr>
          <w:rFonts w:ascii="Arial" w:hAnsi="Arial" w:cs="Arial"/>
        </w:rPr>
        <w:t>Whereas</w:t>
      </w:r>
      <w:r w:rsidR="000D7292">
        <w:rPr>
          <w:rFonts w:ascii="Arial" w:hAnsi="Arial" w:cs="Arial"/>
        </w:rPr>
        <w:t xml:space="preserve"> Article 50 of the </w:t>
      </w:r>
      <w:r w:rsidR="000D7292" w:rsidRPr="000D7292">
        <w:rPr>
          <w:rFonts w:ascii="Arial" w:hAnsi="Arial" w:cs="Arial"/>
          <w:i/>
        </w:rPr>
        <w:t>Treaty on European Union</w:t>
      </w:r>
      <w:r w:rsidR="000D7292">
        <w:rPr>
          <w:rFonts w:ascii="Arial" w:hAnsi="Arial" w:cs="Arial"/>
        </w:rPr>
        <w:t xml:space="preserve"> (</w:t>
      </w:r>
      <w:r w:rsidR="000D7292" w:rsidRPr="000D7292">
        <w:rPr>
          <w:rFonts w:ascii="Arial" w:hAnsi="Arial" w:cs="Arial"/>
          <w:i/>
        </w:rPr>
        <w:t>TEU</w:t>
      </w:r>
      <w:r w:rsidR="000D7292">
        <w:rPr>
          <w:rFonts w:ascii="Arial" w:hAnsi="Arial" w:cs="Arial"/>
        </w:rPr>
        <w:t>) contains a provision for a nation’s withdrawal from the EU, the treaties</w:t>
      </w:r>
      <w:r w:rsidR="003D6FAC">
        <w:rPr>
          <w:rFonts w:ascii="Arial" w:hAnsi="Arial" w:cs="Arial"/>
        </w:rPr>
        <w:t xml:space="preserve"> are</w:t>
      </w:r>
      <w:r w:rsidR="000D7292">
        <w:rPr>
          <w:rFonts w:ascii="Arial" w:hAnsi="Arial" w:cs="Arial"/>
        </w:rPr>
        <w:t xml:space="preserve"> silent</w:t>
      </w:r>
      <w:r w:rsidR="005E4EE2">
        <w:rPr>
          <w:rFonts w:ascii="Arial" w:hAnsi="Arial" w:cs="Arial"/>
        </w:rPr>
        <w:t xml:space="preserve"> o</w:t>
      </w:r>
      <w:r w:rsidR="000D7292">
        <w:rPr>
          <w:rFonts w:ascii="Arial" w:hAnsi="Arial" w:cs="Arial"/>
        </w:rPr>
        <w:t>n</w:t>
      </w:r>
      <w:r w:rsidR="005E4EE2">
        <w:rPr>
          <w:rFonts w:ascii="Arial" w:hAnsi="Arial" w:cs="Arial"/>
        </w:rPr>
        <w:t xml:space="preserve"> th</w:t>
      </w:r>
      <w:r w:rsidR="000D7292">
        <w:rPr>
          <w:rFonts w:ascii="Arial" w:hAnsi="Arial" w:cs="Arial"/>
        </w:rPr>
        <w:t>e</w:t>
      </w:r>
      <w:r w:rsidR="005E4EE2">
        <w:rPr>
          <w:rFonts w:ascii="Arial" w:hAnsi="Arial" w:cs="Arial"/>
        </w:rPr>
        <w:t xml:space="preserve"> subject </w:t>
      </w:r>
      <w:r w:rsidR="000D7292">
        <w:rPr>
          <w:rFonts w:ascii="Arial" w:hAnsi="Arial" w:cs="Arial"/>
        </w:rPr>
        <w:t xml:space="preserve">of a state exiting the </w:t>
      </w:r>
      <w:r w:rsidR="00C74FE4">
        <w:rPr>
          <w:rFonts w:ascii="Arial" w:hAnsi="Arial" w:cs="Arial"/>
        </w:rPr>
        <w:t>E</w:t>
      </w:r>
      <w:r w:rsidR="000D7292">
        <w:rPr>
          <w:rFonts w:ascii="Arial" w:hAnsi="Arial" w:cs="Arial"/>
        </w:rPr>
        <w:t>urozone</w:t>
      </w:r>
      <w:r w:rsidR="00A32DC0">
        <w:rPr>
          <w:rFonts w:ascii="Arial" w:hAnsi="Arial" w:cs="Arial"/>
        </w:rPr>
        <w:t>.</w:t>
      </w:r>
      <w:r w:rsidR="00A32DC0">
        <w:rPr>
          <w:rStyle w:val="FootnoteReference"/>
          <w:rFonts w:ascii="Arial" w:hAnsi="Arial" w:cs="Arial"/>
        </w:rPr>
        <w:footnoteReference w:id="14"/>
      </w:r>
      <w:r w:rsidR="005E4EE2">
        <w:rPr>
          <w:rFonts w:ascii="Arial" w:hAnsi="Arial" w:cs="Arial"/>
        </w:rPr>
        <w:t xml:space="preserve"> </w:t>
      </w:r>
      <w:r w:rsidR="00A32DC0">
        <w:rPr>
          <w:rFonts w:ascii="Arial" w:hAnsi="Arial" w:cs="Arial"/>
        </w:rPr>
        <w:t>It would also have been likely that e</w:t>
      </w:r>
      <w:r w:rsidR="003A2E74">
        <w:rPr>
          <w:rFonts w:ascii="Arial" w:hAnsi="Arial" w:cs="Arial"/>
        </w:rPr>
        <w:t>xtreme resistance would have</w:t>
      </w:r>
      <w:r w:rsidR="00A32DC0">
        <w:rPr>
          <w:rFonts w:ascii="Arial" w:hAnsi="Arial" w:cs="Arial"/>
        </w:rPr>
        <w:t xml:space="preserve"> </w:t>
      </w:r>
      <w:r w:rsidR="003A2E74">
        <w:rPr>
          <w:rFonts w:ascii="Arial" w:hAnsi="Arial" w:cs="Arial"/>
        </w:rPr>
        <w:t xml:space="preserve">been </w:t>
      </w:r>
      <w:r w:rsidR="00101E78">
        <w:rPr>
          <w:rFonts w:ascii="Arial" w:hAnsi="Arial" w:cs="Arial"/>
        </w:rPr>
        <w:t>provided</w:t>
      </w:r>
      <w:r w:rsidR="005E4EE2">
        <w:rPr>
          <w:rFonts w:ascii="Arial" w:hAnsi="Arial" w:cs="Arial"/>
        </w:rPr>
        <w:t xml:space="preserve"> </w:t>
      </w:r>
      <w:r w:rsidR="00A32DC0">
        <w:rPr>
          <w:rFonts w:ascii="Arial" w:hAnsi="Arial" w:cs="Arial"/>
        </w:rPr>
        <w:t xml:space="preserve">against such a move </w:t>
      </w:r>
      <w:r w:rsidR="00101E78">
        <w:rPr>
          <w:rFonts w:ascii="Arial" w:hAnsi="Arial" w:cs="Arial"/>
        </w:rPr>
        <w:t xml:space="preserve">by </w:t>
      </w:r>
      <w:r w:rsidR="00256466">
        <w:rPr>
          <w:rFonts w:ascii="Arial" w:hAnsi="Arial" w:cs="Arial"/>
        </w:rPr>
        <w:t xml:space="preserve">other </w:t>
      </w:r>
      <w:r w:rsidR="00C74FE4">
        <w:rPr>
          <w:rFonts w:ascii="Arial" w:hAnsi="Arial" w:cs="Arial"/>
        </w:rPr>
        <w:t>E</w:t>
      </w:r>
      <w:r w:rsidR="00256466">
        <w:rPr>
          <w:rFonts w:ascii="Arial" w:hAnsi="Arial" w:cs="Arial"/>
        </w:rPr>
        <w:t>urozone</w:t>
      </w:r>
      <w:r w:rsidR="005E4EE2">
        <w:rPr>
          <w:rFonts w:ascii="Arial" w:hAnsi="Arial" w:cs="Arial"/>
        </w:rPr>
        <w:t xml:space="preserve"> nations</w:t>
      </w:r>
      <w:r w:rsidR="00A32DC0">
        <w:rPr>
          <w:rFonts w:ascii="Arial" w:hAnsi="Arial" w:cs="Arial"/>
        </w:rPr>
        <w:t>,</w:t>
      </w:r>
      <w:r w:rsidR="005E4EE2">
        <w:rPr>
          <w:rFonts w:ascii="Arial" w:hAnsi="Arial" w:cs="Arial"/>
        </w:rPr>
        <w:t xml:space="preserve"> due to the </w:t>
      </w:r>
      <w:r w:rsidR="003A2E74">
        <w:rPr>
          <w:rFonts w:ascii="Arial" w:hAnsi="Arial" w:cs="Arial"/>
        </w:rPr>
        <w:t xml:space="preserve">potential </w:t>
      </w:r>
      <w:r w:rsidR="005E4EE2">
        <w:rPr>
          <w:rFonts w:ascii="Arial" w:hAnsi="Arial" w:cs="Arial"/>
        </w:rPr>
        <w:t xml:space="preserve">impact </w:t>
      </w:r>
      <w:r w:rsidR="00DD192F">
        <w:rPr>
          <w:rFonts w:ascii="Arial" w:hAnsi="Arial" w:cs="Arial"/>
        </w:rPr>
        <w:t xml:space="preserve">such an action would have </w:t>
      </w:r>
      <w:r w:rsidR="00A32DC0">
        <w:rPr>
          <w:rFonts w:ascii="Arial" w:hAnsi="Arial" w:cs="Arial"/>
        </w:rPr>
        <w:t xml:space="preserve">had </w:t>
      </w:r>
      <w:r w:rsidR="005E4EE2">
        <w:rPr>
          <w:rFonts w:ascii="Arial" w:hAnsi="Arial" w:cs="Arial"/>
        </w:rPr>
        <w:t>upon the value of the euro.</w:t>
      </w:r>
      <w:r w:rsidR="005E4EE2">
        <w:rPr>
          <w:rStyle w:val="FootnoteReference"/>
          <w:rFonts w:ascii="Arial" w:hAnsi="Arial" w:cs="Arial"/>
        </w:rPr>
        <w:footnoteReference w:id="15"/>
      </w:r>
    </w:p>
    <w:p w:rsidR="00A13B22" w:rsidRDefault="007D07E0" w:rsidP="00052B8B">
      <w:pPr>
        <w:tabs>
          <w:tab w:val="num" w:pos="851"/>
        </w:tabs>
        <w:spacing w:before="240" w:after="0" w:line="360" w:lineRule="auto"/>
        <w:jc w:val="both"/>
        <w:rPr>
          <w:rFonts w:ascii="Arial" w:hAnsi="Arial" w:cs="Arial"/>
        </w:rPr>
      </w:pPr>
      <w:r w:rsidRPr="00E50C4A">
        <w:rPr>
          <w:rFonts w:ascii="Arial" w:hAnsi="Arial" w:cs="Arial"/>
        </w:rPr>
        <w:lastRenderedPageBreak/>
        <w:t xml:space="preserve">A rescue package </w:t>
      </w:r>
      <w:r w:rsidR="007332DE" w:rsidRPr="00E50C4A">
        <w:rPr>
          <w:rFonts w:ascii="Arial" w:hAnsi="Arial" w:cs="Arial"/>
        </w:rPr>
        <w:t xml:space="preserve">for Greece </w:t>
      </w:r>
      <w:r w:rsidRPr="00E50C4A">
        <w:rPr>
          <w:rFonts w:ascii="Arial" w:hAnsi="Arial" w:cs="Arial"/>
        </w:rPr>
        <w:t>was subsequently implemented</w:t>
      </w:r>
      <w:r w:rsidR="00052B8B">
        <w:rPr>
          <w:rFonts w:ascii="Arial" w:hAnsi="Arial" w:cs="Arial"/>
        </w:rPr>
        <w:t xml:space="preserve"> </w:t>
      </w:r>
      <w:r w:rsidRPr="00E50C4A">
        <w:rPr>
          <w:rFonts w:ascii="Arial" w:hAnsi="Arial" w:cs="Arial"/>
        </w:rPr>
        <w:t xml:space="preserve">by the </w:t>
      </w:r>
      <w:r w:rsidR="00C74FE4">
        <w:rPr>
          <w:rFonts w:ascii="Arial" w:hAnsi="Arial" w:cs="Arial"/>
        </w:rPr>
        <w:t>Eurozone</w:t>
      </w:r>
      <w:r w:rsidRPr="00E50C4A">
        <w:rPr>
          <w:rFonts w:ascii="Arial" w:hAnsi="Arial" w:cs="Arial"/>
        </w:rPr>
        <w:t xml:space="preserve"> Member States and the International Monetary Fund</w:t>
      </w:r>
      <w:r w:rsidR="00101E78">
        <w:rPr>
          <w:rFonts w:ascii="Arial" w:hAnsi="Arial" w:cs="Arial"/>
        </w:rPr>
        <w:t xml:space="preserve"> (IMF)</w:t>
      </w:r>
      <w:r w:rsidRPr="00E50C4A">
        <w:rPr>
          <w:rFonts w:ascii="Arial" w:hAnsi="Arial" w:cs="Arial"/>
        </w:rPr>
        <w:t xml:space="preserve">, </w:t>
      </w:r>
      <w:r w:rsidR="00052B8B">
        <w:rPr>
          <w:rFonts w:ascii="Arial" w:hAnsi="Arial" w:cs="Arial"/>
        </w:rPr>
        <w:t>which included</w:t>
      </w:r>
      <w:r w:rsidRPr="00E50C4A">
        <w:rPr>
          <w:rFonts w:ascii="Arial" w:hAnsi="Arial" w:cs="Arial"/>
        </w:rPr>
        <w:t xml:space="preserve"> 110 billion</w:t>
      </w:r>
      <w:r w:rsidR="005E4EE2">
        <w:rPr>
          <w:rFonts w:ascii="Arial" w:hAnsi="Arial" w:cs="Arial"/>
        </w:rPr>
        <w:t xml:space="preserve"> euro</w:t>
      </w:r>
      <w:r w:rsidRPr="00E50C4A">
        <w:rPr>
          <w:rFonts w:ascii="Arial" w:hAnsi="Arial" w:cs="Arial"/>
        </w:rPr>
        <w:t xml:space="preserve"> of bilateral loans.</w:t>
      </w:r>
      <w:r w:rsidRPr="00E50C4A">
        <w:rPr>
          <w:rStyle w:val="FootnoteReference"/>
          <w:rFonts w:ascii="Arial" w:hAnsi="Arial" w:cs="Arial"/>
        </w:rPr>
        <w:footnoteReference w:id="16"/>
      </w:r>
      <w:r w:rsidRPr="00E50C4A">
        <w:rPr>
          <w:rFonts w:ascii="Arial" w:hAnsi="Arial" w:cs="Arial"/>
        </w:rPr>
        <w:t xml:space="preserve"> </w:t>
      </w:r>
      <w:r w:rsidR="00052B8B">
        <w:rPr>
          <w:rFonts w:ascii="Arial" w:hAnsi="Arial" w:cs="Arial"/>
        </w:rPr>
        <w:t xml:space="preserve">The </w:t>
      </w:r>
      <w:r w:rsidR="00052B8B" w:rsidRPr="00A13B22">
        <w:rPr>
          <w:rFonts w:ascii="Arial" w:hAnsi="Arial" w:cs="Arial"/>
        </w:rPr>
        <w:t>temporary European Financial Stability Facility (EFSF)</w:t>
      </w:r>
      <w:r w:rsidR="00002CA2">
        <w:rPr>
          <w:rFonts w:ascii="Arial" w:hAnsi="Arial" w:cs="Arial"/>
        </w:rPr>
        <w:t xml:space="preserve">, which had an effective lending capacity of 440 billion euros, </w:t>
      </w:r>
      <w:r w:rsidR="00052B8B">
        <w:rPr>
          <w:rFonts w:ascii="Arial" w:hAnsi="Arial" w:cs="Arial"/>
        </w:rPr>
        <w:t xml:space="preserve">was an additional counter-crisis measure that was </w:t>
      </w:r>
      <w:r w:rsidR="00002CA2">
        <w:rPr>
          <w:rFonts w:ascii="Arial" w:hAnsi="Arial" w:cs="Arial"/>
        </w:rPr>
        <w:t>executed</w:t>
      </w:r>
      <w:r w:rsidR="00052B8B">
        <w:rPr>
          <w:rFonts w:ascii="Arial" w:hAnsi="Arial" w:cs="Arial"/>
        </w:rPr>
        <w:t xml:space="preserve"> under international law</w:t>
      </w:r>
      <w:r w:rsidR="00002CA2">
        <w:rPr>
          <w:rFonts w:ascii="Arial" w:hAnsi="Arial" w:cs="Arial"/>
        </w:rPr>
        <w:t>.</w:t>
      </w:r>
      <w:r w:rsidR="00052B8B">
        <w:rPr>
          <w:rFonts w:ascii="Arial" w:hAnsi="Arial" w:cs="Arial"/>
        </w:rPr>
        <w:t xml:space="preserve"> T</w:t>
      </w:r>
      <w:r w:rsidRPr="00A13B22">
        <w:rPr>
          <w:rFonts w:ascii="Arial" w:hAnsi="Arial" w:cs="Arial"/>
        </w:rPr>
        <w:t xml:space="preserve">he European Financial </w:t>
      </w:r>
      <w:r w:rsidR="00052B8B">
        <w:rPr>
          <w:rFonts w:ascii="Arial" w:hAnsi="Arial" w:cs="Arial"/>
        </w:rPr>
        <w:t>Stabilization Mechanism (EFSM)</w:t>
      </w:r>
      <w:r w:rsidR="00002CA2">
        <w:rPr>
          <w:rFonts w:ascii="Arial" w:hAnsi="Arial" w:cs="Arial"/>
        </w:rPr>
        <w:t xml:space="preserve"> was a response to the crisis</w:t>
      </w:r>
      <w:r w:rsidR="00424FF2">
        <w:rPr>
          <w:rFonts w:ascii="Arial" w:hAnsi="Arial" w:cs="Arial"/>
        </w:rPr>
        <w:t xml:space="preserve"> instituted</w:t>
      </w:r>
      <w:r w:rsidR="00B76B0C">
        <w:rPr>
          <w:rFonts w:ascii="Arial" w:hAnsi="Arial" w:cs="Arial"/>
        </w:rPr>
        <w:t xml:space="preserve"> under European law</w:t>
      </w:r>
      <w:r w:rsidR="00002CA2">
        <w:rPr>
          <w:rFonts w:ascii="Arial" w:hAnsi="Arial" w:cs="Arial"/>
        </w:rPr>
        <w:t xml:space="preserve"> that was based upon Article 122(2) of the </w:t>
      </w:r>
      <w:r w:rsidR="00002CA2" w:rsidRPr="00002CA2">
        <w:rPr>
          <w:rFonts w:ascii="Arial" w:hAnsi="Arial" w:cs="Arial"/>
          <w:i/>
        </w:rPr>
        <w:t>Treaty on the Functioning of the European Union</w:t>
      </w:r>
      <w:r w:rsidR="00002CA2">
        <w:rPr>
          <w:rFonts w:ascii="Arial" w:hAnsi="Arial" w:cs="Arial"/>
        </w:rPr>
        <w:t xml:space="preserve"> (</w:t>
      </w:r>
      <w:r w:rsidR="00002CA2" w:rsidRPr="00002CA2">
        <w:rPr>
          <w:rFonts w:ascii="Arial" w:hAnsi="Arial" w:cs="Arial"/>
          <w:i/>
        </w:rPr>
        <w:t>TFEU</w:t>
      </w:r>
      <w:r w:rsidR="00002CA2">
        <w:rPr>
          <w:rFonts w:ascii="Arial" w:hAnsi="Arial" w:cs="Arial"/>
          <w:i/>
        </w:rPr>
        <w:t>)</w:t>
      </w:r>
      <w:r w:rsidR="00002CA2">
        <w:rPr>
          <w:rFonts w:ascii="Arial" w:hAnsi="Arial" w:cs="Arial"/>
        </w:rPr>
        <w:t>.</w:t>
      </w:r>
      <w:r w:rsidR="00002CA2" w:rsidRPr="00E50C4A">
        <w:rPr>
          <w:rStyle w:val="FootnoteReference"/>
          <w:rFonts w:ascii="Arial" w:hAnsi="Arial" w:cs="Arial"/>
        </w:rPr>
        <w:footnoteReference w:id="17"/>
      </w:r>
      <w:r w:rsidR="00002CA2" w:rsidRPr="00A13B22">
        <w:rPr>
          <w:rFonts w:ascii="Arial" w:hAnsi="Arial" w:cs="Arial"/>
        </w:rPr>
        <w:t xml:space="preserve"> </w:t>
      </w:r>
      <w:r w:rsidR="00002CA2">
        <w:rPr>
          <w:rFonts w:ascii="Arial" w:hAnsi="Arial" w:cs="Arial"/>
        </w:rPr>
        <w:t xml:space="preserve"> </w:t>
      </w:r>
    </w:p>
    <w:p w:rsidR="0006429E" w:rsidRPr="00A13B22" w:rsidRDefault="00EB6380" w:rsidP="00A13B22">
      <w:pPr>
        <w:tabs>
          <w:tab w:val="num" w:pos="851"/>
        </w:tabs>
        <w:spacing w:before="240" w:after="0" w:line="360" w:lineRule="auto"/>
        <w:jc w:val="both"/>
        <w:rPr>
          <w:rFonts w:ascii="Arial" w:hAnsi="Arial" w:cs="Arial"/>
        </w:rPr>
      </w:pPr>
      <w:r w:rsidRPr="00A13B22">
        <w:rPr>
          <w:rFonts w:ascii="Arial" w:hAnsi="Arial" w:cs="Arial"/>
        </w:rPr>
        <w:t>Loans</w:t>
      </w:r>
      <w:r w:rsidR="00424FF2">
        <w:rPr>
          <w:rFonts w:ascii="Arial" w:hAnsi="Arial" w:cs="Arial"/>
        </w:rPr>
        <w:t xml:space="preserve"> to Greece</w:t>
      </w:r>
      <w:r w:rsidRPr="00A13B22">
        <w:rPr>
          <w:rFonts w:ascii="Arial" w:hAnsi="Arial" w:cs="Arial"/>
        </w:rPr>
        <w:t xml:space="preserve"> were made conditional upon the implementation of economic austerity and structural reform programs.</w:t>
      </w:r>
      <w:r>
        <w:rPr>
          <w:rStyle w:val="FootnoteReference"/>
          <w:rFonts w:ascii="Arial" w:hAnsi="Arial" w:cs="Arial"/>
        </w:rPr>
        <w:footnoteReference w:id="18"/>
      </w:r>
      <w:r w:rsidR="005D0386" w:rsidRPr="00A13B22">
        <w:rPr>
          <w:rFonts w:ascii="Arial" w:hAnsi="Arial" w:cs="Arial"/>
        </w:rPr>
        <w:t xml:space="preserve"> As the crisis spread to Cyprus, Ireland, Portugal and Spain, demands were made on the crisis hit countries to lower wage costs, cut social services and implement privitisation.</w:t>
      </w:r>
      <w:r w:rsidR="005D0386">
        <w:rPr>
          <w:rStyle w:val="FootnoteReference"/>
          <w:rFonts w:ascii="Arial" w:hAnsi="Arial" w:cs="Arial"/>
        </w:rPr>
        <w:footnoteReference w:id="19"/>
      </w:r>
      <w:r w:rsidR="00A13B22">
        <w:rPr>
          <w:rFonts w:ascii="Arial" w:hAnsi="Arial" w:cs="Arial"/>
        </w:rPr>
        <w:t xml:space="preserve"> </w:t>
      </w:r>
      <w:r w:rsidR="00B76B0C">
        <w:rPr>
          <w:rFonts w:ascii="Arial" w:hAnsi="Arial" w:cs="Arial"/>
        </w:rPr>
        <w:t>There is a strong argument</w:t>
      </w:r>
      <w:r w:rsidR="00B91630">
        <w:rPr>
          <w:rFonts w:ascii="Arial" w:hAnsi="Arial" w:cs="Arial"/>
        </w:rPr>
        <w:t xml:space="preserve"> that the implementation of austerity and structural reform programs compromised the sovereignty of these crisis hit nations.</w:t>
      </w:r>
    </w:p>
    <w:p w:rsidR="005D0386" w:rsidRPr="002E44C2" w:rsidRDefault="00226971" w:rsidP="00CF363F">
      <w:pPr>
        <w:tabs>
          <w:tab w:val="num" w:pos="993"/>
        </w:tabs>
        <w:spacing w:before="240" w:after="240" w:line="360" w:lineRule="auto"/>
        <w:jc w:val="both"/>
        <w:rPr>
          <w:rFonts w:ascii="Arial" w:hAnsi="Arial" w:cs="Arial"/>
          <w:b/>
          <w:sz w:val="24"/>
          <w:szCs w:val="24"/>
        </w:rPr>
      </w:pPr>
      <w:r>
        <w:rPr>
          <w:rFonts w:ascii="Arial" w:hAnsi="Arial" w:cs="Arial"/>
          <w:b/>
          <w:sz w:val="24"/>
          <w:szCs w:val="24"/>
        </w:rPr>
        <w:t>Process of Reform</w:t>
      </w:r>
    </w:p>
    <w:p w:rsidR="005D0386" w:rsidRDefault="005D0386" w:rsidP="0019287B">
      <w:pPr>
        <w:tabs>
          <w:tab w:val="num" w:pos="993"/>
        </w:tabs>
        <w:spacing w:before="240" w:after="0" w:line="360" w:lineRule="auto"/>
        <w:jc w:val="both"/>
        <w:rPr>
          <w:rFonts w:ascii="Arial" w:hAnsi="Arial" w:cs="Arial"/>
        </w:rPr>
      </w:pPr>
      <w:r>
        <w:rPr>
          <w:rFonts w:ascii="Arial" w:hAnsi="Arial" w:cs="Arial"/>
        </w:rPr>
        <w:t>Following the spread of the sovereign debt crisis to Italy and Spain, where refinancing costs had skyrocketed, the view had developed that Europe would not be able to withstand the crisis through the readjustment of existing government instruments.</w:t>
      </w:r>
      <w:r>
        <w:rPr>
          <w:rStyle w:val="FootnoteReference"/>
          <w:rFonts w:ascii="Arial" w:hAnsi="Arial" w:cs="Arial"/>
        </w:rPr>
        <w:footnoteReference w:id="20"/>
      </w:r>
      <w:r>
        <w:rPr>
          <w:rFonts w:ascii="Arial" w:hAnsi="Arial" w:cs="Arial"/>
        </w:rPr>
        <w:t xml:space="preserve"> </w:t>
      </w:r>
      <w:r w:rsidR="00256466">
        <w:rPr>
          <w:rFonts w:ascii="Arial" w:hAnsi="Arial" w:cs="Arial"/>
        </w:rPr>
        <w:t xml:space="preserve">The election of Francois Hollande as President of France in 2012, also provided a strong voice </w:t>
      </w:r>
      <w:r w:rsidR="0019287B">
        <w:rPr>
          <w:rFonts w:ascii="Arial" w:hAnsi="Arial" w:cs="Arial"/>
        </w:rPr>
        <w:t>against</w:t>
      </w:r>
      <w:r w:rsidR="001902E7">
        <w:rPr>
          <w:rFonts w:ascii="Arial" w:hAnsi="Arial" w:cs="Arial"/>
        </w:rPr>
        <w:t xml:space="preserve"> the</w:t>
      </w:r>
      <w:r w:rsidR="0019287B">
        <w:rPr>
          <w:rFonts w:ascii="Arial" w:hAnsi="Arial" w:cs="Arial"/>
        </w:rPr>
        <w:t xml:space="preserve"> implementation of</w:t>
      </w:r>
      <w:r w:rsidR="001902E7">
        <w:rPr>
          <w:rFonts w:ascii="Arial" w:hAnsi="Arial" w:cs="Arial"/>
        </w:rPr>
        <w:t xml:space="preserve"> austerity </w:t>
      </w:r>
      <w:r w:rsidR="00C17248">
        <w:rPr>
          <w:rFonts w:ascii="Arial" w:hAnsi="Arial" w:cs="Arial"/>
        </w:rPr>
        <w:t xml:space="preserve">measures </w:t>
      </w:r>
      <w:r w:rsidR="008D11E7">
        <w:rPr>
          <w:rFonts w:ascii="Arial" w:hAnsi="Arial" w:cs="Arial"/>
        </w:rPr>
        <w:t>in</w:t>
      </w:r>
      <w:r w:rsidR="001902E7">
        <w:rPr>
          <w:rFonts w:ascii="Arial" w:hAnsi="Arial" w:cs="Arial"/>
        </w:rPr>
        <w:t xml:space="preserve"> response to the crisis.</w:t>
      </w:r>
      <w:r w:rsidR="001902E7">
        <w:rPr>
          <w:rStyle w:val="FootnoteReference"/>
          <w:rFonts w:ascii="Arial" w:hAnsi="Arial" w:cs="Arial"/>
        </w:rPr>
        <w:footnoteReference w:id="21"/>
      </w:r>
      <w:r w:rsidR="00256466">
        <w:rPr>
          <w:rFonts w:ascii="Arial" w:hAnsi="Arial" w:cs="Arial"/>
        </w:rPr>
        <w:t xml:space="preserve">   </w:t>
      </w:r>
      <w:r>
        <w:rPr>
          <w:rFonts w:ascii="Arial" w:hAnsi="Arial" w:cs="Arial"/>
        </w:rPr>
        <w:t>At their meeting on 26 October 2011, the governments of the euro Member States asked the President of the European Commission, Herman V</w:t>
      </w:r>
      <w:r w:rsidR="007D41EE">
        <w:rPr>
          <w:rFonts w:ascii="Arial" w:hAnsi="Arial" w:cs="Arial"/>
        </w:rPr>
        <w:t>a</w:t>
      </w:r>
      <w:r>
        <w:rPr>
          <w:rFonts w:ascii="Arial" w:hAnsi="Arial" w:cs="Arial"/>
        </w:rPr>
        <w:t>n Rompuy, to identify possible steps to ‘strengthen the economic union to make it commensurate with the monetary union</w:t>
      </w:r>
      <w:r w:rsidR="00C361BB">
        <w:rPr>
          <w:rFonts w:ascii="Arial" w:hAnsi="Arial" w:cs="Arial"/>
        </w:rPr>
        <w:t>’</w:t>
      </w:r>
      <w:r>
        <w:rPr>
          <w:rFonts w:ascii="Arial" w:hAnsi="Arial" w:cs="Arial"/>
        </w:rPr>
        <w:t>.</w:t>
      </w:r>
      <w:r>
        <w:rPr>
          <w:rStyle w:val="FootnoteReference"/>
          <w:rFonts w:ascii="Arial" w:hAnsi="Arial" w:cs="Arial"/>
        </w:rPr>
        <w:footnoteReference w:id="22"/>
      </w:r>
      <w:r>
        <w:rPr>
          <w:rFonts w:ascii="Arial" w:hAnsi="Arial" w:cs="Arial"/>
        </w:rPr>
        <w:t xml:space="preserve"> It was requested that the report</w:t>
      </w:r>
      <w:r w:rsidR="00220FBF">
        <w:rPr>
          <w:rFonts w:ascii="Arial" w:hAnsi="Arial" w:cs="Arial"/>
        </w:rPr>
        <w:t xml:space="preserve"> </w:t>
      </w:r>
      <w:r>
        <w:rPr>
          <w:rFonts w:ascii="Arial" w:hAnsi="Arial" w:cs="Arial"/>
        </w:rPr>
        <w:t xml:space="preserve">focus upon ‘strengthening economic convergence within the </w:t>
      </w:r>
      <w:r w:rsidR="00C74FE4">
        <w:rPr>
          <w:rFonts w:ascii="Arial" w:hAnsi="Arial" w:cs="Arial"/>
        </w:rPr>
        <w:t>Eurozone</w:t>
      </w:r>
      <w:r>
        <w:rPr>
          <w:rFonts w:ascii="Arial" w:hAnsi="Arial" w:cs="Arial"/>
        </w:rPr>
        <w:t xml:space="preserve">, improving fiscal discipline’ </w:t>
      </w:r>
      <w:r w:rsidR="000E3D01">
        <w:rPr>
          <w:rFonts w:ascii="Arial" w:hAnsi="Arial" w:cs="Arial"/>
        </w:rPr>
        <w:t>and</w:t>
      </w:r>
      <w:r w:rsidR="00291F23">
        <w:rPr>
          <w:rFonts w:ascii="Arial" w:hAnsi="Arial" w:cs="Arial"/>
        </w:rPr>
        <w:t xml:space="preserve"> exploring</w:t>
      </w:r>
      <w:r>
        <w:rPr>
          <w:rFonts w:ascii="Arial" w:hAnsi="Arial" w:cs="Arial"/>
        </w:rPr>
        <w:t xml:space="preserve"> ‘the possibility of limited Treaty changes’.</w:t>
      </w:r>
      <w:r>
        <w:rPr>
          <w:rStyle w:val="FootnoteReference"/>
          <w:rFonts w:ascii="Arial" w:hAnsi="Arial" w:cs="Arial"/>
        </w:rPr>
        <w:footnoteReference w:id="23"/>
      </w:r>
      <w:r>
        <w:rPr>
          <w:rFonts w:ascii="Arial" w:hAnsi="Arial" w:cs="Arial"/>
        </w:rPr>
        <w:t xml:space="preserve"> </w:t>
      </w:r>
      <w:r w:rsidR="00DD6237">
        <w:rPr>
          <w:rFonts w:ascii="Arial" w:hAnsi="Arial" w:cs="Arial"/>
        </w:rPr>
        <w:t>The ‘Four Presidents’ Report</w:t>
      </w:r>
      <w:r w:rsidR="00101E78">
        <w:rPr>
          <w:rFonts w:ascii="Arial" w:hAnsi="Arial" w:cs="Arial"/>
        </w:rPr>
        <w:t>’</w:t>
      </w:r>
      <w:r w:rsidR="00DD6237">
        <w:rPr>
          <w:rFonts w:ascii="Arial" w:hAnsi="Arial" w:cs="Arial"/>
        </w:rPr>
        <w:t>,</w:t>
      </w:r>
      <w:r w:rsidR="003A4602">
        <w:rPr>
          <w:rStyle w:val="FootnoteReference"/>
          <w:rFonts w:ascii="Arial" w:hAnsi="Arial" w:cs="Arial"/>
        </w:rPr>
        <w:footnoteReference w:id="24"/>
      </w:r>
      <w:r w:rsidR="00DD6237">
        <w:rPr>
          <w:rFonts w:ascii="Arial" w:hAnsi="Arial" w:cs="Arial"/>
        </w:rPr>
        <w:t xml:space="preserve"> written by V</w:t>
      </w:r>
      <w:r w:rsidR="007D41EE">
        <w:rPr>
          <w:rFonts w:ascii="Arial" w:hAnsi="Arial" w:cs="Arial"/>
        </w:rPr>
        <w:t>a</w:t>
      </w:r>
      <w:r w:rsidR="00DD6237">
        <w:rPr>
          <w:rFonts w:ascii="Arial" w:hAnsi="Arial" w:cs="Arial"/>
        </w:rPr>
        <w:t>n Rompuy, in consultation with the President</w:t>
      </w:r>
      <w:r w:rsidR="000E3D01">
        <w:rPr>
          <w:rFonts w:ascii="Arial" w:hAnsi="Arial" w:cs="Arial"/>
        </w:rPr>
        <w:t>s</w:t>
      </w:r>
      <w:r w:rsidR="00DD6237">
        <w:rPr>
          <w:rFonts w:ascii="Arial" w:hAnsi="Arial" w:cs="Arial"/>
        </w:rPr>
        <w:t xml:space="preserve"> of the European Comission, Eurogroup and </w:t>
      </w:r>
      <w:r w:rsidR="000E3D01">
        <w:rPr>
          <w:rFonts w:ascii="Arial" w:hAnsi="Arial" w:cs="Arial"/>
        </w:rPr>
        <w:t xml:space="preserve">ECB </w:t>
      </w:r>
      <w:r w:rsidR="00DD6237">
        <w:rPr>
          <w:rFonts w:ascii="Arial" w:hAnsi="Arial" w:cs="Arial"/>
        </w:rPr>
        <w:t>was produced</w:t>
      </w:r>
      <w:r w:rsidR="00DF2A7F">
        <w:rPr>
          <w:rFonts w:ascii="Arial" w:hAnsi="Arial" w:cs="Arial"/>
        </w:rPr>
        <w:t xml:space="preserve"> as a consequence of this request.</w:t>
      </w:r>
      <w:r w:rsidR="00DD6237">
        <w:rPr>
          <w:rStyle w:val="FootnoteReference"/>
          <w:rFonts w:ascii="Arial" w:hAnsi="Arial" w:cs="Arial"/>
        </w:rPr>
        <w:footnoteReference w:id="25"/>
      </w:r>
    </w:p>
    <w:p w:rsidR="00B76B0C" w:rsidRDefault="00B76B0C">
      <w:pPr>
        <w:rPr>
          <w:rFonts w:ascii="Arial" w:hAnsi="Arial" w:cs="Arial"/>
        </w:rPr>
      </w:pPr>
      <w:r>
        <w:rPr>
          <w:rFonts w:ascii="Arial" w:hAnsi="Arial" w:cs="Arial"/>
        </w:rPr>
        <w:br w:type="page"/>
      </w:r>
    </w:p>
    <w:p w:rsidR="0008785A" w:rsidRPr="00E50C4A" w:rsidRDefault="00DF2A7F" w:rsidP="005D741F">
      <w:pPr>
        <w:tabs>
          <w:tab w:val="num" w:pos="993"/>
        </w:tabs>
        <w:spacing w:before="240" w:after="240" w:line="360" w:lineRule="auto"/>
        <w:jc w:val="both"/>
        <w:rPr>
          <w:rFonts w:ascii="Arial" w:hAnsi="Arial" w:cs="Arial"/>
        </w:rPr>
      </w:pPr>
      <w:r>
        <w:rPr>
          <w:rFonts w:ascii="Arial" w:hAnsi="Arial" w:cs="Arial"/>
        </w:rPr>
        <w:lastRenderedPageBreak/>
        <w:t xml:space="preserve">The appeal for the creation of the Four Presidents’ Report </w:t>
      </w:r>
      <w:r w:rsidR="002850F2">
        <w:rPr>
          <w:rFonts w:ascii="Arial" w:hAnsi="Arial" w:cs="Arial"/>
        </w:rPr>
        <w:t>provided acknowledgement</w:t>
      </w:r>
      <w:r>
        <w:rPr>
          <w:rFonts w:ascii="Arial" w:hAnsi="Arial" w:cs="Arial"/>
        </w:rPr>
        <w:t xml:space="preserve"> that the </w:t>
      </w:r>
      <w:r w:rsidR="00C17248">
        <w:rPr>
          <w:rFonts w:ascii="Arial" w:hAnsi="Arial" w:cs="Arial"/>
        </w:rPr>
        <w:t xml:space="preserve">European </w:t>
      </w:r>
      <w:r>
        <w:rPr>
          <w:rFonts w:ascii="Arial" w:hAnsi="Arial" w:cs="Arial"/>
        </w:rPr>
        <w:t>sovereign debt crisis was not due solely to the transgressions of individual nations against European regulations.</w:t>
      </w:r>
      <w:r>
        <w:rPr>
          <w:rStyle w:val="FootnoteReference"/>
          <w:rFonts w:ascii="Arial" w:hAnsi="Arial" w:cs="Arial"/>
        </w:rPr>
        <w:footnoteReference w:id="26"/>
      </w:r>
      <w:r w:rsidR="003E1CC7">
        <w:rPr>
          <w:rFonts w:ascii="Arial" w:hAnsi="Arial" w:cs="Arial"/>
        </w:rPr>
        <w:t xml:space="preserve"> </w:t>
      </w:r>
      <w:r w:rsidR="0008785A" w:rsidRPr="00E50C4A">
        <w:rPr>
          <w:rFonts w:ascii="Arial" w:hAnsi="Arial" w:cs="Arial"/>
        </w:rPr>
        <w:t xml:space="preserve"> </w:t>
      </w:r>
      <w:r w:rsidR="0066599B">
        <w:rPr>
          <w:rFonts w:ascii="Arial" w:hAnsi="Arial" w:cs="Arial"/>
        </w:rPr>
        <w:t xml:space="preserve">The </w:t>
      </w:r>
      <w:r w:rsidR="0008785A">
        <w:rPr>
          <w:rFonts w:ascii="Arial" w:hAnsi="Arial" w:cs="Arial"/>
        </w:rPr>
        <w:t>source</w:t>
      </w:r>
      <w:r w:rsidR="0008785A" w:rsidRPr="00E50C4A">
        <w:rPr>
          <w:rFonts w:ascii="Arial" w:hAnsi="Arial" w:cs="Arial"/>
        </w:rPr>
        <w:t xml:space="preserve"> and </w:t>
      </w:r>
      <w:r w:rsidR="0008785A">
        <w:rPr>
          <w:rFonts w:ascii="Arial" w:hAnsi="Arial" w:cs="Arial"/>
        </w:rPr>
        <w:t xml:space="preserve">spread of the European sovereign debt crisis </w:t>
      </w:r>
      <w:r w:rsidR="000038A1">
        <w:rPr>
          <w:rFonts w:ascii="Arial" w:hAnsi="Arial" w:cs="Arial"/>
        </w:rPr>
        <w:t>has been</w:t>
      </w:r>
      <w:r w:rsidR="0066599B">
        <w:rPr>
          <w:rFonts w:ascii="Arial" w:hAnsi="Arial" w:cs="Arial"/>
        </w:rPr>
        <w:t xml:space="preserve"> recognised to be </w:t>
      </w:r>
      <w:r w:rsidR="00C17248">
        <w:rPr>
          <w:rFonts w:ascii="Arial" w:hAnsi="Arial" w:cs="Arial"/>
        </w:rPr>
        <w:t>a consequence,</w:t>
      </w:r>
      <w:r w:rsidR="0066599B">
        <w:rPr>
          <w:rFonts w:ascii="Arial" w:hAnsi="Arial" w:cs="Arial"/>
        </w:rPr>
        <w:t xml:space="preserve"> at least in part</w:t>
      </w:r>
      <w:r w:rsidR="00101E78">
        <w:rPr>
          <w:rFonts w:ascii="Arial" w:hAnsi="Arial" w:cs="Arial"/>
        </w:rPr>
        <w:t>,</w:t>
      </w:r>
      <w:r w:rsidR="0066599B">
        <w:rPr>
          <w:rFonts w:ascii="Arial" w:hAnsi="Arial" w:cs="Arial"/>
        </w:rPr>
        <w:t xml:space="preserve"> to</w:t>
      </w:r>
      <w:r w:rsidR="0008785A">
        <w:rPr>
          <w:rFonts w:ascii="Arial" w:hAnsi="Arial" w:cs="Arial"/>
        </w:rPr>
        <w:t xml:space="preserve"> the ‘flawed original design of the euro’.</w:t>
      </w:r>
      <w:r w:rsidR="0008785A">
        <w:rPr>
          <w:rStyle w:val="FootnoteReference"/>
          <w:rFonts w:ascii="Arial" w:hAnsi="Arial" w:cs="Arial"/>
        </w:rPr>
        <w:footnoteReference w:id="27"/>
      </w:r>
      <w:r w:rsidR="00101E78">
        <w:rPr>
          <w:rFonts w:ascii="Arial" w:hAnsi="Arial" w:cs="Arial"/>
        </w:rPr>
        <w:t xml:space="preserve"> </w:t>
      </w:r>
      <w:r w:rsidR="005D741F">
        <w:rPr>
          <w:rFonts w:ascii="Arial" w:hAnsi="Arial" w:cs="Arial"/>
        </w:rPr>
        <w:t>The fragility of the union under crisis was not understood</w:t>
      </w:r>
      <w:r w:rsidR="00DE5D26">
        <w:rPr>
          <w:rFonts w:ascii="Arial" w:hAnsi="Arial" w:cs="Arial"/>
        </w:rPr>
        <w:t xml:space="preserve"> and</w:t>
      </w:r>
      <w:r w:rsidR="005D741F">
        <w:rPr>
          <w:rFonts w:ascii="Arial" w:hAnsi="Arial" w:cs="Arial"/>
        </w:rPr>
        <w:t xml:space="preserve"> the incremental multi-country crisis management that was implemented as a reaction to the crisis was </w:t>
      </w:r>
      <w:r w:rsidR="00EA65F2">
        <w:rPr>
          <w:rFonts w:ascii="Arial" w:hAnsi="Arial" w:cs="Arial"/>
        </w:rPr>
        <w:t>‘</w:t>
      </w:r>
      <w:r w:rsidR="005D741F">
        <w:rPr>
          <w:rFonts w:ascii="Arial" w:hAnsi="Arial" w:cs="Arial"/>
        </w:rPr>
        <w:t>messy</w:t>
      </w:r>
      <w:r w:rsidR="00EA65F2">
        <w:rPr>
          <w:rFonts w:ascii="Arial" w:hAnsi="Arial" w:cs="Arial"/>
        </w:rPr>
        <w:t>’</w:t>
      </w:r>
      <w:r w:rsidR="005D741F">
        <w:rPr>
          <w:rFonts w:ascii="Arial" w:hAnsi="Arial" w:cs="Arial"/>
        </w:rPr>
        <w:t xml:space="preserve"> and was a destabilising factor during the course of the crisis.</w:t>
      </w:r>
      <w:r w:rsidR="005D741F">
        <w:rPr>
          <w:rStyle w:val="FootnoteReference"/>
          <w:rFonts w:ascii="Arial" w:hAnsi="Arial" w:cs="Arial"/>
        </w:rPr>
        <w:footnoteReference w:id="28"/>
      </w:r>
      <w:r w:rsidR="005D741F">
        <w:rPr>
          <w:rFonts w:ascii="Arial" w:hAnsi="Arial" w:cs="Arial"/>
        </w:rPr>
        <w:t xml:space="preserve"> </w:t>
      </w:r>
      <w:r w:rsidR="0008785A">
        <w:rPr>
          <w:rFonts w:ascii="Arial" w:hAnsi="Arial" w:cs="Arial"/>
        </w:rPr>
        <w:t xml:space="preserve">The </w:t>
      </w:r>
      <w:r w:rsidR="008D11E7">
        <w:rPr>
          <w:rFonts w:ascii="Arial" w:hAnsi="Arial" w:cs="Arial"/>
        </w:rPr>
        <w:t xml:space="preserve">secondary law responses, including the </w:t>
      </w:r>
      <w:r w:rsidR="0008785A">
        <w:rPr>
          <w:rFonts w:ascii="Arial" w:hAnsi="Arial" w:cs="Arial"/>
        </w:rPr>
        <w:t xml:space="preserve">“European Semester’, the ‘Six-Pack’, the ‘Two-Pack’, the ‘Euro-Plus Pact’ and the ‘Fiscal Compact’ could all be viewed as ‘piecemeal tinkering with the existing architecture of the </w:t>
      </w:r>
      <w:r w:rsidR="00C74FE4">
        <w:rPr>
          <w:rFonts w:ascii="Arial" w:hAnsi="Arial" w:cs="Arial"/>
        </w:rPr>
        <w:t>Euro</w:t>
      </w:r>
      <w:r w:rsidR="0008785A">
        <w:rPr>
          <w:rFonts w:ascii="Arial" w:hAnsi="Arial" w:cs="Arial"/>
        </w:rPr>
        <w:t>zone’.</w:t>
      </w:r>
      <w:r w:rsidR="0008785A">
        <w:rPr>
          <w:rStyle w:val="FootnoteReference"/>
          <w:rFonts w:ascii="Arial" w:hAnsi="Arial" w:cs="Arial"/>
        </w:rPr>
        <w:footnoteReference w:id="29"/>
      </w:r>
    </w:p>
    <w:p w:rsidR="00226971" w:rsidRPr="00226971" w:rsidRDefault="00226971" w:rsidP="00CF363F">
      <w:pPr>
        <w:tabs>
          <w:tab w:val="num" w:pos="993"/>
        </w:tabs>
        <w:spacing w:before="240" w:after="240" w:line="360" w:lineRule="auto"/>
        <w:jc w:val="both"/>
        <w:rPr>
          <w:rFonts w:ascii="Arial" w:hAnsi="Arial" w:cs="Arial"/>
          <w:b/>
          <w:sz w:val="24"/>
          <w:szCs w:val="24"/>
        </w:rPr>
      </w:pPr>
      <w:r w:rsidRPr="00226971">
        <w:rPr>
          <w:rFonts w:ascii="Arial" w:hAnsi="Arial" w:cs="Arial"/>
          <w:b/>
          <w:sz w:val="24"/>
          <w:szCs w:val="24"/>
        </w:rPr>
        <w:t xml:space="preserve">Reports </w:t>
      </w:r>
      <w:r>
        <w:rPr>
          <w:rFonts w:ascii="Arial" w:hAnsi="Arial" w:cs="Arial"/>
          <w:b/>
          <w:sz w:val="24"/>
          <w:szCs w:val="24"/>
        </w:rPr>
        <w:t>Leading up to the Four Presidents</w:t>
      </w:r>
      <w:r w:rsidR="00101E78">
        <w:rPr>
          <w:rFonts w:ascii="Arial" w:hAnsi="Arial" w:cs="Arial"/>
          <w:b/>
          <w:sz w:val="24"/>
          <w:szCs w:val="24"/>
        </w:rPr>
        <w:t>’</w:t>
      </w:r>
      <w:r>
        <w:rPr>
          <w:rFonts w:ascii="Arial" w:hAnsi="Arial" w:cs="Arial"/>
          <w:b/>
          <w:sz w:val="24"/>
          <w:szCs w:val="24"/>
        </w:rPr>
        <w:t xml:space="preserve"> Report</w:t>
      </w:r>
    </w:p>
    <w:p w:rsidR="00F37142" w:rsidRDefault="00DC207D" w:rsidP="00CF363F">
      <w:pPr>
        <w:tabs>
          <w:tab w:val="num" w:pos="993"/>
        </w:tabs>
        <w:spacing w:before="240" w:after="240" w:line="360" w:lineRule="auto"/>
        <w:jc w:val="both"/>
        <w:rPr>
          <w:rFonts w:ascii="Arial" w:hAnsi="Arial" w:cs="Arial"/>
        </w:rPr>
      </w:pPr>
      <w:r>
        <w:rPr>
          <w:rFonts w:ascii="Arial" w:hAnsi="Arial" w:cs="Arial"/>
        </w:rPr>
        <w:t xml:space="preserve">A number of reports were produced </w:t>
      </w:r>
      <w:r w:rsidR="00220FBF">
        <w:rPr>
          <w:rFonts w:ascii="Arial" w:hAnsi="Arial" w:cs="Arial"/>
        </w:rPr>
        <w:t>subsequent to October 2011</w:t>
      </w:r>
      <w:r w:rsidR="00226971">
        <w:rPr>
          <w:rFonts w:ascii="Arial" w:hAnsi="Arial" w:cs="Arial"/>
        </w:rPr>
        <w:t>, leading up to the</w:t>
      </w:r>
      <w:r w:rsidR="00C17248">
        <w:rPr>
          <w:rFonts w:ascii="Arial" w:hAnsi="Arial" w:cs="Arial"/>
        </w:rPr>
        <w:t xml:space="preserve"> publication of the final</w:t>
      </w:r>
      <w:r w:rsidR="00226971">
        <w:rPr>
          <w:rFonts w:ascii="Arial" w:hAnsi="Arial" w:cs="Arial"/>
        </w:rPr>
        <w:t xml:space="preserve"> Four Presidents’ Reports</w:t>
      </w:r>
      <w:r w:rsidR="00C17248">
        <w:rPr>
          <w:rFonts w:ascii="Arial" w:hAnsi="Arial" w:cs="Arial"/>
        </w:rPr>
        <w:t xml:space="preserve"> in December 2012:</w:t>
      </w:r>
    </w:p>
    <w:p w:rsidR="00DC207D" w:rsidRDefault="00DD6237" w:rsidP="00CF363F">
      <w:pPr>
        <w:pStyle w:val="ListParagraph"/>
        <w:numPr>
          <w:ilvl w:val="0"/>
          <w:numId w:val="2"/>
        </w:numPr>
        <w:tabs>
          <w:tab w:val="clear" w:pos="360"/>
          <w:tab w:val="num" w:pos="851"/>
        </w:tabs>
        <w:spacing w:before="240" w:after="240" w:line="360" w:lineRule="auto"/>
        <w:ind w:left="851" w:hanging="284"/>
        <w:contextualSpacing w:val="0"/>
        <w:jc w:val="both"/>
        <w:rPr>
          <w:rFonts w:ascii="Arial" w:hAnsi="Arial" w:cs="Arial"/>
        </w:rPr>
      </w:pPr>
      <w:r>
        <w:rPr>
          <w:rFonts w:ascii="Arial" w:hAnsi="Arial" w:cs="Arial"/>
        </w:rPr>
        <w:t>In June 2012 V</w:t>
      </w:r>
      <w:r w:rsidR="00DE5D26">
        <w:rPr>
          <w:rFonts w:ascii="Arial" w:hAnsi="Arial" w:cs="Arial"/>
        </w:rPr>
        <w:t>a</w:t>
      </w:r>
      <w:r>
        <w:rPr>
          <w:rFonts w:ascii="Arial" w:hAnsi="Arial" w:cs="Arial"/>
        </w:rPr>
        <w:t>n R</w:t>
      </w:r>
      <w:r w:rsidR="00D05A61">
        <w:rPr>
          <w:rFonts w:ascii="Arial" w:hAnsi="Arial" w:cs="Arial"/>
        </w:rPr>
        <w:t>o</w:t>
      </w:r>
      <w:r>
        <w:rPr>
          <w:rFonts w:ascii="Arial" w:hAnsi="Arial" w:cs="Arial"/>
        </w:rPr>
        <w:t>mpuy presented his first report for deepening European integration.</w:t>
      </w:r>
      <w:r>
        <w:rPr>
          <w:rStyle w:val="FootnoteReference"/>
          <w:rFonts w:ascii="Arial" w:hAnsi="Arial" w:cs="Arial"/>
        </w:rPr>
        <w:footnoteReference w:id="30"/>
      </w:r>
      <w:r>
        <w:rPr>
          <w:rFonts w:ascii="Arial" w:hAnsi="Arial" w:cs="Arial"/>
        </w:rPr>
        <w:t xml:space="preserve"> The report proposed the impl</w:t>
      </w:r>
      <w:r w:rsidR="00101E78">
        <w:rPr>
          <w:rFonts w:ascii="Arial" w:hAnsi="Arial" w:cs="Arial"/>
        </w:rPr>
        <w:t>ementa</w:t>
      </w:r>
      <w:r>
        <w:rPr>
          <w:rFonts w:ascii="Arial" w:hAnsi="Arial" w:cs="Arial"/>
        </w:rPr>
        <w:t>tion of a banking union that would</w:t>
      </w:r>
      <w:r w:rsidR="00101E78">
        <w:rPr>
          <w:rFonts w:ascii="Arial" w:hAnsi="Arial" w:cs="Arial"/>
        </w:rPr>
        <w:t xml:space="preserve"> be</w:t>
      </w:r>
      <w:r>
        <w:rPr>
          <w:rFonts w:ascii="Arial" w:hAnsi="Arial" w:cs="Arial"/>
        </w:rPr>
        <w:t xml:space="preserve"> propped up by the European Stability Mechanism (ESM).</w:t>
      </w:r>
      <w:r>
        <w:rPr>
          <w:rStyle w:val="FootnoteReference"/>
          <w:rFonts w:ascii="Arial" w:hAnsi="Arial" w:cs="Arial"/>
        </w:rPr>
        <w:footnoteReference w:id="31"/>
      </w:r>
      <w:r>
        <w:rPr>
          <w:rFonts w:ascii="Arial" w:hAnsi="Arial" w:cs="Arial"/>
        </w:rPr>
        <w:t xml:space="preserve"> </w:t>
      </w:r>
      <w:r w:rsidR="001B2B4C">
        <w:rPr>
          <w:rFonts w:ascii="Arial" w:hAnsi="Arial" w:cs="Arial"/>
        </w:rPr>
        <w:t>The report also discussed the need for a fiscal union with the option of joint issuing of debt securities.</w:t>
      </w:r>
      <w:r w:rsidR="001B2B4C">
        <w:rPr>
          <w:rStyle w:val="FootnoteReference"/>
          <w:rFonts w:ascii="Arial" w:hAnsi="Arial" w:cs="Arial"/>
        </w:rPr>
        <w:footnoteReference w:id="32"/>
      </w:r>
      <w:r w:rsidR="001B2B4C">
        <w:rPr>
          <w:rFonts w:ascii="Arial" w:hAnsi="Arial" w:cs="Arial"/>
        </w:rPr>
        <w:t xml:space="preserve"> The proposals for increasing ‘communisation’ met opposition from states, such as Finland, that backed the </w:t>
      </w:r>
      <w:r w:rsidR="00220FBF">
        <w:rPr>
          <w:rFonts w:ascii="Arial" w:hAnsi="Arial" w:cs="Arial"/>
        </w:rPr>
        <w:t>austerity policies supported</w:t>
      </w:r>
      <w:r w:rsidR="001B2B4C">
        <w:rPr>
          <w:rFonts w:ascii="Arial" w:hAnsi="Arial" w:cs="Arial"/>
        </w:rPr>
        <w:t xml:space="preserve"> by the German government’.</w:t>
      </w:r>
      <w:r w:rsidR="001B2B4C">
        <w:rPr>
          <w:rStyle w:val="FootnoteReference"/>
          <w:rFonts w:ascii="Arial" w:hAnsi="Arial" w:cs="Arial"/>
        </w:rPr>
        <w:footnoteReference w:id="33"/>
      </w:r>
    </w:p>
    <w:p w:rsidR="00101E4A" w:rsidRDefault="00101E4A" w:rsidP="00CF363F">
      <w:pPr>
        <w:pStyle w:val="ListParagraph"/>
        <w:numPr>
          <w:ilvl w:val="0"/>
          <w:numId w:val="2"/>
        </w:numPr>
        <w:tabs>
          <w:tab w:val="clear" w:pos="360"/>
          <w:tab w:val="num" w:pos="851"/>
        </w:tabs>
        <w:spacing w:before="240" w:after="240" w:line="360" w:lineRule="auto"/>
        <w:ind w:left="851" w:hanging="284"/>
        <w:contextualSpacing w:val="0"/>
        <w:jc w:val="both"/>
        <w:rPr>
          <w:rFonts w:ascii="Arial" w:hAnsi="Arial" w:cs="Arial"/>
        </w:rPr>
      </w:pPr>
      <w:r>
        <w:rPr>
          <w:rFonts w:ascii="Arial" w:hAnsi="Arial" w:cs="Arial"/>
        </w:rPr>
        <w:t xml:space="preserve">In October 2012, Van Rompuy, presented </w:t>
      </w:r>
      <w:r w:rsidR="007D41EE">
        <w:rPr>
          <w:rFonts w:ascii="Arial" w:hAnsi="Arial" w:cs="Arial"/>
        </w:rPr>
        <w:t>an</w:t>
      </w:r>
      <w:r w:rsidR="009578C3">
        <w:rPr>
          <w:rFonts w:ascii="Arial" w:hAnsi="Arial" w:cs="Arial"/>
        </w:rPr>
        <w:t xml:space="preserve"> interim report</w:t>
      </w:r>
      <w:r>
        <w:rPr>
          <w:rFonts w:ascii="Arial" w:hAnsi="Arial" w:cs="Arial"/>
        </w:rPr>
        <w:t>, following individual talks with Member State governments and the President of the European Parliament.</w:t>
      </w:r>
      <w:r w:rsidR="007D41EE">
        <w:rPr>
          <w:rStyle w:val="FootnoteReference"/>
          <w:rFonts w:ascii="Arial" w:hAnsi="Arial" w:cs="Arial"/>
        </w:rPr>
        <w:footnoteReference w:id="34"/>
      </w:r>
      <w:r>
        <w:rPr>
          <w:rFonts w:ascii="Arial" w:hAnsi="Arial" w:cs="Arial"/>
        </w:rPr>
        <w:t xml:space="preserve"> The proposal for a banking union was retained with the proviso that there must be more effective fiscal discipline to </w:t>
      </w:r>
      <w:r w:rsidR="00101E78">
        <w:rPr>
          <w:rFonts w:ascii="Arial" w:hAnsi="Arial" w:cs="Arial"/>
        </w:rPr>
        <w:t>counter the moral hazard</w:t>
      </w:r>
      <w:r>
        <w:rPr>
          <w:rFonts w:ascii="Arial" w:hAnsi="Arial" w:cs="Arial"/>
        </w:rPr>
        <w:t xml:space="preserve"> resulting from the taking over of the banking sector.</w:t>
      </w:r>
      <w:r>
        <w:rPr>
          <w:rStyle w:val="FootnoteReference"/>
          <w:rFonts w:ascii="Arial" w:hAnsi="Arial" w:cs="Arial"/>
        </w:rPr>
        <w:footnoteReference w:id="35"/>
      </w:r>
      <w:r w:rsidR="00F15A25">
        <w:rPr>
          <w:rFonts w:ascii="Arial" w:hAnsi="Arial" w:cs="Arial"/>
        </w:rPr>
        <w:t xml:space="preserve"> A central budget was also proposed with which ‘a form of limited fiscal solidarity</w:t>
      </w:r>
      <w:r w:rsidR="00410BDD">
        <w:rPr>
          <w:rFonts w:ascii="Arial" w:hAnsi="Arial" w:cs="Arial"/>
        </w:rPr>
        <w:t xml:space="preserve">’ would be enabled through </w:t>
      </w:r>
      <w:r w:rsidR="00FE1956">
        <w:rPr>
          <w:rFonts w:ascii="Arial" w:hAnsi="Arial" w:cs="Arial"/>
        </w:rPr>
        <w:t>‘</w:t>
      </w:r>
      <w:r w:rsidR="00410BDD">
        <w:rPr>
          <w:rFonts w:ascii="Arial" w:hAnsi="Arial" w:cs="Arial"/>
        </w:rPr>
        <w:t xml:space="preserve">elements </w:t>
      </w:r>
      <w:r w:rsidR="00FE1956">
        <w:rPr>
          <w:rFonts w:ascii="Arial" w:hAnsi="Arial" w:cs="Arial"/>
        </w:rPr>
        <w:t>of fiscal risk sharing’.</w:t>
      </w:r>
      <w:r w:rsidR="00FE1956">
        <w:rPr>
          <w:rStyle w:val="FootnoteReference"/>
          <w:rFonts w:ascii="Arial" w:hAnsi="Arial" w:cs="Arial"/>
        </w:rPr>
        <w:footnoteReference w:id="36"/>
      </w:r>
      <w:r w:rsidR="005A3D4F">
        <w:rPr>
          <w:rFonts w:ascii="Arial" w:hAnsi="Arial" w:cs="Arial"/>
        </w:rPr>
        <w:t xml:space="preserve"> </w:t>
      </w:r>
    </w:p>
    <w:p w:rsidR="005A3D4F" w:rsidRDefault="005A3D4F" w:rsidP="00E24CFC">
      <w:pPr>
        <w:pStyle w:val="ListParagraph"/>
        <w:numPr>
          <w:ilvl w:val="0"/>
          <w:numId w:val="2"/>
        </w:numPr>
        <w:tabs>
          <w:tab w:val="clear" w:pos="360"/>
          <w:tab w:val="num" w:pos="851"/>
        </w:tabs>
        <w:spacing w:before="240" w:after="240" w:line="384" w:lineRule="auto"/>
        <w:ind w:left="851" w:hanging="284"/>
        <w:contextualSpacing w:val="0"/>
        <w:jc w:val="both"/>
        <w:rPr>
          <w:rFonts w:ascii="Arial" w:hAnsi="Arial" w:cs="Arial"/>
        </w:rPr>
      </w:pPr>
      <w:r>
        <w:rPr>
          <w:rFonts w:ascii="Arial" w:hAnsi="Arial" w:cs="Arial"/>
        </w:rPr>
        <w:lastRenderedPageBreak/>
        <w:t xml:space="preserve">On 28 November 2012, a ‘Blueprint for a Deep and </w:t>
      </w:r>
      <w:r w:rsidR="00496034">
        <w:rPr>
          <w:rFonts w:ascii="Arial" w:hAnsi="Arial" w:cs="Arial"/>
        </w:rPr>
        <w:t>G</w:t>
      </w:r>
      <w:r>
        <w:rPr>
          <w:rFonts w:ascii="Arial" w:hAnsi="Arial" w:cs="Arial"/>
        </w:rPr>
        <w:t>enuine Economic and Monetary Union</w:t>
      </w:r>
      <w:r w:rsidR="00101E78">
        <w:rPr>
          <w:rFonts w:ascii="Arial" w:hAnsi="Arial" w:cs="Arial"/>
        </w:rPr>
        <w:t>’</w:t>
      </w:r>
      <w:r>
        <w:rPr>
          <w:rFonts w:ascii="Arial" w:hAnsi="Arial" w:cs="Arial"/>
        </w:rPr>
        <w:t xml:space="preserve"> was presented by the European Commission.</w:t>
      </w:r>
      <w:r>
        <w:rPr>
          <w:rStyle w:val="FootnoteReference"/>
          <w:rFonts w:ascii="Arial" w:hAnsi="Arial" w:cs="Arial"/>
        </w:rPr>
        <w:footnoteReference w:id="37"/>
      </w:r>
      <w:r>
        <w:rPr>
          <w:rFonts w:ascii="Arial" w:hAnsi="Arial" w:cs="Arial"/>
        </w:rPr>
        <w:t xml:space="preserve"> The Blueprint proposed that within </w:t>
      </w:r>
      <w:r w:rsidR="003A4602">
        <w:rPr>
          <w:rFonts w:ascii="Arial" w:hAnsi="Arial" w:cs="Arial"/>
        </w:rPr>
        <w:t>six to</w:t>
      </w:r>
      <w:r>
        <w:rPr>
          <w:rFonts w:ascii="Arial" w:hAnsi="Arial" w:cs="Arial"/>
        </w:rPr>
        <w:t>18 months the banking union should be realised.</w:t>
      </w:r>
      <w:r>
        <w:rPr>
          <w:rStyle w:val="FootnoteReference"/>
          <w:rFonts w:ascii="Arial" w:hAnsi="Arial" w:cs="Arial"/>
        </w:rPr>
        <w:footnoteReference w:id="38"/>
      </w:r>
      <w:r w:rsidR="00CA2053">
        <w:rPr>
          <w:rFonts w:ascii="Arial" w:hAnsi="Arial" w:cs="Arial"/>
        </w:rPr>
        <w:t xml:space="preserve"> Beyond 18 months to five years, further budgetary and fiscal policy coordination was proposed through a ‘proper fiscal capacity for the </w:t>
      </w:r>
      <w:r w:rsidR="00C74FE4">
        <w:rPr>
          <w:rFonts w:ascii="Arial" w:hAnsi="Arial" w:cs="Arial"/>
        </w:rPr>
        <w:t>E</w:t>
      </w:r>
      <w:r w:rsidR="00CA2053">
        <w:rPr>
          <w:rFonts w:ascii="Arial" w:hAnsi="Arial" w:cs="Arial"/>
        </w:rPr>
        <w:t xml:space="preserve">urozone, a redemption fund and </w:t>
      </w:r>
      <w:r w:rsidR="00DE5D26">
        <w:rPr>
          <w:rFonts w:ascii="Arial" w:hAnsi="Arial" w:cs="Arial"/>
        </w:rPr>
        <w:t xml:space="preserve">the </w:t>
      </w:r>
      <w:r w:rsidR="00CA2053">
        <w:rPr>
          <w:rFonts w:ascii="Arial" w:hAnsi="Arial" w:cs="Arial"/>
        </w:rPr>
        <w:t>common issuance of short-term government debt (eurobills).</w:t>
      </w:r>
      <w:r w:rsidR="00CA2053">
        <w:rPr>
          <w:rStyle w:val="FootnoteReference"/>
          <w:rFonts w:ascii="Arial" w:hAnsi="Arial" w:cs="Arial"/>
        </w:rPr>
        <w:footnoteReference w:id="39"/>
      </w:r>
      <w:r w:rsidR="00CA2053">
        <w:rPr>
          <w:rFonts w:ascii="Arial" w:hAnsi="Arial" w:cs="Arial"/>
        </w:rPr>
        <w:t xml:space="preserve"> Beyond five years it was proposed that autonomous </w:t>
      </w:r>
      <w:r w:rsidR="00C74FE4">
        <w:rPr>
          <w:rFonts w:ascii="Arial" w:hAnsi="Arial" w:cs="Arial"/>
        </w:rPr>
        <w:t>Eurozone</w:t>
      </w:r>
      <w:r w:rsidR="00CA2053">
        <w:rPr>
          <w:rFonts w:ascii="Arial" w:hAnsi="Arial" w:cs="Arial"/>
        </w:rPr>
        <w:t xml:space="preserve"> budgeting should be established for the EMU</w:t>
      </w:r>
      <w:r w:rsidR="00356B3E">
        <w:rPr>
          <w:rFonts w:ascii="Arial" w:hAnsi="Arial" w:cs="Arial"/>
        </w:rPr>
        <w:t xml:space="preserve"> </w:t>
      </w:r>
      <w:r w:rsidR="00CA2053">
        <w:rPr>
          <w:rFonts w:ascii="Arial" w:hAnsi="Arial" w:cs="Arial"/>
        </w:rPr>
        <w:t>that could absorb economic shocks and that ‘fiscal policy conditions for the common issuan</w:t>
      </w:r>
      <w:r w:rsidR="00101E78">
        <w:rPr>
          <w:rFonts w:ascii="Arial" w:hAnsi="Arial" w:cs="Arial"/>
        </w:rPr>
        <w:t>ce of public debt’ (Eurobonds) should be implemented</w:t>
      </w:r>
      <w:r w:rsidR="00CA2053">
        <w:rPr>
          <w:rFonts w:ascii="Arial" w:hAnsi="Arial" w:cs="Arial"/>
        </w:rPr>
        <w:t>.</w:t>
      </w:r>
      <w:r w:rsidR="00CA2053">
        <w:rPr>
          <w:rStyle w:val="FootnoteReference"/>
          <w:rFonts w:ascii="Arial" w:hAnsi="Arial" w:cs="Arial"/>
        </w:rPr>
        <w:footnoteReference w:id="40"/>
      </w:r>
    </w:p>
    <w:p w:rsidR="00DF2A7F" w:rsidRPr="00BC7F41" w:rsidRDefault="00BC7F41" w:rsidP="00E24CFC">
      <w:pPr>
        <w:tabs>
          <w:tab w:val="left" w:pos="851"/>
        </w:tabs>
        <w:spacing w:before="240" w:after="240" w:line="384" w:lineRule="auto"/>
        <w:jc w:val="both"/>
        <w:rPr>
          <w:rFonts w:ascii="Arial" w:hAnsi="Arial" w:cs="Arial"/>
          <w:b/>
          <w:sz w:val="24"/>
          <w:szCs w:val="24"/>
        </w:rPr>
      </w:pPr>
      <w:r w:rsidRPr="00BC7F41">
        <w:rPr>
          <w:rFonts w:ascii="Arial" w:hAnsi="Arial" w:cs="Arial"/>
          <w:b/>
          <w:sz w:val="24"/>
          <w:szCs w:val="24"/>
        </w:rPr>
        <w:t>The Four Presidents’ Report</w:t>
      </w:r>
    </w:p>
    <w:p w:rsidR="00336E96" w:rsidRDefault="00BC7F41" w:rsidP="00E24CFC">
      <w:pPr>
        <w:tabs>
          <w:tab w:val="num" w:pos="993"/>
        </w:tabs>
        <w:spacing w:before="240" w:after="240" w:line="384" w:lineRule="auto"/>
        <w:jc w:val="both"/>
        <w:rPr>
          <w:rFonts w:ascii="Arial" w:hAnsi="Arial" w:cs="Arial"/>
        </w:rPr>
      </w:pPr>
      <w:r>
        <w:rPr>
          <w:rFonts w:ascii="Arial" w:hAnsi="Arial" w:cs="Arial"/>
        </w:rPr>
        <w:t>The Four Presidents’ Report was presented at the meeting of the European Council on 13-14 December 2012.</w:t>
      </w:r>
      <w:r>
        <w:rPr>
          <w:rStyle w:val="FootnoteReference"/>
          <w:rFonts w:ascii="Arial" w:hAnsi="Arial" w:cs="Arial"/>
        </w:rPr>
        <w:footnoteReference w:id="41"/>
      </w:r>
      <w:r>
        <w:rPr>
          <w:rFonts w:ascii="Arial" w:hAnsi="Arial" w:cs="Arial"/>
        </w:rPr>
        <w:t xml:space="preserve"> </w:t>
      </w:r>
      <w:r w:rsidR="00366FD4">
        <w:rPr>
          <w:rFonts w:ascii="Arial" w:hAnsi="Arial" w:cs="Arial"/>
        </w:rPr>
        <w:t>The report presented a ‘time bound three-stage plan’ to realise a ‘genuine EMU’.</w:t>
      </w:r>
      <w:r w:rsidR="00366FD4">
        <w:rPr>
          <w:rStyle w:val="FootnoteReference"/>
          <w:rFonts w:ascii="Arial" w:hAnsi="Arial" w:cs="Arial"/>
        </w:rPr>
        <w:footnoteReference w:id="42"/>
      </w:r>
      <w:r w:rsidR="00366FD4">
        <w:rPr>
          <w:rFonts w:ascii="Arial" w:hAnsi="Arial" w:cs="Arial"/>
        </w:rPr>
        <w:t xml:space="preserve"> </w:t>
      </w:r>
      <w:r w:rsidR="00336E96">
        <w:rPr>
          <w:rFonts w:ascii="Arial" w:hAnsi="Arial" w:cs="Arial"/>
        </w:rPr>
        <w:t xml:space="preserve">The </w:t>
      </w:r>
      <w:r w:rsidR="00B64FD7">
        <w:rPr>
          <w:rFonts w:ascii="Arial" w:hAnsi="Arial" w:cs="Arial"/>
        </w:rPr>
        <w:t>Four Presidents’ Report aimed to achieve closer integration in four principal areas including:</w:t>
      </w:r>
    </w:p>
    <w:p w:rsidR="00B64FD7" w:rsidRDefault="00B64FD7" w:rsidP="00E24CFC">
      <w:pPr>
        <w:pStyle w:val="ListParagraph"/>
        <w:numPr>
          <w:ilvl w:val="0"/>
          <w:numId w:val="35"/>
        </w:numPr>
        <w:tabs>
          <w:tab w:val="num" w:pos="851"/>
        </w:tabs>
        <w:spacing w:before="240" w:after="240" w:line="384" w:lineRule="auto"/>
        <w:ind w:left="851" w:hanging="284"/>
        <w:jc w:val="both"/>
        <w:rPr>
          <w:rFonts w:ascii="Arial" w:hAnsi="Arial" w:cs="Arial"/>
        </w:rPr>
      </w:pPr>
      <w:r>
        <w:rPr>
          <w:rFonts w:ascii="Arial" w:hAnsi="Arial" w:cs="Arial"/>
        </w:rPr>
        <w:t>banking union;</w:t>
      </w:r>
      <w:r w:rsidR="00B17236">
        <w:rPr>
          <w:rStyle w:val="FootnoteReference"/>
          <w:rFonts w:ascii="Arial" w:hAnsi="Arial" w:cs="Arial"/>
        </w:rPr>
        <w:footnoteReference w:id="43"/>
      </w:r>
    </w:p>
    <w:p w:rsidR="00B64FD7" w:rsidRDefault="00B64FD7" w:rsidP="00E24CFC">
      <w:pPr>
        <w:pStyle w:val="ListParagraph"/>
        <w:numPr>
          <w:ilvl w:val="0"/>
          <w:numId w:val="35"/>
        </w:numPr>
        <w:tabs>
          <w:tab w:val="num" w:pos="851"/>
        </w:tabs>
        <w:spacing w:before="240" w:after="240" w:line="384" w:lineRule="auto"/>
        <w:ind w:left="851" w:hanging="284"/>
        <w:jc w:val="both"/>
        <w:rPr>
          <w:rFonts w:ascii="Arial" w:hAnsi="Arial" w:cs="Arial"/>
        </w:rPr>
      </w:pPr>
      <w:r>
        <w:rPr>
          <w:rFonts w:ascii="Arial" w:hAnsi="Arial" w:cs="Arial"/>
        </w:rPr>
        <w:t>closer integration of budgetary policies</w:t>
      </w:r>
      <w:r w:rsidR="00787C5B">
        <w:rPr>
          <w:rFonts w:ascii="Arial" w:hAnsi="Arial" w:cs="Arial"/>
        </w:rPr>
        <w:t>, including a potential further budgeta</w:t>
      </w:r>
      <w:r w:rsidR="00B17236">
        <w:rPr>
          <w:rFonts w:ascii="Arial" w:hAnsi="Arial" w:cs="Arial"/>
        </w:rPr>
        <w:t>ry</w:t>
      </w:r>
      <w:r w:rsidR="00787C5B">
        <w:rPr>
          <w:rFonts w:ascii="Arial" w:hAnsi="Arial" w:cs="Arial"/>
        </w:rPr>
        <w:t xml:space="preserve"> capacity at the </w:t>
      </w:r>
      <w:r w:rsidR="00C74FE4">
        <w:rPr>
          <w:rFonts w:ascii="Arial" w:hAnsi="Arial" w:cs="Arial"/>
        </w:rPr>
        <w:t>E</w:t>
      </w:r>
      <w:r w:rsidR="00787C5B">
        <w:rPr>
          <w:rFonts w:ascii="Arial" w:hAnsi="Arial" w:cs="Arial"/>
        </w:rPr>
        <w:t>urozone level and a common debt instrument (eurobills)</w:t>
      </w:r>
      <w:r w:rsidR="00B17236">
        <w:rPr>
          <w:rFonts w:ascii="Arial" w:hAnsi="Arial" w:cs="Arial"/>
        </w:rPr>
        <w:t>;</w:t>
      </w:r>
      <w:r w:rsidR="00B17236">
        <w:rPr>
          <w:rStyle w:val="FootnoteReference"/>
          <w:rFonts w:ascii="Arial" w:hAnsi="Arial" w:cs="Arial"/>
        </w:rPr>
        <w:footnoteReference w:id="44"/>
      </w:r>
    </w:p>
    <w:p w:rsidR="00B64FD7" w:rsidRDefault="00787C5B" w:rsidP="00E24CFC">
      <w:pPr>
        <w:pStyle w:val="ListParagraph"/>
        <w:numPr>
          <w:ilvl w:val="0"/>
          <w:numId w:val="35"/>
        </w:numPr>
        <w:tabs>
          <w:tab w:val="num" w:pos="851"/>
        </w:tabs>
        <w:spacing w:before="240" w:after="240" w:line="384" w:lineRule="auto"/>
        <w:ind w:left="851" w:hanging="284"/>
        <w:jc w:val="both"/>
        <w:rPr>
          <w:rFonts w:ascii="Arial" w:hAnsi="Arial" w:cs="Arial"/>
        </w:rPr>
      </w:pPr>
      <w:r>
        <w:rPr>
          <w:rFonts w:ascii="Arial" w:hAnsi="Arial" w:cs="Arial"/>
        </w:rPr>
        <w:t>better coordination of economic policies other than fiscal policy;</w:t>
      </w:r>
      <w:r w:rsidR="00B17236">
        <w:rPr>
          <w:rStyle w:val="FootnoteReference"/>
          <w:rFonts w:ascii="Arial" w:hAnsi="Arial" w:cs="Arial"/>
        </w:rPr>
        <w:footnoteReference w:id="45"/>
      </w:r>
      <w:r>
        <w:rPr>
          <w:rFonts w:ascii="Arial" w:hAnsi="Arial" w:cs="Arial"/>
        </w:rPr>
        <w:t xml:space="preserve"> and</w:t>
      </w:r>
    </w:p>
    <w:p w:rsidR="00787C5B" w:rsidRPr="00B64FD7" w:rsidRDefault="00787C5B" w:rsidP="00E24CFC">
      <w:pPr>
        <w:pStyle w:val="ListParagraph"/>
        <w:numPr>
          <w:ilvl w:val="0"/>
          <w:numId w:val="35"/>
        </w:numPr>
        <w:tabs>
          <w:tab w:val="num" w:pos="851"/>
        </w:tabs>
        <w:spacing w:before="240" w:after="240" w:line="384" w:lineRule="auto"/>
        <w:ind w:left="851" w:hanging="284"/>
        <w:jc w:val="both"/>
        <w:rPr>
          <w:rFonts w:ascii="Arial" w:hAnsi="Arial" w:cs="Arial"/>
        </w:rPr>
      </w:pPr>
      <w:r>
        <w:rPr>
          <w:rFonts w:ascii="Arial" w:hAnsi="Arial" w:cs="Arial"/>
        </w:rPr>
        <w:t>strengthening democratic legitimisation and accountability, potentially result</w:t>
      </w:r>
      <w:r w:rsidR="00DE5D26">
        <w:rPr>
          <w:rFonts w:ascii="Arial" w:hAnsi="Arial" w:cs="Arial"/>
        </w:rPr>
        <w:t>ing</w:t>
      </w:r>
      <w:r>
        <w:rPr>
          <w:rFonts w:ascii="Arial" w:hAnsi="Arial" w:cs="Arial"/>
        </w:rPr>
        <w:t xml:space="preserve"> in a degree of political union.</w:t>
      </w:r>
      <w:r>
        <w:rPr>
          <w:rStyle w:val="FootnoteReference"/>
          <w:rFonts w:ascii="Arial" w:hAnsi="Arial" w:cs="Arial"/>
        </w:rPr>
        <w:footnoteReference w:id="46"/>
      </w:r>
    </w:p>
    <w:p w:rsidR="00E24CFC" w:rsidRDefault="00E24CFC" w:rsidP="00E24CFC">
      <w:pPr>
        <w:spacing w:before="240" w:after="240" w:line="384" w:lineRule="auto"/>
        <w:rPr>
          <w:rFonts w:ascii="Arial" w:hAnsi="Arial" w:cs="Arial"/>
        </w:rPr>
      </w:pPr>
      <w:r>
        <w:rPr>
          <w:rFonts w:ascii="Arial" w:hAnsi="Arial" w:cs="Arial"/>
        </w:rPr>
        <w:br w:type="page"/>
      </w:r>
    </w:p>
    <w:p w:rsidR="00B8768A" w:rsidRDefault="005631CC" w:rsidP="00E24CFC">
      <w:pPr>
        <w:tabs>
          <w:tab w:val="num" w:pos="993"/>
        </w:tabs>
        <w:spacing w:before="240" w:after="240" w:line="384" w:lineRule="auto"/>
        <w:jc w:val="both"/>
        <w:rPr>
          <w:rFonts w:ascii="Arial" w:hAnsi="Arial" w:cs="Arial"/>
        </w:rPr>
      </w:pPr>
      <w:r>
        <w:rPr>
          <w:rFonts w:ascii="Arial" w:hAnsi="Arial" w:cs="Arial"/>
        </w:rPr>
        <w:lastRenderedPageBreak/>
        <w:t>While the actions proposed in the Four Presidents</w:t>
      </w:r>
      <w:r w:rsidR="00EA65F2">
        <w:rPr>
          <w:rFonts w:ascii="Arial" w:hAnsi="Arial" w:cs="Arial"/>
        </w:rPr>
        <w:t>’</w:t>
      </w:r>
      <w:r>
        <w:rPr>
          <w:rFonts w:ascii="Arial" w:hAnsi="Arial" w:cs="Arial"/>
        </w:rPr>
        <w:t xml:space="preserve"> </w:t>
      </w:r>
      <w:r w:rsidR="008E0D0C">
        <w:rPr>
          <w:rFonts w:ascii="Arial" w:hAnsi="Arial" w:cs="Arial"/>
        </w:rPr>
        <w:t xml:space="preserve">Report were ambitious, significant progress was only made with </w:t>
      </w:r>
      <w:r w:rsidR="00C70E01">
        <w:rPr>
          <w:rFonts w:ascii="Arial" w:hAnsi="Arial" w:cs="Arial"/>
        </w:rPr>
        <w:t>proposed measures</w:t>
      </w:r>
      <w:r>
        <w:rPr>
          <w:rFonts w:ascii="Arial" w:hAnsi="Arial" w:cs="Arial"/>
        </w:rPr>
        <w:t xml:space="preserve"> relating to the banking union</w:t>
      </w:r>
      <w:r w:rsidR="008E0D0C">
        <w:rPr>
          <w:rFonts w:ascii="Arial" w:hAnsi="Arial" w:cs="Arial"/>
        </w:rPr>
        <w:t>.</w:t>
      </w:r>
      <w:r>
        <w:rPr>
          <w:rStyle w:val="FootnoteReference"/>
          <w:rFonts w:ascii="Arial" w:hAnsi="Arial" w:cs="Arial"/>
        </w:rPr>
        <w:footnoteReference w:id="47"/>
      </w:r>
      <w:r>
        <w:rPr>
          <w:rFonts w:ascii="Arial" w:hAnsi="Arial" w:cs="Arial"/>
        </w:rPr>
        <w:t xml:space="preserve"> </w:t>
      </w:r>
      <w:r w:rsidR="00E44B0C">
        <w:rPr>
          <w:rFonts w:ascii="Arial" w:hAnsi="Arial" w:cs="Arial"/>
        </w:rPr>
        <w:t xml:space="preserve">Subsequent to the Four Presidents’ Report agreements </w:t>
      </w:r>
      <w:r>
        <w:rPr>
          <w:rFonts w:ascii="Arial" w:hAnsi="Arial" w:cs="Arial"/>
        </w:rPr>
        <w:t>were made</w:t>
      </w:r>
      <w:r w:rsidR="00E44B0C">
        <w:rPr>
          <w:rFonts w:ascii="Arial" w:hAnsi="Arial" w:cs="Arial"/>
        </w:rPr>
        <w:t xml:space="preserve"> with regards to</w:t>
      </w:r>
      <w:r>
        <w:rPr>
          <w:rFonts w:ascii="Arial" w:hAnsi="Arial" w:cs="Arial"/>
        </w:rPr>
        <w:t xml:space="preserve"> the</w:t>
      </w:r>
      <w:r w:rsidR="00B8768A">
        <w:rPr>
          <w:rFonts w:ascii="Arial" w:hAnsi="Arial" w:cs="Arial"/>
        </w:rPr>
        <w:t>:</w:t>
      </w:r>
    </w:p>
    <w:p w:rsidR="005631CC" w:rsidRDefault="005631CC" w:rsidP="00E24CFC">
      <w:pPr>
        <w:pStyle w:val="ListParagraph"/>
        <w:numPr>
          <w:ilvl w:val="0"/>
          <w:numId w:val="36"/>
        </w:numPr>
        <w:tabs>
          <w:tab w:val="num" w:pos="993"/>
        </w:tabs>
        <w:spacing w:before="240" w:after="240" w:line="384" w:lineRule="auto"/>
        <w:ind w:left="851" w:hanging="284"/>
        <w:jc w:val="both"/>
        <w:rPr>
          <w:rFonts w:ascii="Arial" w:hAnsi="Arial" w:cs="Arial"/>
        </w:rPr>
      </w:pPr>
      <w:r w:rsidRPr="00B8768A">
        <w:rPr>
          <w:rFonts w:ascii="Arial" w:hAnsi="Arial" w:cs="Arial"/>
        </w:rPr>
        <w:t xml:space="preserve">prudential supervision of banks through the single supervisory mechanism </w:t>
      </w:r>
      <w:r w:rsidR="00B8768A" w:rsidRPr="00B8768A">
        <w:rPr>
          <w:rFonts w:ascii="Arial" w:hAnsi="Arial" w:cs="Arial"/>
        </w:rPr>
        <w:t>(SSM)</w:t>
      </w:r>
      <w:r w:rsidR="00B8768A">
        <w:rPr>
          <w:rFonts w:ascii="Arial" w:hAnsi="Arial" w:cs="Arial"/>
        </w:rPr>
        <w:t>;</w:t>
      </w:r>
      <w:r w:rsidR="00B8768A" w:rsidRPr="00B8768A">
        <w:rPr>
          <w:rFonts w:ascii="Arial" w:hAnsi="Arial" w:cs="Arial"/>
        </w:rPr>
        <w:t xml:space="preserve"> and </w:t>
      </w:r>
    </w:p>
    <w:p w:rsidR="00B8768A" w:rsidRPr="00B8768A" w:rsidRDefault="00B8768A" w:rsidP="00E24CFC">
      <w:pPr>
        <w:pStyle w:val="ListParagraph"/>
        <w:numPr>
          <w:ilvl w:val="0"/>
          <w:numId w:val="36"/>
        </w:numPr>
        <w:tabs>
          <w:tab w:val="num" w:pos="993"/>
        </w:tabs>
        <w:spacing w:before="240" w:after="240" w:line="384" w:lineRule="auto"/>
        <w:ind w:left="851" w:hanging="284"/>
        <w:jc w:val="both"/>
        <w:rPr>
          <w:rFonts w:ascii="Arial" w:hAnsi="Arial" w:cs="Arial"/>
        </w:rPr>
      </w:pPr>
      <w:r>
        <w:rPr>
          <w:rFonts w:ascii="Arial" w:hAnsi="Arial" w:cs="Arial"/>
        </w:rPr>
        <w:t xml:space="preserve">common approach to resolve failing banks </w:t>
      </w:r>
      <w:r w:rsidR="00776787">
        <w:rPr>
          <w:rFonts w:ascii="Arial" w:hAnsi="Arial" w:cs="Arial"/>
        </w:rPr>
        <w:t>via</w:t>
      </w:r>
      <w:r>
        <w:rPr>
          <w:rFonts w:ascii="Arial" w:hAnsi="Arial" w:cs="Arial"/>
        </w:rPr>
        <w:t xml:space="preserve"> the single resolution mechanism (SRM).</w:t>
      </w:r>
      <w:r w:rsidR="00E44B0C">
        <w:rPr>
          <w:rStyle w:val="FootnoteReference"/>
          <w:rFonts w:ascii="Arial" w:hAnsi="Arial" w:cs="Arial"/>
        </w:rPr>
        <w:footnoteReference w:id="48"/>
      </w:r>
    </w:p>
    <w:p w:rsidR="000310BC" w:rsidRPr="000310BC" w:rsidRDefault="00C361BB" w:rsidP="00E24CFC">
      <w:pPr>
        <w:tabs>
          <w:tab w:val="num" w:pos="993"/>
        </w:tabs>
        <w:spacing w:before="240" w:after="240" w:line="384" w:lineRule="auto"/>
        <w:jc w:val="both"/>
        <w:rPr>
          <w:rFonts w:ascii="Arial" w:hAnsi="Arial" w:cs="Arial"/>
        </w:rPr>
      </w:pPr>
      <w:r>
        <w:rPr>
          <w:rFonts w:ascii="Arial" w:hAnsi="Arial" w:cs="Arial"/>
        </w:rPr>
        <w:t xml:space="preserve">It is submitted that the Four Presidents’ Report did not deliver upon the goal of strengthening the economic union </w:t>
      </w:r>
      <w:r w:rsidR="00776787">
        <w:rPr>
          <w:rFonts w:ascii="Arial" w:hAnsi="Arial" w:cs="Arial"/>
        </w:rPr>
        <w:t xml:space="preserve">to a level </w:t>
      </w:r>
      <w:r>
        <w:rPr>
          <w:rFonts w:ascii="Arial" w:hAnsi="Arial" w:cs="Arial"/>
        </w:rPr>
        <w:t>commensurate to the economic union. The Four Presidents’ Report was not able to bring about a ‘clear commitment to the medium-term establishment of a fiscal union</w:t>
      </w:r>
      <w:r w:rsidR="008D11E7">
        <w:rPr>
          <w:rFonts w:ascii="Arial" w:hAnsi="Arial" w:cs="Arial"/>
        </w:rPr>
        <w:t>’</w:t>
      </w:r>
      <w:r>
        <w:rPr>
          <w:rFonts w:ascii="Arial" w:hAnsi="Arial" w:cs="Arial"/>
        </w:rPr>
        <w:t>.</w:t>
      </w:r>
      <w:r>
        <w:rPr>
          <w:rStyle w:val="FootnoteReference"/>
          <w:rFonts w:ascii="Arial" w:hAnsi="Arial" w:cs="Arial"/>
        </w:rPr>
        <w:footnoteReference w:id="49"/>
      </w:r>
      <w:r>
        <w:rPr>
          <w:rFonts w:ascii="Arial" w:hAnsi="Arial" w:cs="Arial"/>
        </w:rPr>
        <w:t xml:space="preserve">  The establishment of a fiscal capacity for the monetary union was scrapped at the summit meeting </w:t>
      </w:r>
      <w:r w:rsidR="00DE5D26">
        <w:rPr>
          <w:rFonts w:ascii="Arial" w:hAnsi="Arial" w:cs="Arial"/>
        </w:rPr>
        <w:t xml:space="preserve">in December 2012 </w:t>
      </w:r>
      <w:r w:rsidR="005B700A">
        <w:rPr>
          <w:rFonts w:ascii="Arial" w:hAnsi="Arial" w:cs="Arial"/>
        </w:rPr>
        <w:t>due to opposition from a</w:t>
      </w:r>
      <w:r>
        <w:rPr>
          <w:rFonts w:ascii="Arial" w:hAnsi="Arial" w:cs="Arial"/>
        </w:rPr>
        <w:t xml:space="preserve"> group of nations</w:t>
      </w:r>
      <w:r w:rsidR="00C17248">
        <w:rPr>
          <w:rFonts w:ascii="Arial" w:hAnsi="Arial" w:cs="Arial"/>
        </w:rPr>
        <w:t>, including</w:t>
      </w:r>
      <w:r>
        <w:rPr>
          <w:rFonts w:ascii="Arial" w:hAnsi="Arial" w:cs="Arial"/>
        </w:rPr>
        <w:t xml:space="preserve"> Germany</w:t>
      </w:r>
      <w:r w:rsidR="00C17248">
        <w:rPr>
          <w:rFonts w:ascii="Arial" w:hAnsi="Arial" w:cs="Arial"/>
        </w:rPr>
        <w:t xml:space="preserve">, </w:t>
      </w:r>
      <w:r>
        <w:rPr>
          <w:rStyle w:val="FootnoteReference"/>
          <w:rFonts w:ascii="Arial" w:hAnsi="Arial" w:cs="Arial"/>
        </w:rPr>
        <w:footnoteReference w:id="50"/>
      </w:r>
      <w:r>
        <w:rPr>
          <w:rFonts w:ascii="Arial" w:hAnsi="Arial" w:cs="Arial"/>
        </w:rPr>
        <w:t xml:space="preserve"> The opportunity that was provided by the European sovereign debt crisis to implement the reforms necessary for a stable monetary union was not capitalised up</w:t>
      </w:r>
      <w:r w:rsidR="001902E7">
        <w:rPr>
          <w:rFonts w:ascii="Arial" w:hAnsi="Arial" w:cs="Arial"/>
        </w:rPr>
        <w:t>on</w:t>
      </w:r>
      <w:r>
        <w:rPr>
          <w:rFonts w:ascii="Arial" w:hAnsi="Arial" w:cs="Arial"/>
        </w:rPr>
        <w:t>.</w:t>
      </w:r>
      <w:r>
        <w:rPr>
          <w:rStyle w:val="FootnoteReference"/>
          <w:rFonts w:ascii="Arial" w:hAnsi="Arial" w:cs="Arial"/>
        </w:rPr>
        <w:footnoteReference w:id="51"/>
      </w:r>
    </w:p>
    <w:p w:rsidR="0035105E" w:rsidRPr="00094586" w:rsidRDefault="00094586" w:rsidP="00E24CFC">
      <w:pPr>
        <w:tabs>
          <w:tab w:val="num" w:pos="993"/>
        </w:tabs>
        <w:spacing w:before="240" w:after="240" w:line="384" w:lineRule="auto"/>
        <w:jc w:val="both"/>
        <w:rPr>
          <w:rFonts w:ascii="Arial" w:hAnsi="Arial" w:cs="Arial"/>
          <w:b/>
          <w:sz w:val="24"/>
          <w:szCs w:val="24"/>
        </w:rPr>
      </w:pPr>
      <w:r w:rsidRPr="00094586">
        <w:rPr>
          <w:rFonts w:ascii="Arial" w:hAnsi="Arial" w:cs="Arial"/>
          <w:b/>
          <w:sz w:val="24"/>
          <w:szCs w:val="24"/>
        </w:rPr>
        <w:t>The Five Presidents’ Report</w:t>
      </w:r>
    </w:p>
    <w:p w:rsidR="00EA539C" w:rsidRDefault="004E0733" w:rsidP="00E24CFC">
      <w:pPr>
        <w:tabs>
          <w:tab w:val="num" w:pos="993"/>
        </w:tabs>
        <w:spacing w:before="240" w:after="240" w:line="384" w:lineRule="auto"/>
        <w:jc w:val="both"/>
        <w:rPr>
          <w:rFonts w:ascii="Arial" w:hAnsi="Arial" w:cs="Arial"/>
        </w:rPr>
      </w:pPr>
      <w:r>
        <w:rPr>
          <w:rFonts w:ascii="Arial" w:hAnsi="Arial" w:cs="Arial"/>
        </w:rPr>
        <w:t xml:space="preserve">The Five Presidents’ Report builds upon the </w:t>
      </w:r>
      <w:r w:rsidR="005B700A">
        <w:rPr>
          <w:rFonts w:ascii="Arial" w:hAnsi="Arial" w:cs="Arial"/>
        </w:rPr>
        <w:t>earlier reports previously described and</w:t>
      </w:r>
      <w:r w:rsidR="00621D8F">
        <w:rPr>
          <w:rFonts w:ascii="Arial" w:hAnsi="Arial" w:cs="Arial"/>
        </w:rPr>
        <w:t xml:space="preserve"> </w:t>
      </w:r>
      <w:r w:rsidR="00EA539C">
        <w:rPr>
          <w:rFonts w:ascii="Arial" w:hAnsi="Arial" w:cs="Arial"/>
        </w:rPr>
        <w:t>aims</w:t>
      </w:r>
      <w:r w:rsidR="00124147">
        <w:rPr>
          <w:rFonts w:ascii="Arial" w:hAnsi="Arial" w:cs="Arial"/>
        </w:rPr>
        <w:t xml:space="preserve"> to achieve progress towards a </w:t>
      </w:r>
      <w:r w:rsidR="00EA539C">
        <w:rPr>
          <w:rFonts w:ascii="Arial" w:hAnsi="Arial" w:cs="Arial"/>
        </w:rPr>
        <w:t xml:space="preserve">deeper </w:t>
      </w:r>
      <w:r w:rsidR="00124147">
        <w:rPr>
          <w:rFonts w:ascii="Arial" w:hAnsi="Arial" w:cs="Arial"/>
        </w:rPr>
        <w:t>EMU</w:t>
      </w:r>
      <w:r w:rsidR="00EA539C">
        <w:rPr>
          <w:rFonts w:ascii="Arial" w:hAnsi="Arial" w:cs="Arial"/>
        </w:rPr>
        <w:t xml:space="preserve"> on four fronts </w:t>
      </w:r>
      <w:r w:rsidR="00A609B3">
        <w:rPr>
          <w:rFonts w:ascii="Arial" w:hAnsi="Arial" w:cs="Arial"/>
        </w:rPr>
        <w:t>including</w:t>
      </w:r>
      <w:r w:rsidR="005B700A">
        <w:rPr>
          <w:rFonts w:ascii="Arial" w:hAnsi="Arial" w:cs="Arial"/>
        </w:rPr>
        <w:t xml:space="preserve"> a:</w:t>
      </w:r>
      <w:r w:rsidR="00A609B3">
        <w:rPr>
          <w:rFonts w:ascii="Arial" w:hAnsi="Arial" w:cs="Arial"/>
        </w:rPr>
        <w:t xml:space="preserve"> </w:t>
      </w:r>
    </w:p>
    <w:p w:rsidR="0038636B" w:rsidRPr="005B700A" w:rsidRDefault="00EA539C" w:rsidP="00E24CFC">
      <w:pPr>
        <w:pStyle w:val="ListParagraph"/>
        <w:numPr>
          <w:ilvl w:val="0"/>
          <w:numId w:val="2"/>
        </w:numPr>
        <w:tabs>
          <w:tab w:val="clear" w:pos="360"/>
          <w:tab w:val="num" w:pos="851"/>
        </w:tabs>
        <w:spacing w:before="240" w:after="240" w:line="384" w:lineRule="auto"/>
        <w:ind w:left="851" w:hanging="284"/>
        <w:contextualSpacing w:val="0"/>
        <w:jc w:val="both"/>
        <w:rPr>
          <w:rFonts w:ascii="Arial" w:hAnsi="Arial" w:cs="Arial"/>
        </w:rPr>
      </w:pPr>
      <w:r w:rsidRPr="005B700A">
        <w:rPr>
          <w:rFonts w:ascii="Arial" w:hAnsi="Arial" w:cs="Arial"/>
        </w:rPr>
        <w:t xml:space="preserve">Genuine </w:t>
      </w:r>
      <w:r w:rsidRPr="00B22AE4">
        <w:rPr>
          <w:rFonts w:ascii="Arial" w:hAnsi="Arial" w:cs="Arial"/>
          <w:b/>
        </w:rPr>
        <w:t>Economic Union</w:t>
      </w:r>
      <w:r w:rsidRPr="005B700A">
        <w:rPr>
          <w:rFonts w:ascii="Arial" w:hAnsi="Arial" w:cs="Arial"/>
        </w:rPr>
        <w:t xml:space="preserve"> that ensures that each economy within the Union possesses the structural features required to prosper within the Monetary Union;</w:t>
      </w:r>
      <w:r w:rsidRPr="005B700A">
        <w:rPr>
          <w:rStyle w:val="FootnoteReference"/>
          <w:rFonts w:ascii="Arial" w:hAnsi="Arial" w:cs="Arial"/>
        </w:rPr>
        <w:footnoteReference w:id="52"/>
      </w:r>
    </w:p>
    <w:p w:rsidR="00EA539C" w:rsidRPr="005B700A" w:rsidRDefault="0096039D" w:rsidP="00E24CFC">
      <w:pPr>
        <w:pStyle w:val="ListParagraph"/>
        <w:numPr>
          <w:ilvl w:val="0"/>
          <w:numId w:val="2"/>
        </w:numPr>
        <w:tabs>
          <w:tab w:val="clear" w:pos="360"/>
          <w:tab w:val="num" w:pos="851"/>
        </w:tabs>
        <w:spacing w:before="240" w:after="240" w:line="384" w:lineRule="auto"/>
        <w:ind w:left="851" w:hanging="284"/>
        <w:contextualSpacing w:val="0"/>
        <w:jc w:val="both"/>
        <w:rPr>
          <w:rFonts w:ascii="Arial" w:hAnsi="Arial" w:cs="Arial"/>
        </w:rPr>
      </w:pPr>
      <w:r w:rsidRPr="00B22AE4">
        <w:rPr>
          <w:rFonts w:ascii="Arial" w:hAnsi="Arial" w:cs="Arial"/>
          <w:b/>
        </w:rPr>
        <w:t>Financial Union</w:t>
      </w:r>
      <w:r w:rsidRPr="005B700A">
        <w:rPr>
          <w:rFonts w:ascii="Arial" w:hAnsi="Arial" w:cs="Arial"/>
        </w:rPr>
        <w:t xml:space="preserve"> that guarantees the integrity of the </w:t>
      </w:r>
      <w:r w:rsidR="00124147">
        <w:rPr>
          <w:rFonts w:ascii="Arial" w:hAnsi="Arial" w:cs="Arial"/>
        </w:rPr>
        <w:t>e</w:t>
      </w:r>
      <w:r w:rsidRPr="005B700A">
        <w:rPr>
          <w:rFonts w:ascii="Arial" w:hAnsi="Arial" w:cs="Arial"/>
        </w:rPr>
        <w:t>uro and increases risk-sharing with the private sector;</w:t>
      </w:r>
      <w:r w:rsidRPr="005B700A">
        <w:rPr>
          <w:rStyle w:val="FootnoteReference"/>
          <w:rFonts w:ascii="Arial" w:hAnsi="Arial" w:cs="Arial"/>
        </w:rPr>
        <w:footnoteReference w:id="53"/>
      </w:r>
    </w:p>
    <w:p w:rsidR="0096039D" w:rsidRPr="005B700A" w:rsidRDefault="0096039D" w:rsidP="00E24CFC">
      <w:pPr>
        <w:pStyle w:val="ListParagraph"/>
        <w:numPr>
          <w:ilvl w:val="0"/>
          <w:numId w:val="2"/>
        </w:numPr>
        <w:tabs>
          <w:tab w:val="clear" w:pos="360"/>
          <w:tab w:val="num" w:pos="851"/>
        </w:tabs>
        <w:spacing w:before="240" w:after="240" w:line="384" w:lineRule="auto"/>
        <w:ind w:left="851" w:hanging="284"/>
        <w:contextualSpacing w:val="0"/>
        <w:jc w:val="both"/>
        <w:rPr>
          <w:rFonts w:ascii="Arial" w:hAnsi="Arial" w:cs="Arial"/>
        </w:rPr>
      </w:pPr>
      <w:r w:rsidRPr="00B22AE4">
        <w:rPr>
          <w:rFonts w:ascii="Arial" w:hAnsi="Arial" w:cs="Arial"/>
          <w:b/>
        </w:rPr>
        <w:t>Fiscal Union</w:t>
      </w:r>
      <w:r w:rsidRPr="005B700A">
        <w:rPr>
          <w:rFonts w:ascii="Arial" w:hAnsi="Arial" w:cs="Arial"/>
        </w:rPr>
        <w:t xml:space="preserve"> that provides fiscal sustainability and stabilisation;</w:t>
      </w:r>
      <w:r w:rsidRPr="005B700A">
        <w:rPr>
          <w:rStyle w:val="FootnoteReference"/>
          <w:rFonts w:ascii="Arial" w:hAnsi="Arial" w:cs="Arial"/>
        </w:rPr>
        <w:footnoteReference w:id="54"/>
      </w:r>
      <w:r w:rsidRPr="005B700A">
        <w:rPr>
          <w:rFonts w:ascii="Arial" w:hAnsi="Arial" w:cs="Arial"/>
        </w:rPr>
        <w:t xml:space="preserve">  and</w:t>
      </w:r>
    </w:p>
    <w:p w:rsidR="0096039D" w:rsidRPr="0096039D" w:rsidRDefault="0096039D" w:rsidP="00E24CFC">
      <w:pPr>
        <w:pStyle w:val="ListParagraph"/>
        <w:numPr>
          <w:ilvl w:val="0"/>
          <w:numId w:val="2"/>
        </w:numPr>
        <w:tabs>
          <w:tab w:val="clear" w:pos="360"/>
          <w:tab w:val="num" w:pos="851"/>
        </w:tabs>
        <w:spacing w:before="240" w:after="240" w:line="384" w:lineRule="auto"/>
        <w:ind w:left="851" w:hanging="284"/>
        <w:contextualSpacing w:val="0"/>
        <w:jc w:val="both"/>
        <w:rPr>
          <w:rFonts w:ascii="Arial" w:hAnsi="Arial" w:cs="Arial"/>
          <w:b/>
        </w:rPr>
      </w:pPr>
      <w:r w:rsidRPr="00B22AE4">
        <w:rPr>
          <w:rFonts w:ascii="Arial" w:hAnsi="Arial" w:cs="Arial"/>
          <w:b/>
        </w:rPr>
        <w:t>Political Union</w:t>
      </w:r>
      <w:r w:rsidRPr="005B700A">
        <w:rPr>
          <w:rFonts w:ascii="Arial" w:hAnsi="Arial" w:cs="Arial"/>
        </w:rPr>
        <w:t xml:space="preserve"> that provides a basis for progress on the above fronts</w:t>
      </w:r>
      <w:r>
        <w:rPr>
          <w:rFonts w:ascii="Arial" w:hAnsi="Arial" w:cs="Arial"/>
        </w:rPr>
        <w:t xml:space="preserve"> through ‘democratic accountability, legitimacy and institutional strengthening’.</w:t>
      </w:r>
      <w:r>
        <w:rPr>
          <w:rStyle w:val="FootnoteReference"/>
          <w:rFonts w:ascii="Arial" w:hAnsi="Arial" w:cs="Arial"/>
        </w:rPr>
        <w:footnoteReference w:id="55"/>
      </w:r>
    </w:p>
    <w:p w:rsidR="0096039D" w:rsidRDefault="0096039D" w:rsidP="00A6186B">
      <w:pPr>
        <w:tabs>
          <w:tab w:val="num" w:pos="993"/>
        </w:tabs>
        <w:spacing w:before="240" w:after="240" w:line="360" w:lineRule="auto"/>
        <w:jc w:val="both"/>
        <w:rPr>
          <w:rFonts w:ascii="Arial" w:hAnsi="Arial" w:cs="Arial"/>
        </w:rPr>
      </w:pPr>
      <w:r>
        <w:rPr>
          <w:rFonts w:ascii="Arial" w:hAnsi="Arial" w:cs="Arial"/>
        </w:rPr>
        <w:lastRenderedPageBreak/>
        <w:t>The aims of the Five Presidents</w:t>
      </w:r>
      <w:r w:rsidR="000622C3">
        <w:rPr>
          <w:rFonts w:ascii="Arial" w:hAnsi="Arial" w:cs="Arial"/>
        </w:rPr>
        <w:t>’</w:t>
      </w:r>
      <w:r>
        <w:rPr>
          <w:rFonts w:ascii="Arial" w:hAnsi="Arial" w:cs="Arial"/>
        </w:rPr>
        <w:t xml:space="preserve"> Report are </w:t>
      </w:r>
      <w:r w:rsidR="00783D0D">
        <w:rPr>
          <w:rFonts w:ascii="Arial" w:hAnsi="Arial" w:cs="Arial"/>
        </w:rPr>
        <w:t>proposed to be accomplished in</w:t>
      </w:r>
      <w:r>
        <w:rPr>
          <w:rFonts w:ascii="Arial" w:hAnsi="Arial" w:cs="Arial"/>
        </w:rPr>
        <w:t xml:space="preserve"> three stages:</w:t>
      </w:r>
    </w:p>
    <w:p w:rsidR="0096039D" w:rsidRPr="009578C3" w:rsidRDefault="0096039D" w:rsidP="00A6186B">
      <w:pPr>
        <w:pStyle w:val="ListParagraph"/>
        <w:numPr>
          <w:ilvl w:val="0"/>
          <w:numId w:val="20"/>
        </w:numPr>
        <w:tabs>
          <w:tab w:val="num" w:pos="851"/>
        </w:tabs>
        <w:spacing w:before="240" w:after="240" w:line="360" w:lineRule="auto"/>
        <w:ind w:left="851" w:hanging="284"/>
        <w:contextualSpacing w:val="0"/>
        <w:jc w:val="both"/>
        <w:rPr>
          <w:rFonts w:ascii="Arial" w:hAnsi="Arial" w:cs="Arial"/>
        </w:rPr>
      </w:pPr>
      <w:r w:rsidRPr="00B22AE4">
        <w:rPr>
          <w:rFonts w:ascii="Arial" w:hAnsi="Arial" w:cs="Arial"/>
          <w:b/>
        </w:rPr>
        <w:t>Stage 1</w:t>
      </w:r>
      <w:r w:rsidRPr="009578C3">
        <w:rPr>
          <w:rFonts w:ascii="Arial" w:hAnsi="Arial" w:cs="Arial"/>
        </w:rPr>
        <w:t xml:space="preserve"> measures, which are to be completed by 30 June 2017, are characterised as ‘immediate steps’.</w:t>
      </w:r>
      <w:r w:rsidR="004D0D20" w:rsidRPr="009578C3">
        <w:rPr>
          <w:rStyle w:val="FootnoteReference"/>
          <w:rFonts w:ascii="Arial" w:hAnsi="Arial" w:cs="Arial"/>
        </w:rPr>
        <w:footnoteReference w:id="56"/>
      </w:r>
      <w:r w:rsidRPr="009578C3">
        <w:rPr>
          <w:rFonts w:ascii="Arial" w:hAnsi="Arial" w:cs="Arial"/>
        </w:rPr>
        <w:t xml:space="preserve"> Actions are proposed that will boost ‘competitiveness and structural convergence</w:t>
      </w:r>
      <w:r w:rsidR="004D0D20" w:rsidRPr="009578C3">
        <w:rPr>
          <w:rFonts w:ascii="Arial" w:hAnsi="Arial" w:cs="Arial"/>
        </w:rPr>
        <w:t>’</w:t>
      </w:r>
      <w:r w:rsidRPr="009578C3">
        <w:rPr>
          <w:rFonts w:ascii="Arial" w:hAnsi="Arial" w:cs="Arial"/>
        </w:rPr>
        <w:t xml:space="preserve">, </w:t>
      </w:r>
      <w:r w:rsidR="004D0D20" w:rsidRPr="009578C3">
        <w:rPr>
          <w:rFonts w:ascii="Arial" w:hAnsi="Arial" w:cs="Arial"/>
        </w:rPr>
        <w:t>complete the Financial Union, achieve and maintain ‘responsible fiscal policies’ at the national and euro level and enhance democratic accountability.</w:t>
      </w:r>
      <w:r w:rsidR="004D0D20" w:rsidRPr="009578C3">
        <w:rPr>
          <w:rStyle w:val="FootnoteReference"/>
          <w:rFonts w:ascii="Arial" w:hAnsi="Arial" w:cs="Arial"/>
        </w:rPr>
        <w:footnoteReference w:id="57"/>
      </w:r>
    </w:p>
    <w:p w:rsidR="004D0D20" w:rsidRPr="009578C3" w:rsidRDefault="004D0D20" w:rsidP="00A6186B">
      <w:pPr>
        <w:pStyle w:val="ListParagraph"/>
        <w:numPr>
          <w:ilvl w:val="0"/>
          <w:numId w:val="20"/>
        </w:numPr>
        <w:tabs>
          <w:tab w:val="num" w:pos="851"/>
        </w:tabs>
        <w:spacing w:before="240" w:after="240" w:line="360" w:lineRule="auto"/>
        <w:ind w:left="851" w:hanging="284"/>
        <w:contextualSpacing w:val="0"/>
        <w:jc w:val="both"/>
        <w:rPr>
          <w:rFonts w:ascii="Arial" w:hAnsi="Arial" w:cs="Arial"/>
        </w:rPr>
      </w:pPr>
      <w:r w:rsidRPr="00B22AE4">
        <w:rPr>
          <w:rFonts w:ascii="Arial" w:hAnsi="Arial" w:cs="Arial"/>
          <w:b/>
        </w:rPr>
        <w:t>Stage 2</w:t>
      </w:r>
      <w:r w:rsidRPr="009578C3">
        <w:rPr>
          <w:rFonts w:ascii="Arial" w:hAnsi="Arial" w:cs="Arial"/>
        </w:rPr>
        <w:t xml:space="preserve"> measures, which are to be c</w:t>
      </w:r>
      <w:r w:rsidR="00783D0D" w:rsidRPr="009578C3">
        <w:rPr>
          <w:rFonts w:ascii="Arial" w:hAnsi="Arial" w:cs="Arial"/>
        </w:rPr>
        <w:t>ompleted by 2025 at the latest,</w:t>
      </w:r>
      <w:r w:rsidRPr="009578C3">
        <w:rPr>
          <w:rFonts w:ascii="Arial" w:hAnsi="Arial" w:cs="Arial"/>
        </w:rPr>
        <w:t xml:space="preserve"> are described as ‘concrete measures of a more far-reaching nature’ which would ‘complete the EMU’s economic and institutional architecture’.</w:t>
      </w:r>
      <w:r w:rsidRPr="009578C3">
        <w:rPr>
          <w:rStyle w:val="FootnoteReference"/>
          <w:rFonts w:ascii="Arial" w:hAnsi="Arial" w:cs="Arial"/>
        </w:rPr>
        <w:footnoteReference w:id="58"/>
      </w:r>
      <w:r w:rsidRPr="009578C3">
        <w:rPr>
          <w:rFonts w:ascii="Arial" w:hAnsi="Arial" w:cs="Arial"/>
        </w:rPr>
        <w:t xml:space="preserve"> </w:t>
      </w:r>
    </w:p>
    <w:p w:rsidR="004D0D20" w:rsidRPr="009578C3" w:rsidRDefault="00D46414" w:rsidP="00A6186B">
      <w:pPr>
        <w:pStyle w:val="ListParagraph"/>
        <w:numPr>
          <w:ilvl w:val="0"/>
          <w:numId w:val="20"/>
        </w:numPr>
        <w:tabs>
          <w:tab w:val="num" w:pos="851"/>
        </w:tabs>
        <w:spacing w:before="240" w:after="240" w:line="360" w:lineRule="auto"/>
        <w:ind w:left="851" w:hanging="284"/>
        <w:contextualSpacing w:val="0"/>
        <w:jc w:val="both"/>
        <w:rPr>
          <w:rFonts w:ascii="Arial" w:hAnsi="Arial" w:cs="Arial"/>
        </w:rPr>
      </w:pPr>
      <w:r w:rsidRPr="009578C3">
        <w:rPr>
          <w:rFonts w:ascii="Arial" w:hAnsi="Arial" w:cs="Arial"/>
        </w:rPr>
        <w:t xml:space="preserve">It is envisaged in the </w:t>
      </w:r>
      <w:r w:rsidR="00A830CF">
        <w:rPr>
          <w:rFonts w:ascii="Arial" w:hAnsi="Arial" w:cs="Arial"/>
        </w:rPr>
        <w:t>r</w:t>
      </w:r>
      <w:r w:rsidRPr="009578C3">
        <w:rPr>
          <w:rFonts w:ascii="Arial" w:hAnsi="Arial" w:cs="Arial"/>
        </w:rPr>
        <w:t xml:space="preserve">eport that </w:t>
      </w:r>
      <w:r w:rsidR="00783D0D" w:rsidRPr="009578C3">
        <w:rPr>
          <w:rFonts w:ascii="Arial" w:hAnsi="Arial" w:cs="Arial"/>
        </w:rPr>
        <w:t xml:space="preserve">when </w:t>
      </w:r>
      <w:r w:rsidRPr="009578C3">
        <w:rPr>
          <w:rFonts w:ascii="Arial" w:hAnsi="Arial" w:cs="Arial"/>
        </w:rPr>
        <w:t xml:space="preserve">the </w:t>
      </w:r>
      <w:r w:rsidRPr="00B22AE4">
        <w:rPr>
          <w:rFonts w:ascii="Arial" w:hAnsi="Arial" w:cs="Arial"/>
          <w:b/>
        </w:rPr>
        <w:t>Final Stage</w:t>
      </w:r>
      <w:r w:rsidRPr="009578C3">
        <w:rPr>
          <w:rFonts w:ascii="Arial" w:hAnsi="Arial" w:cs="Arial"/>
        </w:rPr>
        <w:t xml:space="preserve"> is reached, ‘a deep and meaningful EMU would provide a stable and prosperous place’ for all  the citizens of the EU member states that share the </w:t>
      </w:r>
      <w:r w:rsidR="00A830CF">
        <w:rPr>
          <w:rFonts w:ascii="Arial" w:hAnsi="Arial" w:cs="Arial"/>
        </w:rPr>
        <w:t>e</w:t>
      </w:r>
      <w:r w:rsidRPr="009578C3">
        <w:rPr>
          <w:rFonts w:ascii="Arial" w:hAnsi="Arial" w:cs="Arial"/>
        </w:rPr>
        <w:t xml:space="preserve">uro, and which would be attractive for other EU </w:t>
      </w:r>
      <w:r w:rsidR="000622C3" w:rsidRPr="009578C3">
        <w:rPr>
          <w:rFonts w:ascii="Arial" w:hAnsi="Arial" w:cs="Arial"/>
        </w:rPr>
        <w:t>m</w:t>
      </w:r>
      <w:r w:rsidRPr="009578C3">
        <w:rPr>
          <w:rFonts w:ascii="Arial" w:hAnsi="Arial" w:cs="Arial"/>
        </w:rPr>
        <w:t xml:space="preserve">ember </w:t>
      </w:r>
      <w:r w:rsidR="000622C3" w:rsidRPr="009578C3">
        <w:rPr>
          <w:rFonts w:ascii="Arial" w:hAnsi="Arial" w:cs="Arial"/>
        </w:rPr>
        <w:t>s</w:t>
      </w:r>
      <w:r w:rsidRPr="009578C3">
        <w:rPr>
          <w:rFonts w:ascii="Arial" w:hAnsi="Arial" w:cs="Arial"/>
        </w:rPr>
        <w:t>tates to join if they are ready to do so.</w:t>
      </w:r>
      <w:r w:rsidRPr="009578C3">
        <w:rPr>
          <w:rStyle w:val="FootnoteReference"/>
          <w:rFonts w:ascii="Arial" w:hAnsi="Arial" w:cs="Arial"/>
        </w:rPr>
        <w:footnoteReference w:id="59"/>
      </w:r>
    </w:p>
    <w:p w:rsidR="00B373D3" w:rsidRPr="00B373D3" w:rsidRDefault="004D0782" w:rsidP="00A6186B">
      <w:pPr>
        <w:tabs>
          <w:tab w:val="num" w:pos="851"/>
        </w:tabs>
        <w:spacing w:before="240" w:after="240" w:line="360" w:lineRule="auto"/>
        <w:jc w:val="both"/>
        <w:rPr>
          <w:rFonts w:ascii="Arial" w:hAnsi="Arial" w:cs="Arial"/>
        </w:rPr>
      </w:pPr>
      <w:r>
        <w:rPr>
          <w:rFonts w:ascii="Arial" w:hAnsi="Arial" w:cs="Arial"/>
        </w:rPr>
        <w:t>I</w:t>
      </w:r>
      <w:r w:rsidR="00B373D3">
        <w:rPr>
          <w:rFonts w:ascii="Arial" w:hAnsi="Arial" w:cs="Arial"/>
        </w:rPr>
        <w:t xml:space="preserve">t </w:t>
      </w:r>
      <w:r w:rsidR="004E0733">
        <w:rPr>
          <w:rFonts w:ascii="Arial" w:hAnsi="Arial" w:cs="Arial"/>
        </w:rPr>
        <w:t>is</w:t>
      </w:r>
      <w:r w:rsidR="00B373D3">
        <w:rPr>
          <w:rFonts w:ascii="Arial" w:hAnsi="Arial" w:cs="Arial"/>
        </w:rPr>
        <w:t xml:space="preserve"> beyond the scope of th</w:t>
      </w:r>
      <w:r w:rsidR="00AA7E85">
        <w:rPr>
          <w:rFonts w:ascii="Arial" w:hAnsi="Arial" w:cs="Arial"/>
        </w:rPr>
        <w:t>is</w:t>
      </w:r>
      <w:r w:rsidR="00B373D3">
        <w:rPr>
          <w:rFonts w:ascii="Arial" w:hAnsi="Arial" w:cs="Arial"/>
        </w:rPr>
        <w:t xml:space="preserve"> essay to analyse </w:t>
      </w:r>
      <w:r w:rsidR="00DB4CC1">
        <w:rPr>
          <w:rFonts w:ascii="Arial" w:hAnsi="Arial" w:cs="Arial"/>
        </w:rPr>
        <w:t>all</w:t>
      </w:r>
      <w:r w:rsidR="00B373D3">
        <w:rPr>
          <w:rFonts w:ascii="Arial" w:hAnsi="Arial" w:cs="Arial"/>
        </w:rPr>
        <w:t xml:space="preserve"> of the measures proposed in the Five Presidents</w:t>
      </w:r>
      <w:r w:rsidR="008A0C4D">
        <w:rPr>
          <w:rFonts w:ascii="Arial" w:hAnsi="Arial" w:cs="Arial"/>
        </w:rPr>
        <w:t>’</w:t>
      </w:r>
      <w:r w:rsidR="00B373D3">
        <w:rPr>
          <w:rFonts w:ascii="Arial" w:hAnsi="Arial" w:cs="Arial"/>
        </w:rPr>
        <w:t xml:space="preserve"> Report. </w:t>
      </w:r>
      <w:r w:rsidR="004E0733" w:rsidRPr="004E0733">
        <w:rPr>
          <w:rFonts w:ascii="Arial" w:hAnsi="Arial" w:cs="Arial"/>
        </w:rPr>
        <w:t xml:space="preserve">The </w:t>
      </w:r>
      <w:r w:rsidR="005B700A">
        <w:rPr>
          <w:rFonts w:ascii="Arial" w:hAnsi="Arial" w:cs="Arial"/>
        </w:rPr>
        <w:t>proposal</w:t>
      </w:r>
      <w:r w:rsidR="006150C8">
        <w:rPr>
          <w:rFonts w:ascii="Arial" w:hAnsi="Arial" w:cs="Arial"/>
        </w:rPr>
        <w:t>s</w:t>
      </w:r>
      <w:r w:rsidR="004E0733" w:rsidRPr="004E0733">
        <w:rPr>
          <w:rFonts w:ascii="Arial" w:hAnsi="Arial" w:cs="Arial"/>
        </w:rPr>
        <w:t xml:space="preserve"> to create a European Deposit Insurance Scheme (EDIS</w:t>
      </w:r>
      <w:r w:rsidR="006150C8">
        <w:rPr>
          <w:rFonts w:ascii="Arial" w:hAnsi="Arial" w:cs="Arial"/>
        </w:rPr>
        <w:t>),</w:t>
      </w:r>
      <w:r w:rsidR="005B700A">
        <w:rPr>
          <w:rFonts w:ascii="Arial" w:hAnsi="Arial" w:cs="Arial"/>
        </w:rPr>
        <w:t xml:space="preserve"> a </w:t>
      </w:r>
      <w:r w:rsidR="004E0733" w:rsidRPr="004E0733">
        <w:rPr>
          <w:rFonts w:ascii="Arial" w:hAnsi="Arial" w:cs="Arial"/>
        </w:rPr>
        <w:t>European Fiscal Board (EFB) a</w:t>
      </w:r>
      <w:r w:rsidR="006150C8">
        <w:rPr>
          <w:rFonts w:ascii="Arial" w:hAnsi="Arial" w:cs="Arial"/>
        </w:rPr>
        <w:t>nd a Euro</w:t>
      </w:r>
      <w:r w:rsidR="00C74FE4">
        <w:rPr>
          <w:rFonts w:ascii="Arial" w:hAnsi="Arial" w:cs="Arial"/>
        </w:rPr>
        <w:t>zone</w:t>
      </w:r>
      <w:r w:rsidR="006150C8">
        <w:rPr>
          <w:rFonts w:ascii="Arial" w:hAnsi="Arial" w:cs="Arial"/>
        </w:rPr>
        <w:t xml:space="preserve"> Treasury</w:t>
      </w:r>
      <w:r w:rsidR="004E0733" w:rsidRPr="004E0733">
        <w:rPr>
          <w:rFonts w:ascii="Arial" w:hAnsi="Arial" w:cs="Arial"/>
        </w:rPr>
        <w:t xml:space="preserve"> </w:t>
      </w:r>
      <w:r w:rsidR="004E0733">
        <w:rPr>
          <w:rFonts w:ascii="Arial" w:hAnsi="Arial" w:cs="Arial"/>
        </w:rPr>
        <w:t>are analysed in the following sections.</w:t>
      </w:r>
    </w:p>
    <w:p w:rsidR="007C4B57" w:rsidRPr="007A733E" w:rsidRDefault="004E0733" w:rsidP="00A6186B">
      <w:pPr>
        <w:tabs>
          <w:tab w:val="num" w:pos="851"/>
        </w:tabs>
        <w:spacing w:before="240" w:after="240" w:line="360" w:lineRule="auto"/>
        <w:jc w:val="both"/>
        <w:rPr>
          <w:rFonts w:ascii="Arial" w:hAnsi="Arial" w:cs="Arial"/>
          <w:b/>
          <w:sz w:val="24"/>
          <w:szCs w:val="24"/>
        </w:rPr>
      </w:pPr>
      <w:r w:rsidRPr="007A733E">
        <w:rPr>
          <w:rFonts w:ascii="Arial" w:hAnsi="Arial" w:cs="Arial"/>
          <w:b/>
          <w:sz w:val="24"/>
          <w:szCs w:val="24"/>
        </w:rPr>
        <w:t>European Deposit Insurance Scheme</w:t>
      </w:r>
    </w:p>
    <w:p w:rsidR="005A1A05" w:rsidRPr="005A1A05" w:rsidRDefault="00A830CF" w:rsidP="00A6186B">
      <w:pPr>
        <w:spacing w:before="240" w:after="240" w:line="360" w:lineRule="auto"/>
        <w:jc w:val="both"/>
        <w:rPr>
          <w:rFonts w:ascii="Arial" w:hAnsi="Arial" w:cs="Arial"/>
        </w:rPr>
      </w:pPr>
      <w:r>
        <w:rPr>
          <w:rFonts w:ascii="Arial" w:hAnsi="Arial" w:cs="Arial"/>
        </w:rPr>
        <w:t>The EDIS i</w:t>
      </w:r>
      <w:r w:rsidR="005B700A">
        <w:rPr>
          <w:rFonts w:ascii="Arial" w:hAnsi="Arial" w:cs="Arial"/>
        </w:rPr>
        <w:t xml:space="preserve">s </w:t>
      </w:r>
      <w:r w:rsidR="00582F76">
        <w:rPr>
          <w:rFonts w:ascii="Arial" w:hAnsi="Arial" w:cs="Arial"/>
        </w:rPr>
        <w:t>described</w:t>
      </w:r>
      <w:r w:rsidR="005B700A">
        <w:rPr>
          <w:rFonts w:ascii="Arial" w:hAnsi="Arial" w:cs="Arial"/>
        </w:rPr>
        <w:t xml:space="preserve"> in the Five Presidents’</w:t>
      </w:r>
      <w:r w:rsidR="00582F76">
        <w:rPr>
          <w:rFonts w:ascii="Arial" w:hAnsi="Arial" w:cs="Arial"/>
        </w:rPr>
        <w:t xml:space="preserve"> Report as the third pillar of a fully-fledged banking union.</w:t>
      </w:r>
      <w:r w:rsidR="00582F76">
        <w:rPr>
          <w:rStyle w:val="FootnoteReference"/>
          <w:rFonts w:ascii="Arial" w:hAnsi="Arial" w:cs="Arial"/>
        </w:rPr>
        <w:footnoteReference w:id="60"/>
      </w:r>
      <w:r w:rsidR="00582F76">
        <w:rPr>
          <w:rFonts w:ascii="Arial" w:hAnsi="Arial" w:cs="Arial"/>
        </w:rPr>
        <w:t xml:space="preserve"> </w:t>
      </w:r>
      <w:r w:rsidR="00D64439">
        <w:rPr>
          <w:rFonts w:ascii="Arial" w:hAnsi="Arial" w:cs="Arial"/>
        </w:rPr>
        <w:t>The primary aim of the Banking Union is to ‘break the link between a Member State’s banks and its taxpayers’.</w:t>
      </w:r>
      <w:r w:rsidR="00D64439" w:rsidRPr="00D64439">
        <w:rPr>
          <w:rStyle w:val="FootnoteReference"/>
          <w:rFonts w:ascii="Arial" w:hAnsi="Arial" w:cs="Arial"/>
        </w:rPr>
        <w:t xml:space="preserve"> </w:t>
      </w:r>
      <w:r w:rsidR="00D64439">
        <w:rPr>
          <w:rStyle w:val="FootnoteReference"/>
          <w:rFonts w:ascii="Arial" w:hAnsi="Arial" w:cs="Arial"/>
        </w:rPr>
        <w:footnoteReference w:id="61"/>
      </w:r>
      <w:r w:rsidR="00D64439">
        <w:rPr>
          <w:rFonts w:ascii="Arial" w:hAnsi="Arial" w:cs="Arial"/>
        </w:rPr>
        <w:t xml:space="preserve"> </w:t>
      </w:r>
      <w:r w:rsidR="00D63883">
        <w:rPr>
          <w:rFonts w:ascii="Arial" w:hAnsi="Arial" w:cs="Arial"/>
        </w:rPr>
        <w:t>The Banking Union reforms seek to prevent a declining bank sector from jeopardising the sustainability of public debt or unsustainable public debt compromising an otherwise solvent bank sector.</w:t>
      </w:r>
      <w:r w:rsidR="00486624">
        <w:rPr>
          <w:rStyle w:val="FootnoteReference"/>
          <w:rFonts w:ascii="Arial" w:hAnsi="Arial" w:cs="Arial"/>
        </w:rPr>
        <w:footnoteReference w:id="62"/>
      </w:r>
      <w:r w:rsidR="00486624">
        <w:rPr>
          <w:rFonts w:ascii="Arial" w:hAnsi="Arial" w:cs="Arial"/>
        </w:rPr>
        <w:t xml:space="preserve"> </w:t>
      </w:r>
      <w:r w:rsidR="005631CC">
        <w:rPr>
          <w:rFonts w:ascii="Arial" w:hAnsi="Arial" w:cs="Arial"/>
        </w:rPr>
        <w:t>As previously discussed</w:t>
      </w:r>
      <w:r w:rsidR="00C21718">
        <w:rPr>
          <w:rFonts w:ascii="Arial" w:hAnsi="Arial" w:cs="Arial"/>
        </w:rPr>
        <w:t>,</w:t>
      </w:r>
      <w:r w:rsidR="005631CC">
        <w:rPr>
          <w:rFonts w:ascii="Arial" w:hAnsi="Arial" w:cs="Arial"/>
        </w:rPr>
        <w:t xml:space="preserve"> t</w:t>
      </w:r>
      <w:r w:rsidR="00582F76">
        <w:rPr>
          <w:rFonts w:ascii="Arial" w:hAnsi="Arial" w:cs="Arial"/>
        </w:rPr>
        <w:t>he first two pillars of the banking union</w:t>
      </w:r>
      <w:r w:rsidR="00154BC9">
        <w:rPr>
          <w:rFonts w:ascii="Arial" w:hAnsi="Arial" w:cs="Arial"/>
        </w:rPr>
        <w:t>,</w:t>
      </w:r>
      <w:r w:rsidR="00154BC9" w:rsidRPr="00154BC9">
        <w:rPr>
          <w:rFonts w:ascii="Arial" w:hAnsi="Arial" w:cs="Arial"/>
        </w:rPr>
        <w:t xml:space="preserve"> </w:t>
      </w:r>
      <w:r w:rsidR="00154BC9">
        <w:rPr>
          <w:rFonts w:ascii="Arial" w:hAnsi="Arial" w:cs="Arial"/>
        </w:rPr>
        <w:t xml:space="preserve">the SSM and the </w:t>
      </w:r>
      <w:r w:rsidR="005631CC">
        <w:rPr>
          <w:rFonts w:ascii="Arial" w:hAnsi="Arial" w:cs="Arial"/>
        </w:rPr>
        <w:t xml:space="preserve">SRM have already been </w:t>
      </w:r>
      <w:r w:rsidR="00C21718">
        <w:rPr>
          <w:rFonts w:ascii="Arial" w:hAnsi="Arial" w:cs="Arial"/>
        </w:rPr>
        <w:t>implemented</w:t>
      </w:r>
      <w:r w:rsidR="005631CC">
        <w:rPr>
          <w:rFonts w:ascii="Arial" w:hAnsi="Arial" w:cs="Arial"/>
        </w:rPr>
        <w:t xml:space="preserve"> to r</w:t>
      </w:r>
      <w:r w:rsidR="00154BC9">
        <w:rPr>
          <w:rFonts w:ascii="Arial" w:hAnsi="Arial" w:cs="Arial"/>
        </w:rPr>
        <w:t>espectively</w:t>
      </w:r>
      <w:r w:rsidR="005631CC">
        <w:rPr>
          <w:rFonts w:ascii="Arial" w:hAnsi="Arial" w:cs="Arial"/>
        </w:rPr>
        <w:t xml:space="preserve"> provide</w:t>
      </w:r>
      <w:r w:rsidR="00582F76">
        <w:rPr>
          <w:rFonts w:ascii="Arial" w:hAnsi="Arial" w:cs="Arial"/>
        </w:rPr>
        <w:t xml:space="preserve"> a common framework for the supervision of banks</w:t>
      </w:r>
      <w:r w:rsidR="00154BC9">
        <w:rPr>
          <w:rFonts w:ascii="Arial" w:hAnsi="Arial" w:cs="Arial"/>
        </w:rPr>
        <w:t xml:space="preserve"> and bank resolution.</w:t>
      </w:r>
    </w:p>
    <w:p w:rsidR="00E35510" w:rsidRDefault="00491A09" w:rsidP="00A6186B">
      <w:pPr>
        <w:spacing w:before="240" w:after="240" w:line="360" w:lineRule="auto"/>
        <w:jc w:val="both"/>
        <w:rPr>
          <w:rFonts w:ascii="Arial" w:hAnsi="Arial" w:cs="Arial"/>
        </w:rPr>
      </w:pPr>
      <w:r>
        <w:rPr>
          <w:rFonts w:ascii="Arial" w:hAnsi="Arial" w:cs="Arial"/>
        </w:rPr>
        <w:t xml:space="preserve">The aim of the EDIS is to provide a ‘stronger and more uniform degree of insurance cover for all retail depositors </w:t>
      </w:r>
      <w:r w:rsidR="008460DC">
        <w:rPr>
          <w:rFonts w:ascii="Arial" w:hAnsi="Arial" w:cs="Arial"/>
        </w:rPr>
        <w:t xml:space="preserve">in the banking union’ such that a bank’s location should not determine the </w:t>
      </w:r>
      <w:r>
        <w:rPr>
          <w:rFonts w:ascii="Arial" w:hAnsi="Arial" w:cs="Arial"/>
        </w:rPr>
        <w:t xml:space="preserve">level of depositor confidence in </w:t>
      </w:r>
      <w:r w:rsidR="008460DC">
        <w:rPr>
          <w:rFonts w:ascii="Arial" w:hAnsi="Arial" w:cs="Arial"/>
        </w:rPr>
        <w:t>that</w:t>
      </w:r>
      <w:r>
        <w:rPr>
          <w:rFonts w:ascii="Arial" w:hAnsi="Arial" w:cs="Arial"/>
        </w:rPr>
        <w:t xml:space="preserve"> bank.</w:t>
      </w:r>
      <w:r>
        <w:rPr>
          <w:rStyle w:val="FootnoteReference"/>
          <w:rFonts w:ascii="Arial" w:hAnsi="Arial" w:cs="Arial"/>
        </w:rPr>
        <w:footnoteReference w:id="63"/>
      </w:r>
      <w:r>
        <w:rPr>
          <w:rFonts w:ascii="Arial" w:hAnsi="Arial" w:cs="Arial"/>
        </w:rPr>
        <w:t xml:space="preserve"> </w:t>
      </w:r>
      <w:r w:rsidR="007D50DE">
        <w:rPr>
          <w:rFonts w:ascii="Arial" w:hAnsi="Arial" w:cs="Arial"/>
        </w:rPr>
        <w:t xml:space="preserve">As stated by Goyal et al of the IMF, losses of confidence can quickly flow ‘if a weak sovereign is perceived not to be able to honour its safety net obligations, </w:t>
      </w:r>
      <w:r w:rsidR="007D50DE">
        <w:rPr>
          <w:rFonts w:ascii="Arial" w:hAnsi="Arial" w:cs="Arial"/>
        </w:rPr>
        <w:lastRenderedPageBreak/>
        <w:t>triggering capital flight and deposit outflows’.</w:t>
      </w:r>
      <w:r w:rsidR="007D50DE">
        <w:rPr>
          <w:rStyle w:val="FootnoteReference"/>
          <w:rFonts w:ascii="Arial" w:hAnsi="Arial" w:cs="Arial"/>
        </w:rPr>
        <w:footnoteReference w:id="64"/>
      </w:r>
      <w:r w:rsidR="007D50DE">
        <w:rPr>
          <w:rFonts w:ascii="Arial" w:hAnsi="Arial" w:cs="Arial"/>
        </w:rPr>
        <w:t xml:space="preserve"> </w:t>
      </w:r>
      <w:r>
        <w:rPr>
          <w:rFonts w:ascii="Arial" w:hAnsi="Arial" w:cs="Arial"/>
        </w:rPr>
        <w:t>Deposit Guarantee Schemes are designed to limit the possibility of systemic bank runs.</w:t>
      </w:r>
      <w:r>
        <w:rPr>
          <w:rStyle w:val="FootnoteReference"/>
          <w:rFonts w:ascii="Arial" w:hAnsi="Arial" w:cs="Arial"/>
        </w:rPr>
        <w:footnoteReference w:id="65"/>
      </w:r>
      <w:r>
        <w:rPr>
          <w:rFonts w:ascii="Arial" w:hAnsi="Arial" w:cs="Arial"/>
        </w:rPr>
        <w:t xml:space="preserve"> </w:t>
      </w:r>
      <w:r w:rsidR="00DE6327">
        <w:rPr>
          <w:rFonts w:ascii="Arial" w:hAnsi="Arial" w:cs="Arial"/>
        </w:rPr>
        <w:t>Deposits of up to €100,000 are already protected</w:t>
      </w:r>
      <w:r w:rsidR="005D7176">
        <w:rPr>
          <w:rFonts w:ascii="Arial" w:hAnsi="Arial" w:cs="Arial"/>
        </w:rPr>
        <w:t xml:space="preserve"> through National Deposit Guarantee Scheme</w:t>
      </w:r>
      <w:r w:rsidR="00DE5D26">
        <w:rPr>
          <w:rFonts w:ascii="Arial" w:hAnsi="Arial" w:cs="Arial"/>
        </w:rPr>
        <w:t>s</w:t>
      </w:r>
      <w:r w:rsidR="005D7176">
        <w:rPr>
          <w:rFonts w:ascii="Arial" w:hAnsi="Arial" w:cs="Arial"/>
        </w:rPr>
        <w:t xml:space="preserve"> (NDGS)</w:t>
      </w:r>
      <w:r w:rsidR="008460DC">
        <w:rPr>
          <w:rFonts w:ascii="Arial" w:hAnsi="Arial" w:cs="Arial"/>
        </w:rPr>
        <w:t>.</w:t>
      </w:r>
      <w:r w:rsidR="008460DC">
        <w:rPr>
          <w:rStyle w:val="FootnoteReference"/>
          <w:rFonts w:ascii="Arial" w:hAnsi="Arial" w:cs="Arial"/>
        </w:rPr>
        <w:footnoteReference w:id="66"/>
      </w:r>
      <w:r w:rsidR="008460DC">
        <w:rPr>
          <w:rFonts w:ascii="Arial" w:hAnsi="Arial" w:cs="Arial"/>
        </w:rPr>
        <w:t xml:space="preserve"> </w:t>
      </w:r>
      <w:r w:rsidR="0004038F">
        <w:rPr>
          <w:rFonts w:ascii="Arial" w:hAnsi="Arial" w:cs="Arial"/>
        </w:rPr>
        <w:t>T</w:t>
      </w:r>
      <w:r w:rsidR="00E35510">
        <w:rPr>
          <w:rFonts w:ascii="Arial" w:hAnsi="Arial" w:cs="Arial"/>
        </w:rPr>
        <w:t xml:space="preserve">he </w:t>
      </w:r>
      <w:r w:rsidR="00E35510" w:rsidRPr="00E44CD9">
        <w:rPr>
          <w:rFonts w:ascii="Arial" w:hAnsi="Arial" w:cs="Arial"/>
          <w:i/>
        </w:rPr>
        <w:t>Deposit Guarantee Scheme Directive</w:t>
      </w:r>
      <w:r w:rsidR="000549C8" w:rsidRPr="00E44CD9">
        <w:rPr>
          <w:rFonts w:ascii="Arial" w:hAnsi="Arial" w:cs="Arial"/>
          <w:i/>
        </w:rPr>
        <w:t xml:space="preserve"> 2014/49/EU</w:t>
      </w:r>
      <w:r w:rsidR="00E35510">
        <w:rPr>
          <w:rFonts w:ascii="Arial" w:hAnsi="Arial" w:cs="Arial"/>
        </w:rPr>
        <w:t xml:space="preserve"> requires all deposit-taking banks in the EU to be a member of a</w:t>
      </w:r>
      <w:r w:rsidR="005D7176">
        <w:rPr>
          <w:rFonts w:ascii="Arial" w:hAnsi="Arial" w:cs="Arial"/>
        </w:rPr>
        <w:t xml:space="preserve"> NDGS</w:t>
      </w:r>
      <w:r w:rsidR="00DE6327">
        <w:rPr>
          <w:rFonts w:ascii="Arial" w:hAnsi="Arial" w:cs="Arial"/>
        </w:rPr>
        <w:t>.</w:t>
      </w:r>
      <w:r w:rsidR="00DE6327">
        <w:rPr>
          <w:rStyle w:val="FootnoteReference"/>
          <w:rFonts w:ascii="Arial" w:hAnsi="Arial" w:cs="Arial"/>
        </w:rPr>
        <w:footnoteReference w:id="67"/>
      </w:r>
      <w:r w:rsidR="00DE6327">
        <w:rPr>
          <w:rFonts w:ascii="Arial" w:hAnsi="Arial" w:cs="Arial"/>
        </w:rPr>
        <w:t xml:space="preserve"> However these NDGS</w:t>
      </w:r>
      <w:r w:rsidR="00CE3F94">
        <w:rPr>
          <w:rFonts w:ascii="Arial" w:hAnsi="Arial" w:cs="Arial"/>
        </w:rPr>
        <w:t>s</w:t>
      </w:r>
      <w:r w:rsidR="00DE6327">
        <w:rPr>
          <w:rFonts w:ascii="Arial" w:hAnsi="Arial" w:cs="Arial"/>
        </w:rPr>
        <w:t xml:space="preserve"> are considered to be vulnerable to large local shocks.</w:t>
      </w:r>
      <w:r w:rsidR="00DE6327">
        <w:rPr>
          <w:rStyle w:val="FootnoteReference"/>
          <w:rFonts w:ascii="Arial" w:hAnsi="Arial" w:cs="Arial"/>
        </w:rPr>
        <w:footnoteReference w:id="68"/>
      </w:r>
      <w:r w:rsidR="00DE6327">
        <w:rPr>
          <w:rFonts w:ascii="Arial" w:hAnsi="Arial" w:cs="Arial"/>
        </w:rPr>
        <w:t xml:space="preserve"> </w:t>
      </w:r>
    </w:p>
    <w:p w:rsidR="00C2036F" w:rsidRDefault="00C2036F" w:rsidP="00A6186B">
      <w:pPr>
        <w:spacing w:before="240" w:after="240" w:line="360" w:lineRule="auto"/>
        <w:jc w:val="both"/>
        <w:rPr>
          <w:rFonts w:ascii="Arial" w:hAnsi="Arial" w:cs="Arial"/>
        </w:rPr>
      </w:pPr>
      <w:r>
        <w:rPr>
          <w:rFonts w:ascii="Arial" w:hAnsi="Arial" w:cs="Arial"/>
        </w:rPr>
        <w:t>The United States is an example of a monetary union where private financial connections across state borders have helped to cushion regional economic impacts.</w:t>
      </w:r>
      <w:r>
        <w:rPr>
          <w:rStyle w:val="FootnoteReference"/>
          <w:rFonts w:ascii="Arial" w:hAnsi="Arial" w:cs="Arial"/>
        </w:rPr>
        <w:footnoteReference w:id="69"/>
      </w:r>
      <w:r>
        <w:rPr>
          <w:rFonts w:ascii="Arial" w:hAnsi="Arial" w:cs="Arial"/>
        </w:rPr>
        <w:t xml:space="preserve"> In smoothing the business cycle, private risk sharing across states has proven to be as important as fiscal risk sharing.</w:t>
      </w:r>
      <w:r>
        <w:rPr>
          <w:rStyle w:val="FootnoteReference"/>
          <w:rFonts w:ascii="Arial" w:hAnsi="Arial" w:cs="Arial"/>
        </w:rPr>
        <w:footnoteReference w:id="70"/>
      </w:r>
      <w:r>
        <w:rPr>
          <w:rFonts w:ascii="Arial" w:hAnsi="Arial" w:cs="Arial"/>
        </w:rPr>
        <w:t xml:space="preserve"> However in the </w:t>
      </w:r>
      <w:r w:rsidR="00C74FE4">
        <w:rPr>
          <w:rFonts w:ascii="Arial" w:hAnsi="Arial" w:cs="Arial"/>
        </w:rPr>
        <w:t>E</w:t>
      </w:r>
      <w:r>
        <w:rPr>
          <w:rFonts w:ascii="Arial" w:hAnsi="Arial" w:cs="Arial"/>
        </w:rPr>
        <w:t>urozone, cross-border ownership and capital flows are underdeveloped which in turn means that private risk-sharing is underdeveloped.</w:t>
      </w:r>
      <w:r>
        <w:rPr>
          <w:rStyle w:val="FootnoteReference"/>
          <w:rFonts w:ascii="Arial" w:hAnsi="Arial" w:cs="Arial"/>
        </w:rPr>
        <w:footnoteReference w:id="71"/>
      </w:r>
      <w:r>
        <w:rPr>
          <w:rFonts w:ascii="Arial" w:hAnsi="Arial" w:cs="Arial"/>
        </w:rPr>
        <w:t xml:space="preserve"> Additionally as banks as so closely tied to their regional economy and their sovereign, rather than be</w:t>
      </w:r>
      <w:r w:rsidR="00DE5D26">
        <w:rPr>
          <w:rFonts w:ascii="Arial" w:hAnsi="Arial" w:cs="Arial"/>
        </w:rPr>
        <w:t>ing</w:t>
      </w:r>
      <w:r>
        <w:rPr>
          <w:rFonts w:ascii="Arial" w:hAnsi="Arial" w:cs="Arial"/>
        </w:rPr>
        <w:t xml:space="preserve"> a stabilising factor, they can destabilise the government and the economy during an economic downturn.</w:t>
      </w:r>
      <w:r>
        <w:rPr>
          <w:rStyle w:val="FootnoteReference"/>
          <w:rFonts w:ascii="Arial" w:hAnsi="Arial" w:cs="Arial"/>
        </w:rPr>
        <w:footnoteReference w:id="72"/>
      </w:r>
    </w:p>
    <w:p w:rsidR="000549C8" w:rsidRPr="00D7468E" w:rsidRDefault="000549C8" w:rsidP="00A6186B">
      <w:pPr>
        <w:spacing w:before="240" w:after="240" w:line="360" w:lineRule="auto"/>
        <w:jc w:val="both"/>
        <w:rPr>
          <w:rFonts w:ascii="Arial" w:hAnsi="Arial" w:cs="Arial"/>
        </w:rPr>
      </w:pPr>
      <w:r w:rsidRPr="00D7468E">
        <w:rPr>
          <w:rFonts w:ascii="Arial" w:hAnsi="Arial" w:cs="Arial"/>
        </w:rPr>
        <w:t xml:space="preserve">The EDIS </w:t>
      </w:r>
      <w:r w:rsidR="00AA7E85" w:rsidRPr="00D7468E">
        <w:rPr>
          <w:rFonts w:ascii="Arial" w:hAnsi="Arial" w:cs="Arial"/>
        </w:rPr>
        <w:t>is proposed to</w:t>
      </w:r>
      <w:r w:rsidRPr="00D7468E">
        <w:rPr>
          <w:rFonts w:ascii="Arial" w:hAnsi="Arial" w:cs="Arial"/>
        </w:rPr>
        <w:t xml:space="preserve"> be implemented over three stages.</w:t>
      </w:r>
      <w:r w:rsidRPr="00D7468E">
        <w:rPr>
          <w:rStyle w:val="FootnoteReference"/>
          <w:rFonts w:ascii="Arial" w:hAnsi="Arial" w:cs="Arial"/>
        </w:rPr>
        <w:footnoteReference w:id="73"/>
      </w:r>
      <w:r w:rsidR="00CE3F94" w:rsidRPr="00D7468E">
        <w:rPr>
          <w:rFonts w:ascii="Arial" w:hAnsi="Arial" w:cs="Arial"/>
        </w:rPr>
        <w:t xml:space="preserve"> The first stage from 2017 to 2019 is termed the reinsurance phase. In this stage a NDGS would only be able to access the EDIS after it has exhausted its own resources.</w:t>
      </w:r>
      <w:r w:rsidR="00CE3F94" w:rsidRPr="00D7468E">
        <w:rPr>
          <w:rStyle w:val="FootnoteReference"/>
          <w:rFonts w:ascii="Arial" w:hAnsi="Arial" w:cs="Arial"/>
        </w:rPr>
        <w:footnoteReference w:id="74"/>
      </w:r>
      <w:r w:rsidR="00CE3F94" w:rsidRPr="00D7468E">
        <w:rPr>
          <w:rFonts w:ascii="Arial" w:hAnsi="Arial" w:cs="Arial"/>
        </w:rPr>
        <w:t xml:space="preserve"> In the co-insurance phase, which is designed to run from 2020-2023, participating NDGSs will be co-insured by the EDIS.</w:t>
      </w:r>
      <w:r w:rsidR="00CE3F94" w:rsidRPr="00D7468E">
        <w:rPr>
          <w:rStyle w:val="FootnoteReference"/>
          <w:rFonts w:ascii="Arial" w:hAnsi="Arial" w:cs="Arial"/>
        </w:rPr>
        <w:footnoteReference w:id="75"/>
      </w:r>
      <w:r w:rsidR="00464725" w:rsidRPr="00D7468E">
        <w:rPr>
          <w:rFonts w:ascii="Arial" w:hAnsi="Arial" w:cs="Arial"/>
        </w:rPr>
        <w:t xml:space="preserve"> The co-insurance phase is different from the reinsurance phase in that funding is provided and loss is covered from the first euro deposited into an account.</w:t>
      </w:r>
      <w:r w:rsidR="00464725" w:rsidRPr="00D7468E">
        <w:rPr>
          <w:rStyle w:val="FootnoteReference"/>
          <w:rFonts w:ascii="Arial" w:hAnsi="Arial" w:cs="Arial"/>
        </w:rPr>
        <w:footnoteReference w:id="76"/>
      </w:r>
      <w:r w:rsidR="00464725" w:rsidRPr="00D7468E">
        <w:rPr>
          <w:rFonts w:ascii="Arial" w:hAnsi="Arial" w:cs="Arial"/>
        </w:rPr>
        <w:t xml:space="preserve"> The share </w:t>
      </w:r>
      <w:r w:rsidR="005D7176" w:rsidRPr="00D7468E">
        <w:rPr>
          <w:rFonts w:ascii="Arial" w:hAnsi="Arial" w:cs="Arial"/>
        </w:rPr>
        <w:t xml:space="preserve">of </w:t>
      </w:r>
      <w:r w:rsidR="00464725" w:rsidRPr="00D7468E">
        <w:rPr>
          <w:rFonts w:ascii="Arial" w:hAnsi="Arial" w:cs="Arial"/>
        </w:rPr>
        <w:t>the insurance coverage borne by the EDIS will gradually increase over the co-insurance period from 20 to 8</w:t>
      </w:r>
      <w:r w:rsidR="005D7176" w:rsidRPr="00D7468E">
        <w:rPr>
          <w:rFonts w:ascii="Arial" w:hAnsi="Arial" w:cs="Arial"/>
        </w:rPr>
        <w:t>0</w:t>
      </w:r>
      <w:r w:rsidR="00464725" w:rsidRPr="00D7468E">
        <w:rPr>
          <w:rFonts w:ascii="Arial" w:hAnsi="Arial" w:cs="Arial"/>
        </w:rPr>
        <w:t xml:space="preserve"> per cent. As of 2024, during the full insurance period, the participating NDGSs would be fully insured by the EDIS.</w:t>
      </w:r>
      <w:r w:rsidR="00464725" w:rsidRPr="00D7468E">
        <w:rPr>
          <w:rStyle w:val="FootnoteReference"/>
          <w:rFonts w:ascii="Arial" w:hAnsi="Arial" w:cs="Arial"/>
        </w:rPr>
        <w:footnoteReference w:id="77"/>
      </w:r>
    </w:p>
    <w:p w:rsidR="00A6186B" w:rsidRDefault="00A6186B">
      <w:pPr>
        <w:rPr>
          <w:rFonts w:ascii="Arial" w:hAnsi="Arial" w:cs="Arial"/>
        </w:rPr>
      </w:pPr>
      <w:r>
        <w:rPr>
          <w:rFonts w:ascii="Arial" w:hAnsi="Arial" w:cs="Arial"/>
        </w:rPr>
        <w:br w:type="page"/>
      </w:r>
    </w:p>
    <w:p w:rsidR="00E417CE" w:rsidRPr="00D7468E" w:rsidRDefault="00E417CE" w:rsidP="00E24CFC">
      <w:pPr>
        <w:tabs>
          <w:tab w:val="num" w:pos="851"/>
        </w:tabs>
        <w:spacing w:before="240" w:after="240" w:line="360" w:lineRule="auto"/>
        <w:jc w:val="both"/>
        <w:rPr>
          <w:rFonts w:ascii="Arial" w:hAnsi="Arial" w:cs="Arial"/>
        </w:rPr>
      </w:pPr>
      <w:r w:rsidRPr="00D7468E">
        <w:rPr>
          <w:rFonts w:ascii="Arial" w:hAnsi="Arial" w:cs="Arial"/>
        </w:rPr>
        <w:lastRenderedPageBreak/>
        <w:t>The EDIS proposal has garnered criticism from sources including Ludger Schuknecht, the chief economist of the German Federal Ministry of Finance, who stated that the EDIS is an ‘insurance scheme that only ensures problems’.</w:t>
      </w:r>
      <w:r w:rsidRPr="00D7468E">
        <w:rPr>
          <w:rStyle w:val="FootnoteReference"/>
          <w:rFonts w:ascii="Arial" w:hAnsi="Arial" w:cs="Arial"/>
        </w:rPr>
        <w:footnoteReference w:id="78"/>
      </w:r>
      <w:r w:rsidRPr="00D7468E">
        <w:rPr>
          <w:rFonts w:ascii="Arial" w:hAnsi="Arial" w:cs="Arial"/>
        </w:rPr>
        <w:t xml:space="preserve"> Schuknecht has condemned the scheme for providing the wrong incentives to national-level politicians who could ‘suspend their insolvency regimes and asset seizure rules without being punished’.</w:t>
      </w:r>
      <w:r w:rsidRPr="00D7468E">
        <w:rPr>
          <w:rStyle w:val="FootnoteReference"/>
          <w:rFonts w:ascii="Arial" w:hAnsi="Arial" w:cs="Arial"/>
        </w:rPr>
        <w:footnoteReference w:id="79"/>
      </w:r>
      <w:r w:rsidRPr="00D7468E">
        <w:rPr>
          <w:rFonts w:ascii="Arial" w:hAnsi="Arial" w:cs="Arial"/>
        </w:rPr>
        <w:t xml:space="preserve"> Schuknecht argues that as a consequence of the EDIS ‘other countries would soon be liable for the consequences of misguided domestic policies, without those countries being able to influence such behaviour’.</w:t>
      </w:r>
      <w:r w:rsidRPr="00D7468E">
        <w:rPr>
          <w:rStyle w:val="FootnoteReference"/>
          <w:rFonts w:ascii="Arial" w:hAnsi="Arial" w:cs="Arial"/>
        </w:rPr>
        <w:footnoteReference w:id="80"/>
      </w:r>
    </w:p>
    <w:p w:rsidR="007369D4" w:rsidRDefault="007D4814" w:rsidP="00136365">
      <w:pPr>
        <w:pStyle w:val="ListParagraph"/>
        <w:tabs>
          <w:tab w:val="num" w:pos="0"/>
        </w:tabs>
        <w:spacing w:before="240" w:after="240" w:line="384" w:lineRule="auto"/>
        <w:ind w:left="0"/>
        <w:contextualSpacing w:val="0"/>
        <w:jc w:val="both"/>
        <w:rPr>
          <w:rFonts w:ascii="Arial" w:hAnsi="Arial" w:cs="Arial"/>
        </w:rPr>
      </w:pPr>
      <w:r w:rsidRPr="00D7468E">
        <w:rPr>
          <w:rFonts w:ascii="Arial" w:hAnsi="Arial" w:cs="Arial"/>
        </w:rPr>
        <w:t xml:space="preserve">Schuknecht also argues that </w:t>
      </w:r>
      <w:r w:rsidR="00915DB4">
        <w:rPr>
          <w:rFonts w:ascii="Arial" w:hAnsi="Arial" w:cs="Arial"/>
        </w:rPr>
        <w:t>through</w:t>
      </w:r>
      <w:r w:rsidRPr="00D7468E">
        <w:rPr>
          <w:rFonts w:ascii="Arial" w:hAnsi="Arial" w:cs="Arial"/>
        </w:rPr>
        <w:t xml:space="preserve"> the EDIS, ‘the door would be opened for further centralisation and mutualisation in Europe’.</w:t>
      </w:r>
      <w:r w:rsidRPr="00D7468E">
        <w:rPr>
          <w:rStyle w:val="FootnoteReference"/>
          <w:rFonts w:ascii="Arial" w:hAnsi="Arial" w:cs="Arial"/>
        </w:rPr>
        <w:footnoteReference w:id="81"/>
      </w:r>
      <w:r w:rsidRPr="00D7468E">
        <w:rPr>
          <w:rFonts w:ascii="Arial" w:hAnsi="Arial" w:cs="Arial"/>
        </w:rPr>
        <w:t xml:space="preserve">  Schuknecht claims that it is ‘somewhat far-fetched to claim that the EDIS is connected to the internal market’.</w:t>
      </w:r>
      <w:r w:rsidRPr="00D7468E">
        <w:rPr>
          <w:rStyle w:val="FootnoteReference"/>
          <w:rFonts w:ascii="Arial" w:hAnsi="Arial" w:cs="Arial"/>
        </w:rPr>
        <w:footnoteReference w:id="82"/>
      </w:r>
      <w:r w:rsidRPr="00D7468E">
        <w:rPr>
          <w:rFonts w:ascii="Arial" w:hAnsi="Arial" w:cs="Arial"/>
        </w:rPr>
        <w:t xml:space="preserve"> </w:t>
      </w:r>
      <w:r w:rsidR="00026C52">
        <w:rPr>
          <w:rFonts w:ascii="Arial" w:hAnsi="Arial" w:cs="Arial"/>
        </w:rPr>
        <w:t xml:space="preserve">Article 114 of the </w:t>
      </w:r>
      <w:r w:rsidR="008D11E7">
        <w:rPr>
          <w:rFonts w:ascii="Arial" w:hAnsi="Arial" w:cs="Arial"/>
          <w:i/>
        </w:rPr>
        <w:t>TFEU</w:t>
      </w:r>
      <w:r w:rsidR="00026C52">
        <w:rPr>
          <w:rFonts w:ascii="Arial" w:hAnsi="Arial" w:cs="Arial"/>
        </w:rPr>
        <w:t xml:space="preserve"> provides that the European Parliament and the Council shall act ‘in accordance with the ordinary legislative procedure… for the approximation of… provisions laid down by law… which have as their object the establishment and functioning of the internal market</w:t>
      </w:r>
      <w:r w:rsidR="007A733E">
        <w:rPr>
          <w:rFonts w:ascii="Arial" w:hAnsi="Arial" w:cs="Arial"/>
        </w:rPr>
        <w:t>’</w:t>
      </w:r>
      <w:r w:rsidR="00026C52">
        <w:rPr>
          <w:rFonts w:ascii="Arial" w:hAnsi="Arial" w:cs="Arial"/>
        </w:rPr>
        <w:t>.</w:t>
      </w:r>
      <w:r w:rsidR="00026C52">
        <w:rPr>
          <w:rStyle w:val="FootnoteReference"/>
          <w:rFonts w:ascii="Arial" w:hAnsi="Arial" w:cs="Arial"/>
        </w:rPr>
        <w:footnoteReference w:id="83"/>
      </w:r>
      <w:r w:rsidR="007369D4">
        <w:rPr>
          <w:rFonts w:ascii="Arial" w:hAnsi="Arial" w:cs="Arial"/>
        </w:rPr>
        <w:t xml:space="preserve"> It is Schuknecht’s contention</w:t>
      </w:r>
      <w:r w:rsidRPr="00D7468E">
        <w:rPr>
          <w:rFonts w:ascii="Arial" w:hAnsi="Arial" w:cs="Arial"/>
        </w:rPr>
        <w:t xml:space="preserve"> that the legal basis allows individual countries to be outvoted such that ‘supposed or actual unilateral burden-sharing can be forced through.</w:t>
      </w:r>
      <w:r w:rsidRPr="00D7468E">
        <w:rPr>
          <w:rStyle w:val="FootnoteReference"/>
          <w:rFonts w:ascii="Arial" w:hAnsi="Arial" w:cs="Arial"/>
        </w:rPr>
        <w:footnoteReference w:id="84"/>
      </w:r>
      <w:r w:rsidRPr="00D7468E">
        <w:rPr>
          <w:rFonts w:ascii="Arial" w:hAnsi="Arial" w:cs="Arial"/>
        </w:rPr>
        <w:t xml:space="preserve"> </w:t>
      </w:r>
    </w:p>
    <w:p w:rsidR="00D12D6E" w:rsidRDefault="00D12D6E" w:rsidP="00136365">
      <w:pPr>
        <w:pStyle w:val="ListParagraph"/>
        <w:tabs>
          <w:tab w:val="num" w:pos="0"/>
        </w:tabs>
        <w:spacing w:before="240" w:after="240" w:line="384" w:lineRule="auto"/>
        <w:ind w:left="0"/>
        <w:contextualSpacing w:val="0"/>
        <w:jc w:val="both"/>
        <w:rPr>
          <w:rFonts w:ascii="Arial" w:hAnsi="Arial" w:cs="Arial"/>
        </w:rPr>
      </w:pPr>
      <w:r>
        <w:rPr>
          <w:rFonts w:ascii="Arial" w:hAnsi="Arial" w:cs="Arial"/>
        </w:rPr>
        <w:t>Schuknecht</w:t>
      </w:r>
      <w:r w:rsidR="007D4814" w:rsidRPr="00D7468E">
        <w:rPr>
          <w:rFonts w:ascii="Arial" w:hAnsi="Arial" w:cs="Arial"/>
        </w:rPr>
        <w:t xml:space="preserve"> </w:t>
      </w:r>
      <w:r>
        <w:rPr>
          <w:rFonts w:ascii="Arial" w:hAnsi="Arial" w:cs="Arial"/>
        </w:rPr>
        <w:t>also claims that the plans for the EDIS are</w:t>
      </w:r>
      <w:r w:rsidR="007D4814" w:rsidRPr="00D7468E">
        <w:rPr>
          <w:rFonts w:ascii="Arial" w:hAnsi="Arial" w:cs="Arial"/>
        </w:rPr>
        <w:t xml:space="preserve"> ‘yet another sign of how little the subsidiary principle is taken seriously’.</w:t>
      </w:r>
      <w:r w:rsidR="007D4814" w:rsidRPr="00D7468E">
        <w:rPr>
          <w:rStyle w:val="FootnoteReference"/>
          <w:rFonts w:ascii="Arial" w:hAnsi="Arial" w:cs="Arial"/>
        </w:rPr>
        <w:footnoteReference w:id="85"/>
      </w:r>
      <w:r w:rsidR="00444AB7" w:rsidRPr="00D7468E">
        <w:rPr>
          <w:rFonts w:ascii="Arial" w:hAnsi="Arial" w:cs="Arial"/>
        </w:rPr>
        <w:t xml:space="preserve"> </w:t>
      </w:r>
      <w:r w:rsidR="0011200B" w:rsidRPr="00D7468E">
        <w:rPr>
          <w:rFonts w:ascii="Arial" w:hAnsi="Arial" w:cs="Arial"/>
        </w:rPr>
        <w:t>Article </w:t>
      </w:r>
      <w:hyperlink r:id="rId9" w:history="1">
        <w:r w:rsidR="0011200B" w:rsidRPr="00D7468E">
          <w:rPr>
            <w:rFonts w:ascii="Arial" w:hAnsi="Arial" w:cs="Arial"/>
          </w:rPr>
          <w:t>5</w:t>
        </w:r>
      </w:hyperlink>
      <w:r w:rsidR="0011200B" w:rsidRPr="00D7468E">
        <w:rPr>
          <w:rFonts w:ascii="Arial" w:hAnsi="Arial" w:cs="Arial"/>
        </w:rPr>
        <w:t xml:space="preserve"> of the </w:t>
      </w:r>
      <w:r w:rsidR="0011200B" w:rsidRPr="00D12D6E">
        <w:rPr>
          <w:rFonts w:ascii="Arial" w:hAnsi="Arial" w:cs="Arial"/>
          <w:i/>
        </w:rPr>
        <w:t>Treaty on European Union</w:t>
      </w:r>
      <w:r w:rsidR="0011200B" w:rsidRPr="00D7468E">
        <w:rPr>
          <w:rFonts w:ascii="Arial" w:hAnsi="Arial" w:cs="Arial"/>
        </w:rPr>
        <w:t xml:space="preserve"> established the principle of subsidiarity.</w:t>
      </w:r>
      <w:r w:rsidR="0011200B" w:rsidRPr="00D7468E">
        <w:rPr>
          <w:rStyle w:val="FootnoteReference"/>
          <w:rFonts w:ascii="Arial" w:hAnsi="Arial" w:cs="Arial"/>
        </w:rPr>
        <w:footnoteReference w:id="86"/>
      </w:r>
      <w:r w:rsidR="002D548A" w:rsidRPr="00D7468E">
        <w:rPr>
          <w:rFonts w:ascii="Arial" w:hAnsi="Arial" w:cs="Arial"/>
        </w:rPr>
        <w:t xml:space="preserve"> </w:t>
      </w:r>
      <w:r w:rsidR="00B713D7" w:rsidRPr="00D7468E">
        <w:rPr>
          <w:rFonts w:ascii="Arial" w:hAnsi="Arial" w:cs="Arial"/>
        </w:rPr>
        <w:t xml:space="preserve">Under </w:t>
      </w:r>
      <w:r w:rsidR="002D548A" w:rsidRPr="00D7468E">
        <w:rPr>
          <w:rFonts w:ascii="Arial" w:hAnsi="Arial" w:cs="Arial"/>
        </w:rPr>
        <w:t>the principle of subsidiarity</w:t>
      </w:r>
      <w:r>
        <w:rPr>
          <w:rFonts w:ascii="Arial" w:hAnsi="Arial" w:cs="Arial"/>
        </w:rPr>
        <w:t>:</w:t>
      </w:r>
    </w:p>
    <w:p w:rsidR="00D12D6E" w:rsidRDefault="00B713D7" w:rsidP="00136365">
      <w:pPr>
        <w:pStyle w:val="ListParagraph"/>
        <w:tabs>
          <w:tab w:val="num" w:pos="567"/>
        </w:tabs>
        <w:spacing w:before="240" w:after="240" w:line="384" w:lineRule="auto"/>
        <w:ind w:left="567" w:right="567"/>
        <w:contextualSpacing w:val="0"/>
        <w:jc w:val="both"/>
        <w:rPr>
          <w:rFonts w:ascii="Arial" w:hAnsi="Arial" w:cs="Arial"/>
        </w:rPr>
      </w:pPr>
      <w:r w:rsidRPr="00D7468E">
        <w:rPr>
          <w:rFonts w:ascii="Arial" w:hAnsi="Arial" w:cs="Arial"/>
        </w:rPr>
        <w:t>in area</w:t>
      </w:r>
      <w:r w:rsidR="002D548A" w:rsidRPr="00D7468E">
        <w:rPr>
          <w:rFonts w:ascii="Arial" w:hAnsi="Arial" w:cs="Arial"/>
        </w:rPr>
        <w:t>s</w:t>
      </w:r>
      <w:r w:rsidRPr="00D7468E">
        <w:rPr>
          <w:rFonts w:ascii="Arial" w:hAnsi="Arial" w:cs="Arial"/>
        </w:rPr>
        <w:t xml:space="preserve"> which do not fall within its exclusive competence, the Union shall act only if and in so far as the objectives of the proposed action cannot be sufficiently achieved by</w:t>
      </w:r>
      <w:r>
        <w:rPr>
          <w:rFonts w:ascii="Arial" w:hAnsi="Arial" w:cs="Arial"/>
        </w:rPr>
        <w:t xml:space="preserve"> the Member States…but can be</w:t>
      </w:r>
      <w:r w:rsidR="00D12D6E">
        <w:rPr>
          <w:rFonts w:ascii="Arial" w:hAnsi="Arial" w:cs="Arial"/>
        </w:rPr>
        <w:t xml:space="preserve"> better achieved at Union Level</w:t>
      </w:r>
      <w:r>
        <w:rPr>
          <w:rFonts w:ascii="Arial" w:hAnsi="Arial" w:cs="Arial"/>
        </w:rPr>
        <w:t>.</w:t>
      </w:r>
      <w:r>
        <w:rPr>
          <w:rStyle w:val="FootnoteReference"/>
          <w:rFonts w:ascii="Arial" w:hAnsi="Arial" w:cs="Arial"/>
        </w:rPr>
        <w:footnoteReference w:id="87"/>
      </w:r>
      <w:r>
        <w:rPr>
          <w:rFonts w:ascii="Arial" w:hAnsi="Arial" w:cs="Arial"/>
        </w:rPr>
        <w:t xml:space="preserve"> </w:t>
      </w:r>
    </w:p>
    <w:p w:rsidR="005A1A05" w:rsidRPr="004D2597" w:rsidRDefault="00444AB7" w:rsidP="00136365">
      <w:pPr>
        <w:pStyle w:val="ListParagraph"/>
        <w:tabs>
          <w:tab w:val="num" w:pos="0"/>
        </w:tabs>
        <w:spacing w:before="240" w:after="240" w:line="384" w:lineRule="auto"/>
        <w:ind w:left="0"/>
        <w:contextualSpacing w:val="0"/>
        <w:jc w:val="both"/>
        <w:rPr>
          <w:rFonts w:ascii="Arial" w:hAnsi="Arial" w:cs="Arial"/>
        </w:rPr>
      </w:pPr>
      <w:r>
        <w:rPr>
          <w:rFonts w:ascii="Arial" w:hAnsi="Arial" w:cs="Arial"/>
        </w:rPr>
        <w:t>H</w:t>
      </w:r>
      <w:r w:rsidR="00D12D6E">
        <w:rPr>
          <w:rFonts w:ascii="Arial" w:hAnsi="Arial" w:cs="Arial"/>
        </w:rPr>
        <w:t>owever it is noted that the</w:t>
      </w:r>
      <w:r>
        <w:rPr>
          <w:rFonts w:ascii="Arial" w:hAnsi="Arial" w:cs="Arial"/>
        </w:rPr>
        <w:t xml:space="preserve"> internal market legal basis was used for</w:t>
      </w:r>
      <w:r w:rsidR="002F6FE4">
        <w:rPr>
          <w:rFonts w:ascii="Arial" w:hAnsi="Arial" w:cs="Arial"/>
        </w:rPr>
        <w:t xml:space="preserve"> the</w:t>
      </w:r>
      <w:r>
        <w:rPr>
          <w:rFonts w:ascii="Arial" w:hAnsi="Arial" w:cs="Arial"/>
        </w:rPr>
        <w:t xml:space="preserve"> approval of the SRM Regulation in 2014.</w:t>
      </w:r>
      <w:r>
        <w:rPr>
          <w:rStyle w:val="FootnoteReference"/>
          <w:rFonts w:ascii="Arial" w:hAnsi="Arial" w:cs="Arial"/>
        </w:rPr>
        <w:footnoteReference w:id="88"/>
      </w:r>
      <w:r w:rsidR="00B713D7">
        <w:rPr>
          <w:rFonts w:ascii="Arial" w:hAnsi="Arial" w:cs="Arial"/>
        </w:rPr>
        <w:t xml:space="preserve"> Schuknecht’s argument would appear to be contradicted by Germany’s earlier support of the SRM.</w:t>
      </w:r>
    </w:p>
    <w:p w:rsidR="006F7C8D" w:rsidRDefault="00444AB7" w:rsidP="00136365">
      <w:pPr>
        <w:spacing w:before="240" w:after="240" w:line="384" w:lineRule="auto"/>
        <w:jc w:val="both"/>
        <w:rPr>
          <w:rFonts w:ascii="Arial" w:hAnsi="Arial" w:cs="Arial"/>
        </w:rPr>
      </w:pPr>
      <w:r>
        <w:rPr>
          <w:rFonts w:ascii="Arial" w:hAnsi="Arial" w:cs="Arial"/>
        </w:rPr>
        <w:lastRenderedPageBreak/>
        <w:t>T</w:t>
      </w:r>
      <w:r w:rsidR="00EB6686">
        <w:rPr>
          <w:rFonts w:ascii="Arial" w:hAnsi="Arial" w:cs="Arial"/>
        </w:rPr>
        <w:t xml:space="preserve">here are </w:t>
      </w:r>
      <w:r w:rsidR="00E44CD9">
        <w:rPr>
          <w:rFonts w:ascii="Arial" w:hAnsi="Arial" w:cs="Arial"/>
        </w:rPr>
        <w:t xml:space="preserve">other </w:t>
      </w:r>
      <w:r w:rsidR="00EB6686">
        <w:rPr>
          <w:rFonts w:ascii="Arial" w:hAnsi="Arial" w:cs="Arial"/>
        </w:rPr>
        <w:t>flaws in the argument put forward by Schuknecht. The EDIS will not present the level of moral hazard that Schuknecht suggest</w:t>
      </w:r>
      <w:r w:rsidR="005D7176">
        <w:rPr>
          <w:rFonts w:ascii="Arial" w:hAnsi="Arial" w:cs="Arial"/>
        </w:rPr>
        <w:t>s</w:t>
      </w:r>
      <w:r w:rsidR="00EB6686">
        <w:rPr>
          <w:rFonts w:ascii="Arial" w:hAnsi="Arial" w:cs="Arial"/>
        </w:rPr>
        <w:t xml:space="preserve"> that it will pose. As the EDIS will only guarantee deposits up to a limit of €100,000, it is unlikely that a government would want to trigger a bank failure.</w:t>
      </w:r>
      <w:r w:rsidR="00EB6686">
        <w:rPr>
          <w:rStyle w:val="FootnoteReference"/>
          <w:rFonts w:ascii="Arial" w:hAnsi="Arial" w:cs="Arial"/>
        </w:rPr>
        <w:footnoteReference w:id="89"/>
      </w:r>
      <w:r w:rsidR="00084444">
        <w:rPr>
          <w:rFonts w:ascii="Arial" w:hAnsi="Arial" w:cs="Arial"/>
        </w:rPr>
        <w:t xml:space="preserve"> </w:t>
      </w:r>
      <w:r w:rsidR="004B6E0D">
        <w:rPr>
          <w:rFonts w:ascii="Arial" w:hAnsi="Arial" w:cs="Arial"/>
        </w:rPr>
        <w:t>As conceded by Schuknecht the EDI</w:t>
      </w:r>
      <w:r w:rsidR="006F7C8D">
        <w:rPr>
          <w:rFonts w:ascii="Arial" w:hAnsi="Arial" w:cs="Arial"/>
        </w:rPr>
        <w:t>S</w:t>
      </w:r>
      <w:r w:rsidR="004B6E0D">
        <w:rPr>
          <w:rFonts w:ascii="Arial" w:hAnsi="Arial" w:cs="Arial"/>
        </w:rPr>
        <w:t xml:space="preserve"> would mean that ‘central banks would not have to jump in with emergency liquidity assistance quite as quickly’ which should impose more discipline on bank creditors and policymakers.</w:t>
      </w:r>
      <w:r w:rsidR="004B6E0D">
        <w:rPr>
          <w:rStyle w:val="FootnoteReference"/>
          <w:rFonts w:ascii="Arial" w:hAnsi="Arial" w:cs="Arial"/>
        </w:rPr>
        <w:footnoteReference w:id="90"/>
      </w:r>
      <w:r w:rsidR="003D5FA6">
        <w:rPr>
          <w:rFonts w:ascii="Arial" w:hAnsi="Arial" w:cs="Arial"/>
        </w:rPr>
        <w:t xml:space="preserve"> </w:t>
      </w:r>
    </w:p>
    <w:p w:rsidR="002D548A" w:rsidRDefault="002D548A" w:rsidP="00414242">
      <w:pPr>
        <w:spacing w:before="160" w:after="0" w:line="360" w:lineRule="auto"/>
        <w:jc w:val="both"/>
        <w:rPr>
          <w:rFonts w:ascii="Arial" w:hAnsi="Arial" w:cs="Arial"/>
        </w:rPr>
      </w:pPr>
      <w:r>
        <w:rPr>
          <w:rFonts w:ascii="Arial" w:hAnsi="Arial" w:cs="Arial"/>
        </w:rPr>
        <w:t xml:space="preserve">It is submitted that the proposal in the Five Presidents’ Report to complete the banking union by way of the EDIS is an ambitious </w:t>
      </w:r>
      <w:r w:rsidR="009B6997">
        <w:rPr>
          <w:rFonts w:ascii="Arial" w:hAnsi="Arial" w:cs="Arial"/>
        </w:rPr>
        <w:t xml:space="preserve">goal that should be admired. </w:t>
      </w:r>
      <w:r w:rsidR="007A733E">
        <w:rPr>
          <w:rFonts w:ascii="Arial" w:hAnsi="Arial" w:cs="Arial"/>
        </w:rPr>
        <w:t>As argued by Goyal et al, w</w:t>
      </w:r>
      <w:r w:rsidR="005F7D69">
        <w:rPr>
          <w:rFonts w:ascii="Arial" w:hAnsi="Arial" w:cs="Arial"/>
        </w:rPr>
        <w:t>ithout the EDIS, ‘the banking union would remain an incomplete and risky construct that fails to delink the funding costs of weak sovereigns from that of their banks’.</w:t>
      </w:r>
      <w:r w:rsidR="005F7D69">
        <w:rPr>
          <w:rStyle w:val="FootnoteReference"/>
          <w:rFonts w:ascii="Arial" w:hAnsi="Arial" w:cs="Arial"/>
        </w:rPr>
        <w:footnoteReference w:id="91"/>
      </w:r>
      <w:r w:rsidR="005F7D69">
        <w:rPr>
          <w:rFonts w:ascii="Arial" w:hAnsi="Arial" w:cs="Arial"/>
        </w:rPr>
        <w:t xml:space="preserve"> </w:t>
      </w:r>
      <w:r w:rsidR="009260FC">
        <w:rPr>
          <w:rFonts w:ascii="Arial" w:hAnsi="Arial" w:cs="Arial"/>
        </w:rPr>
        <w:t>The EDIS is a crucial step in the process of de-coupling banks from their sovereign</w:t>
      </w:r>
      <w:r w:rsidR="00C52690">
        <w:rPr>
          <w:rFonts w:ascii="Arial" w:hAnsi="Arial" w:cs="Arial"/>
        </w:rPr>
        <w:t>, ensuring that banks and capital markets are diversified across the monetary union and that the monetary union is more resilient.</w:t>
      </w:r>
      <w:r w:rsidR="00C52690">
        <w:rPr>
          <w:rStyle w:val="FootnoteReference"/>
          <w:rFonts w:ascii="Arial" w:hAnsi="Arial" w:cs="Arial"/>
        </w:rPr>
        <w:footnoteReference w:id="92"/>
      </w:r>
      <w:r w:rsidR="00910D5E">
        <w:rPr>
          <w:rFonts w:ascii="Arial" w:hAnsi="Arial" w:cs="Arial"/>
        </w:rPr>
        <w:t xml:space="preserve"> The approval of the SRM Regulation in 2014 demonstrates that the internal market legal basis is appropriate for the implementation of the EDIS.</w:t>
      </w:r>
    </w:p>
    <w:p w:rsidR="006127EA" w:rsidRDefault="00B713D7" w:rsidP="00910D5E">
      <w:pPr>
        <w:spacing w:before="180" w:after="180" w:line="360" w:lineRule="auto"/>
        <w:jc w:val="both"/>
        <w:rPr>
          <w:rFonts w:ascii="Arial" w:hAnsi="Arial" w:cs="Arial"/>
          <w:b/>
          <w:sz w:val="24"/>
          <w:szCs w:val="24"/>
        </w:rPr>
      </w:pPr>
      <w:r w:rsidRPr="00B713D7">
        <w:rPr>
          <w:rFonts w:ascii="Arial" w:hAnsi="Arial" w:cs="Arial"/>
          <w:b/>
          <w:sz w:val="24"/>
          <w:szCs w:val="24"/>
        </w:rPr>
        <w:t>European Fiscal Board</w:t>
      </w:r>
    </w:p>
    <w:p w:rsidR="00830EFA" w:rsidRPr="00824779" w:rsidRDefault="00830EFA" w:rsidP="00414242">
      <w:pPr>
        <w:spacing w:before="240" w:after="240" w:line="360" w:lineRule="auto"/>
        <w:jc w:val="both"/>
        <w:rPr>
          <w:rFonts w:ascii="Arial" w:hAnsi="Arial" w:cs="Arial"/>
        </w:rPr>
      </w:pPr>
      <w:r w:rsidRPr="00824779">
        <w:rPr>
          <w:rFonts w:ascii="Arial" w:hAnsi="Arial" w:cs="Arial"/>
        </w:rPr>
        <w:t>T</w:t>
      </w:r>
      <w:r w:rsidR="002F212D" w:rsidRPr="00824779">
        <w:rPr>
          <w:rFonts w:ascii="Arial" w:hAnsi="Arial" w:cs="Arial"/>
        </w:rPr>
        <w:t xml:space="preserve">he Five Presidents’ Report </w:t>
      </w:r>
      <w:r w:rsidRPr="00824779">
        <w:rPr>
          <w:rFonts w:ascii="Arial" w:hAnsi="Arial" w:cs="Arial"/>
        </w:rPr>
        <w:t xml:space="preserve">highlighted that </w:t>
      </w:r>
      <w:r w:rsidR="002F212D" w:rsidRPr="00824779">
        <w:rPr>
          <w:rFonts w:ascii="Arial" w:hAnsi="Arial" w:cs="Arial"/>
        </w:rPr>
        <w:t xml:space="preserve">one of the main lessons of the </w:t>
      </w:r>
      <w:r w:rsidRPr="00824779">
        <w:rPr>
          <w:rFonts w:ascii="Arial" w:hAnsi="Arial" w:cs="Arial"/>
        </w:rPr>
        <w:t xml:space="preserve">European sovereign debt </w:t>
      </w:r>
      <w:r w:rsidR="002F212D" w:rsidRPr="00824779">
        <w:rPr>
          <w:rFonts w:ascii="Arial" w:hAnsi="Arial" w:cs="Arial"/>
        </w:rPr>
        <w:t xml:space="preserve">crisis </w:t>
      </w:r>
      <w:r w:rsidRPr="00824779">
        <w:rPr>
          <w:rFonts w:ascii="Arial" w:hAnsi="Arial" w:cs="Arial"/>
        </w:rPr>
        <w:t>was</w:t>
      </w:r>
      <w:r w:rsidR="002F212D" w:rsidRPr="00824779">
        <w:rPr>
          <w:rFonts w:ascii="Arial" w:hAnsi="Arial" w:cs="Arial"/>
        </w:rPr>
        <w:t xml:space="preserve"> that </w:t>
      </w:r>
      <w:r w:rsidRPr="00824779">
        <w:rPr>
          <w:rFonts w:ascii="Arial" w:hAnsi="Arial" w:cs="Arial"/>
        </w:rPr>
        <w:t>‘</w:t>
      </w:r>
      <w:r w:rsidR="002F212D" w:rsidRPr="00824779">
        <w:rPr>
          <w:rFonts w:ascii="Arial" w:hAnsi="Arial" w:cs="Arial"/>
        </w:rPr>
        <w:t>fiscal policies are a matter of vital common interest in a Monetary Union</w:t>
      </w:r>
      <w:r w:rsidRPr="00824779">
        <w:rPr>
          <w:rFonts w:ascii="Arial" w:hAnsi="Arial" w:cs="Arial"/>
        </w:rPr>
        <w:t>’</w:t>
      </w:r>
      <w:r w:rsidR="002F212D" w:rsidRPr="00824779">
        <w:rPr>
          <w:rFonts w:ascii="Arial" w:hAnsi="Arial" w:cs="Arial"/>
        </w:rPr>
        <w:t>.</w:t>
      </w:r>
      <w:r w:rsidRPr="00824779">
        <w:rPr>
          <w:rStyle w:val="FootnoteReference"/>
          <w:rFonts w:ascii="Arial" w:hAnsi="Arial" w:cs="Arial"/>
        </w:rPr>
        <w:footnoteReference w:id="93"/>
      </w:r>
      <w:r w:rsidR="002F212D" w:rsidRPr="00824779">
        <w:rPr>
          <w:rFonts w:ascii="Arial" w:hAnsi="Arial" w:cs="Arial"/>
        </w:rPr>
        <w:t xml:space="preserve"> </w:t>
      </w:r>
      <w:r w:rsidR="00014875">
        <w:rPr>
          <w:rFonts w:ascii="Arial" w:hAnsi="Arial" w:cs="Arial"/>
        </w:rPr>
        <w:t>It is noted that</w:t>
      </w:r>
      <w:r w:rsidR="005F3A52" w:rsidRPr="00824779">
        <w:rPr>
          <w:rFonts w:ascii="Arial" w:hAnsi="Arial" w:cs="Arial"/>
        </w:rPr>
        <w:t xml:space="preserve"> </w:t>
      </w:r>
      <w:r w:rsidR="00E30DC3">
        <w:rPr>
          <w:rFonts w:ascii="Arial" w:hAnsi="Arial" w:cs="Arial"/>
        </w:rPr>
        <w:t>i</w:t>
      </w:r>
      <w:r w:rsidRPr="00824779">
        <w:rPr>
          <w:rFonts w:ascii="Arial" w:hAnsi="Arial" w:cs="Arial"/>
        </w:rPr>
        <w:t xml:space="preserve">n the past </w:t>
      </w:r>
      <w:r w:rsidR="00E805FF">
        <w:rPr>
          <w:rFonts w:ascii="Arial" w:hAnsi="Arial" w:cs="Arial"/>
        </w:rPr>
        <w:t>twenty years, the average ratio</w:t>
      </w:r>
      <w:r w:rsidRPr="00824779">
        <w:rPr>
          <w:rFonts w:ascii="Arial" w:hAnsi="Arial" w:cs="Arial"/>
        </w:rPr>
        <w:t xml:space="preserve"> of public debt to GDP in the </w:t>
      </w:r>
      <w:r w:rsidR="00C74FE4">
        <w:rPr>
          <w:rFonts w:ascii="Arial" w:hAnsi="Arial" w:cs="Arial"/>
        </w:rPr>
        <w:t>Eurozone</w:t>
      </w:r>
      <w:r w:rsidRPr="00824779">
        <w:rPr>
          <w:rFonts w:ascii="Arial" w:hAnsi="Arial" w:cs="Arial"/>
        </w:rPr>
        <w:t xml:space="preserve"> has risen from 70 per cent before the crisis to 90 per cent in 2016.</w:t>
      </w:r>
      <w:r w:rsidR="005E62E7" w:rsidRPr="00824779">
        <w:rPr>
          <w:rStyle w:val="FootnoteReference"/>
          <w:rFonts w:ascii="Arial" w:hAnsi="Arial" w:cs="Arial"/>
        </w:rPr>
        <w:footnoteReference w:id="94"/>
      </w:r>
      <w:r w:rsidR="005F3A52" w:rsidRPr="00824779">
        <w:rPr>
          <w:rFonts w:ascii="Arial" w:hAnsi="Arial" w:cs="Arial"/>
        </w:rPr>
        <w:t xml:space="preserve"> </w:t>
      </w:r>
      <w:r w:rsidR="00014875">
        <w:rPr>
          <w:rFonts w:ascii="Arial" w:hAnsi="Arial" w:cs="Arial"/>
        </w:rPr>
        <w:t xml:space="preserve">Consequently there is a greater likelihood today that a problem in one </w:t>
      </w:r>
      <w:r w:rsidR="00014875" w:rsidRPr="00824779">
        <w:rPr>
          <w:rFonts w:ascii="Arial" w:hAnsi="Arial" w:cs="Arial"/>
        </w:rPr>
        <w:t xml:space="preserve">Member State </w:t>
      </w:r>
      <w:r w:rsidR="00014875">
        <w:rPr>
          <w:rFonts w:ascii="Arial" w:hAnsi="Arial" w:cs="Arial"/>
        </w:rPr>
        <w:t>could</w:t>
      </w:r>
      <w:r w:rsidR="00014875" w:rsidRPr="00824779">
        <w:rPr>
          <w:rFonts w:ascii="Arial" w:hAnsi="Arial" w:cs="Arial"/>
        </w:rPr>
        <w:t xml:space="preserve"> spill over to other nations.</w:t>
      </w:r>
      <w:r w:rsidR="00014875" w:rsidRPr="00824779">
        <w:rPr>
          <w:rStyle w:val="FootnoteReference"/>
          <w:rFonts w:ascii="Arial" w:hAnsi="Arial" w:cs="Arial"/>
        </w:rPr>
        <w:footnoteReference w:id="95"/>
      </w:r>
      <w:r w:rsidR="00014875">
        <w:rPr>
          <w:rFonts w:ascii="Arial" w:hAnsi="Arial" w:cs="Arial"/>
        </w:rPr>
        <w:t xml:space="preserve"> </w:t>
      </w:r>
      <w:r w:rsidR="00E805FF">
        <w:rPr>
          <w:rFonts w:ascii="Arial" w:hAnsi="Arial" w:cs="Arial"/>
        </w:rPr>
        <w:t>If the</w:t>
      </w:r>
      <w:r w:rsidR="005F3A52" w:rsidRPr="00824779">
        <w:rPr>
          <w:rFonts w:ascii="Arial" w:hAnsi="Arial" w:cs="Arial"/>
        </w:rPr>
        <w:t xml:space="preserve"> overall direction of fiscal policy </w:t>
      </w:r>
      <w:r w:rsidR="00014875">
        <w:rPr>
          <w:rFonts w:ascii="Arial" w:hAnsi="Arial" w:cs="Arial"/>
        </w:rPr>
        <w:t xml:space="preserve">for the entire </w:t>
      </w:r>
      <w:r w:rsidR="00C74FE4">
        <w:rPr>
          <w:rFonts w:ascii="Arial" w:hAnsi="Arial" w:cs="Arial"/>
        </w:rPr>
        <w:t>Eurozone</w:t>
      </w:r>
      <w:r w:rsidR="00E805FF">
        <w:rPr>
          <w:rFonts w:ascii="Arial" w:hAnsi="Arial" w:cs="Arial"/>
        </w:rPr>
        <w:t xml:space="preserve"> is not suitable, Member States may still suffer in spite of their own responsible fiscal policies</w:t>
      </w:r>
      <w:r w:rsidR="005F3A52" w:rsidRPr="00824779">
        <w:rPr>
          <w:rFonts w:ascii="Arial" w:hAnsi="Arial" w:cs="Arial"/>
        </w:rPr>
        <w:t>.</w:t>
      </w:r>
      <w:r w:rsidR="005F3A52" w:rsidRPr="00824779">
        <w:rPr>
          <w:rStyle w:val="FootnoteReference"/>
          <w:rFonts w:ascii="Arial" w:hAnsi="Arial" w:cs="Arial"/>
        </w:rPr>
        <w:footnoteReference w:id="96"/>
      </w:r>
    </w:p>
    <w:p w:rsidR="00EB2D3F" w:rsidRPr="001509BB" w:rsidRDefault="00EB2D3F" w:rsidP="00910D5E">
      <w:pPr>
        <w:spacing w:before="240" w:after="120" w:line="360" w:lineRule="auto"/>
        <w:jc w:val="both"/>
        <w:rPr>
          <w:rFonts w:ascii="Arial" w:hAnsi="Arial" w:cs="Arial"/>
        </w:rPr>
      </w:pPr>
      <w:r>
        <w:rPr>
          <w:rFonts w:ascii="Arial" w:hAnsi="Arial" w:cs="Arial"/>
        </w:rPr>
        <w:t xml:space="preserve">Articles 2(3), 3, 4 and 5 of the </w:t>
      </w:r>
      <w:r w:rsidRPr="00EB2D3F">
        <w:rPr>
          <w:rFonts w:ascii="Arial" w:hAnsi="Arial" w:cs="Arial"/>
          <w:i/>
        </w:rPr>
        <w:t>TFEU</w:t>
      </w:r>
      <w:r>
        <w:rPr>
          <w:rFonts w:ascii="Arial" w:hAnsi="Arial" w:cs="Arial"/>
        </w:rPr>
        <w:t xml:space="preserve"> dictate that Member States are responsible for the formulation and execution of economic and fiscal policies. </w:t>
      </w:r>
      <w:r w:rsidR="00E44CD9">
        <w:rPr>
          <w:rFonts w:ascii="Arial" w:hAnsi="Arial" w:cs="Arial"/>
        </w:rPr>
        <w:t>Additionally</w:t>
      </w:r>
      <w:r w:rsidR="001509BB">
        <w:rPr>
          <w:rFonts w:ascii="Arial" w:hAnsi="Arial" w:cs="Arial"/>
        </w:rPr>
        <w:t xml:space="preserve">, Articles 119, 120 and 121 of the </w:t>
      </w:r>
      <w:r w:rsidR="001509BB">
        <w:rPr>
          <w:rFonts w:ascii="Arial" w:hAnsi="Arial" w:cs="Arial"/>
          <w:i/>
        </w:rPr>
        <w:t xml:space="preserve">TFEU </w:t>
      </w:r>
      <w:r w:rsidR="001509BB">
        <w:rPr>
          <w:rFonts w:ascii="Arial" w:hAnsi="Arial" w:cs="Arial"/>
        </w:rPr>
        <w:t xml:space="preserve">provide a mechanism for the positive integration of the various Member State fiscal policies. Under Article 121 the performance of Member States is monitored by the Commission, which then reports </w:t>
      </w:r>
      <w:r w:rsidR="001509BB">
        <w:rPr>
          <w:rFonts w:ascii="Arial" w:hAnsi="Arial" w:cs="Arial"/>
        </w:rPr>
        <w:lastRenderedPageBreak/>
        <w:t xml:space="preserve">to the Council. Article 126 of the </w:t>
      </w:r>
      <w:r w:rsidR="001509BB">
        <w:rPr>
          <w:rFonts w:ascii="Arial" w:hAnsi="Arial" w:cs="Arial"/>
          <w:i/>
        </w:rPr>
        <w:t>TFEU</w:t>
      </w:r>
      <w:r w:rsidR="001509BB">
        <w:rPr>
          <w:rFonts w:ascii="Arial" w:hAnsi="Arial" w:cs="Arial"/>
        </w:rPr>
        <w:t xml:space="preserve"> dictate the sanctions that apply when a Member State violates the rules relating to sustainable public finances.</w:t>
      </w:r>
    </w:p>
    <w:p w:rsidR="005B5347" w:rsidRDefault="005B5347" w:rsidP="00910D5E">
      <w:pPr>
        <w:spacing w:before="240" w:after="120" w:line="360" w:lineRule="auto"/>
        <w:jc w:val="both"/>
        <w:rPr>
          <w:rFonts w:ascii="Arial" w:hAnsi="Arial" w:cs="Arial"/>
        </w:rPr>
      </w:pPr>
      <w:r>
        <w:rPr>
          <w:rFonts w:ascii="Arial" w:hAnsi="Arial" w:cs="Arial"/>
        </w:rPr>
        <w:t>The two main objectives of the European</w:t>
      </w:r>
      <w:r w:rsidR="00E805FF">
        <w:rPr>
          <w:rFonts w:ascii="Arial" w:hAnsi="Arial" w:cs="Arial"/>
        </w:rPr>
        <w:t xml:space="preserve"> fiscal framework are</w:t>
      </w:r>
      <w:r>
        <w:rPr>
          <w:rFonts w:ascii="Arial" w:hAnsi="Arial" w:cs="Arial"/>
        </w:rPr>
        <w:t>:</w:t>
      </w:r>
    </w:p>
    <w:p w:rsidR="005B5347" w:rsidRDefault="00E805FF" w:rsidP="00910D5E">
      <w:pPr>
        <w:pStyle w:val="ListParagraph"/>
        <w:numPr>
          <w:ilvl w:val="0"/>
          <w:numId w:val="33"/>
        </w:numPr>
        <w:spacing w:before="120" w:after="240" w:line="360" w:lineRule="auto"/>
        <w:ind w:left="714" w:hanging="357"/>
        <w:jc w:val="both"/>
        <w:rPr>
          <w:rFonts w:ascii="Arial" w:hAnsi="Arial" w:cs="Arial"/>
        </w:rPr>
      </w:pPr>
      <w:r>
        <w:rPr>
          <w:rFonts w:ascii="Arial" w:hAnsi="Arial" w:cs="Arial"/>
        </w:rPr>
        <w:t xml:space="preserve">to </w:t>
      </w:r>
      <w:r w:rsidR="005B5347">
        <w:rPr>
          <w:rFonts w:ascii="Arial" w:hAnsi="Arial" w:cs="Arial"/>
        </w:rPr>
        <w:t xml:space="preserve">discourage the deficit bias of </w:t>
      </w:r>
      <w:r>
        <w:rPr>
          <w:rFonts w:ascii="Arial" w:hAnsi="Arial" w:cs="Arial"/>
        </w:rPr>
        <w:t>governments</w:t>
      </w:r>
      <w:r w:rsidR="005B5347">
        <w:rPr>
          <w:rFonts w:ascii="Arial" w:hAnsi="Arial" w:cs="Arial"/>
        </w:rPr>
        <w:t xml:space="preserve"> </w:t>
      </w:r>
      <w:r>
        <w:rPr>
          <w:rFonts w:ascii="Arial" w:hAnsi="Arial" w:cs="Arial"/>
        </w:rPr>
        <w:t>such that</w:t>
      </w:r>
      <w:r w:rsidR="005B5347">
        <w:rPr>
          <w:rFonts w:ascii="Arial" w:hAnsi="Arial" w:cs="Arial"/>
        </w:rPr>
        <w:t xml:space="preserve"> the long-ter</w:t>
      </w:r>
      <w:r>
        <w:rPr>
          <w:rFonts w:ascii="Arial" w:hAnsi="Arial" w:cs="Arial"/>
        </w:rPr>
        <w:t>m sustainability of public debt is ensured</w:t>
      </w:r>
      <w:r w:rsidR="005B5347">
        <w:rPr>
          <w:rFonts w:ascii="Arial" w:hAnsi="Arial" w:cs="Arial"/>
        </w:rPr>
        <w:t>; and</w:t>
      </w:r>
    </w:p>
    <w:p w:rsidR="005B5347" w:rsidRPr="005B5347" w:rsidRDefault="00277B7C" w:rsidP="00910D5E">
      <w:pPr>
        <w:pStyle w:val="ListParagraph"/>
        <w:numPr>
          <w:ilvl w:val="0"/>
          <w:numId w:val="33"/>
        </w:numPr>
        <w:spacing w:before="240" w:after="120" w:line="360" w:lineRule="auto"/>
        <w:ind w:left="714" w:hanging="357"/>
        <w:jc w:val="both"/>
        <w:rPr>
          <w:rFonts w:ascii="Arial" w:hAnsi="Arial" w:cs="Arial"/>
        </w:rPr>
      </w:pPr>
      <w:r>
        <w:rPr>
          <w:rFonts w:ascii="Arial" w:hAnsi="Arial" w:cs="Arial"/>
        </w:rPr>
        <w:t>to enable counter-</w:t>
      </w:r>
      <w:r w:rsidR="00E805FF">
        <w:rPr>
          <w:rFonts w:ascii="Arial" w:hAnsi="Arial" w:cs="Arial"/>
        </w:rPr>
        <w:t>cyclical fiscal policy</w:t>
      </w:r>
      <w:r w:rsidR="005B5347">
        <w:rPr>
          <w:rFonts w:ascii="Arial" w:hAnsi="Arial" w:cs="Arial"/>
        </w:rPr>
        <w:t>.</w:t>
      </w:r>
      <w:r w:rsidR="005B5347">
        <w:rPr>
          <w:rStyle w:val="FootnoteReference"/>
          <w:rFonts w:ascii="Arial" w:hAnsi="Arial" w:cs="Arial"/>
        </w:rPr>
        <w:footnoteReference w:id="97"/>
      </w:r>
    </w:p>
    <w:p w:rsidR="005B5347" w:rsidRDefault="00174DAE" w:rsidP="008C2B32">
      <w:pPr>
        <w:spacing w:before="240" w:after="240" w:line="384" w:lineRule="auto"/>
        <w:jc w:val="both"/>
        <w:rPr>
          <w:rFonts w:ascii="Arial" w:hAnsi="Arial" w:cs="Arial"/>
        </w:rPr>
      </w:pPr>
      <w:r>
        <w:rPr>
          <w:rFonts w:ascii="Arial" w:hAnsi="Arial" w:cs="Arial"/>
        </w:rPr>
        <w:t>With regards to the second objective, researchers</w:t>
      </w:r>
      <w:r w:rsidR="00531A8F">
        <w:rPr>
          <w:rFonts w:ascii="Arial" w:hAnsi="Arial" w:cs="Arial"/>
        </w:rPr>
        <w:t xml:space="preserve"> including Barbiero and Darvas,</w:t>
      </w:r>
      <w:r w:rsidR="00531A8F">
        <w:rPr>
          <w:rStyle w:val="FootnoteReference"/>
          <w:rFonts w:ascii="Arial" w:hAnsi="Arial" w:cs="Arial"/>
        </w:rPr>
        <w:footnoteReference w:id="98"/>
      </w:r>
      <w:r>
        <w:rPr>
          <w:rFonts w:ascii="Arial" w:hAnsi="Arial" w:cs="Arial"/>
        </w:rPr>
        <w:t xml:space="preserve"> have concluded that the fiscal stance taken since 2012 has been too restrictive given the economic situation in the </w:t>
      </w:r>
      <w:r w:rsidR="00C74FE4">
        <w:rPr>
          <w:rFonts w:ascii="Arial" w:hAnsi="Arial" w:cs="Arial"/>
        </w:rPr>
        <w:t>E</w:t>
      </w:r>
      <w:r>
        <w:rPr>
          <w:rFonts w:ascii="Arial" w:hAnsi="Arial" w:cs="Arial"/>
        </w:rPr>
        <w:t>urozone.</w:t>
      </w:r>
      <w:r>
        <w:rPr>
          <w:rStyle w:val="FootnoteReference"/>
          <w:rFonts w:ascii="Arial" w:hAnsi="Arial" w:cs="Arial"/>
        </w:rPr>
        <w:footnoteReference w:id="99"/>
      </w:r>
      <w:r w:rsidR="00E50EE8">
        <w:rPr>
          <w:rFonts w:ascii="Arial" w:hAnsi="Arial" w:cs="Arial"/>
        </w:rPr>
        <w:t xml:space="preserve"> In a recession, undue fiscal consolidation</w:t>
      </w:r>
      <w:r w:rsidR="000D5B97">
        <w:rPr>
          <w:rFonts w:ascii="Arial" w:hAnsi="Arial" w:cs="Arial"/>
        </w:rPr>
        <w:t xml:space="preserve">, through such means as austerity measures, </w:t>
      </w:r>
      <w:r w:rsidR="00E50EE8">
        <w:rPr>
          <w:rFonts w:ascii="Arial" w:hAnsi="Arial" w:cs="Arial"/>
        </w:rPr>
        <w:t xml:space="preserve">can prolong economic </w:t>
      </w:r>
      <w:r w:rsidR="000D5B97">
        <w:rPr>
          <w:rFonts w:ascii="Arial" w:hAnsi="Arial" w:cs="Arial"/>
        </w:rPr>
        <w:t>weaknesses, keep the debt ratio</w:t>
      </w:r>
      <w:r w:rsidR="00E50EE8">
        <w:rPr>
          <w:rFonts w:ascii="Arial" w:hAnsi="Arial" w:cs="Arial"/>
        </w:rPr>
        <w:t xml:space="preserve"> high and trigger further fiscal consolidation.</w:t>
      </w:r>
      <w:r w:rsidR="0059707D">
        <w:rPr>
          <w:rStyle w:val="FootnoteReference"/>
          <w:rFonts w:ascii="Arial" w:hAnsi="Arial" w:cs="Arial"/>
        </w:rPr>
        <w:footnoteReference w:id="100"/>
      </w:r>
      <w:r w:rsidR="00D620B4">
        <w:rPr>
          <w:rFonts w:ascii="Arial" w:hAnsi="Arial" w:cs="Arial"/>
        </w:rPr>
        <w:t xml:space="preserve"> </w:t>
      </w:r>
    </w:p>
    <w:p w:rsidR="008C6D86" w:rsidRDefault="0059707D" w:rsidP="008C2B32">
      <w:pPr>
        <w:spacing w:before="240" w:after="240" w:line="384" w:lineRule="auto"/>
        <w:jc w:val="both"/>
        <w:rPr>
          <w:rFonts w:ascii="Arial" w:hAnsi="Arial" w:cs="Arial"/>
        </w:rPr>
      </w:pPr>
      <w:r>
        <w:rPr>
          <w:rFonts w:ascii="Arial" w:hAnsi="Arial" w:cs="Arial"/>
        </w:rPr>
        <w:t xml:space="preserve">It is against this backdrop that </w:t>
      </w:r>
      <w:r w:rsidR="00373797">
        <w:rPr>
          <w:rFonts w:ascii="Arial" w:hAnsi="Arial" w:cs="Arial"/>
        </w:rPr>
        <w:t>i</w:t>
      </w:r>
      <w:r w:rsidR="005F3A52" w:rsidRPr="00824779">
        <w:rPr>
          <w:rFonts w:ascii="Arial" w:hAnsi="Arial" w:cs="Arial"/>
        </w:rPr>
        <w:t>n line with the recommendations contained in the Five Presidents’ Report the</w:t>
      </w:r>
      <w:r w:rsidR="00373797">
        <w:rPr>
          <w:rFonts w:ascii="Arial" w:hAnsi="Arial" w:cs="Arial"/>
        </w:rPr>
        <w:t xml:space="preserve"> EFB will be put into operation by</w:t>
      </w:r>
      <w:r w:rsidR="007A733E">
        <w:rPr>
          <w:rFonts w:ascii="Arial" w:hAnsi="Arial" w:cs="Arial"/>
        </w:rPr>
        <w:t xml:space="preserve"> the</w:t>
      </w:r>
      <w:r w:rsidR="005F3A52" w:rsidRPr="00824779">
        <w:rPr>
          <w:rFonts w:ascii="Arial" w:hAnsi="Arial" w:cs="Arial"/>
        </w:rPr>
        <w:t xml:space="preserve"> European Commission as an ‘advisory body on the overall direction of fis</w:t>
      </w:r>
      <w:r w:rsidR="00E375E9" w:rsidRPr="00824779">
        <w:rPr>
          <w:rFonts w:ascii="Arial" w:hAnsi="Arial" w:cs="Arial"/>
        </w:rPr>
        <w:t>cal policy</w:t>
      </w:r>
      <w:r w:rsidR="00C74FE4">
        <w:rPr>
          <w:rFonts w:ascii="Arial" w:hAnsi="Arial" w:cs="Arial"/>
        </w:rPr>
        <w:t>’</w:t>
      </w:r>
      <w:r w:rsidR="00E375E9" w:rsidRPr="00824779">
        <w:rPr>
          <w:rFonts w:ascii="Arial" w:hAnsi="Arial" w:cs="Arial"/>
        </w:rPr>
        <w:t xml:space="preserve"> in the </w:t>
      </w:r>
      <w:r w:rsidR="00C74FE4">
        <w:rPr>
          <w:rFonts w:ascii="Arial" w:hAnsi="Arial" w:cs="Arial"/>
        </w:rPr>
        <w:t>Eurozone</w:t>
      </w:r>
      <w:r w:rsidR="00373797">
        <w:rPr>
          <w:rFonts w:ascii="Arial" w:hAnsi="Arial" w:cs="Arial"/>
        </w:rPr>
        <w:t>.</w:t>
      </w:r>
      <w:r w:rsidR="00373797">
        <w:rPr>
          <w:rStyle w:val="FootnoteReference"/>
          <w:rFonts w:ascii="Arial" w:hAnsi="Arial" w:cs="Arial"/>
        </w:rPr>
        <w:footnoteReference w:id="101"/>
      </w:r>
      <w:r w:rsidR="00E375E9" w:rsidRPr="00824779">
        <w:rPr>
          <w:rFonts w:ascii="Arial" w:hAnsi="Arial" w:cs="Arial"/>
        </w:rPr>
        <w:t xml:space="preserve"> </w:t>
      </w:r>
      <w:r w:rsidR="00373797">
        <w:rPr>
          <w:rFonts w:ascii="Arial" w:hAnsi="Arial" w:cs="Arial"/>
        </w:rPr>
        <w:t>The Commission has stated that the EFB is to be composed of ‘five renowned international experts with credible competence and experience in macroeconomics and practical budgetary policy-making’.</w:t>
      </w:r>
      <w:r w:rsidR="00373797">
        <w:rPr>
          <w:rStyle w:val="FootnoteReference"/>
          <w:rFonts w:ascii="Arial" w:hAnsi="Arial" w:cs="Arial"/>
        </w:rPr>
        <w:footnoteReference w:id="102"/>
      </w:r>
      <w:r w:rsidR="00373797">
        <w:rPr>
          <w:rFonts w:ascii="Arial" w:hAnsi="Arial" w:cs="Arial"/>
        </w:rPr>
        <w:t xml:space="preserve"> The EFB will act</w:t>
      </w:r>
      <w:r w:rsidR="00E375E9" w:rsidRPr="00824779">
        <w:rPr>
          <w:rFonts w:ascii="Arial" w:hAnsi="Arial" w:cs="Arial"/>
        </w:rPr>
        <w:t xml:space="preserve"> as an ‘independent evaluator of how the EU’s fiscal framework is being implemented’</w:t>
      </w:r>
      <w:r w:rsidR="00373797">
        <w:rPr>
          <w:rFonts w:ascii="Arial" w:hAnsi="Arial" w:cs="Arial"/>
        </w:rPr>
        <w:t xml:space="preserve"> and will</w:t>
      </w:r>
      <w:r w:rsidR="00025ED1" w:rsidRPr="00824779">
        <w:rPr>
          <w:rFonts w:ascii="Arial" w:hAnsi="Arial" w:cs="Arial"/>
        </w:rPr>
        <w:t xml:space="preserve"> ‘feed’ into the Commission’s work of monitoring </w:t>
      </w:r>
      <w:r w:rsidR="000D5B97">
        <w:rPr>
          <w:rFonts w:ascii="Arial" w:hAnsi="Arial" w:cs="Arial"/>
        </w:rPr>
        <w:t>the enforcement of the</w:t>
      </w:r>
      <w:r w:rsidR="00025ED1" w:rsidRPr="00824779">
        <w:rPr>
          <w:rFonts w:ascii="Arial" w:hAnsi="Arial" w:cs="Arial"/>
        </w:rPr>
        <w:t xml:space="preserve"> Stability and Growth Pact (SGP).</w:t>
      </w:r>
      <w:r w:rsidR="00025ED1" w:rsidRPr="00824779">
        <w:rPr>
          <w:rStyle w:val="FootnoteReference"/>
          <w:rFonts w:ascii="Arial" w:hAnsi="Arial" w:cs="Arial"/>
        </w:rPr>
        <w:footnoteReference w:id="103"/>
      </w:r>
      <w:r w:rsidR="00025ED1" w:rsidRPr="00824779">
        <w:rPr>
          <w:rFonts w:ascii="Arial" w:hAnsi="Arial" w:cs="Arial"/>
        </w:rPr>
        <w:t xml:space="preserve"> It will not be the role of the EFB to replace national fiscal councils</w:t>
      </w:r>
      <w:r w:rsidR="008C6D86" w:rsidRPr="00824779">
        <w:rPr>
          <w:rFonts w:ascii="Arial" w:hAnsi="Arial" w:cs="Arial"/>
        </w:rPr>
        <w:t>,</w:t>
      </w:r>
      <w:r w:rsidR="00025ED1" w:rsidRPr="00824779">
        <w:rPr>
          <w:rFonts w:ascii="Arial" w:hAnsi="Arial" w:cs="Arial"/>
        </w:rPr>
        <w:t xml:space="preserve"> </w:t>
      </w:r>
      <w:r w:rsidR="008C6D86" w:rsidRPr="00824779">
        <w:rPr>
          <w:rFonts w:ascii="Arial" w:hAnsi="Arial" w:cs="Arial"/>
        </w:rPr>
        <w:t>which are a requirement of the two-pack legislation</w:t>
      </w:r>
      <w:r w:rsidR="008C6D86">
        <w:rPr>
          <w:rFonts w:ascii="Arial" w:hAnsi="Arial" w:cs="Arial"/>
        </w:rPr>
        <w:t xml:space="preserve">, </w:t>
      </w:r>
      <w:r w:rsidR="00025ED1">
        <w:rPr>
          <w:rFonts w:ascii="Arial" w:hAnsi="Arial" w:cs="Arial"/>
        </w:rPr>
        <w:t>or to duplicate the Commission’s work on applying the SGP.</w:t>
      </w:r>
      <w:r w:rsidR="00025ED1">
        <w:rPr>
          <w:rStyle w:val="FootnoteReference"/>
          <w:rFonts w:ascii="Arial" w:hAnsi="Arial" w:cs="Arial"/>
        </w:rPr>
        <w:footnoteReference w:id="104"/>
      </w:r>
    </w:p>
    <w:p w:rsidR="00E24CFC" w:rsidRDefault="00E24CFC">
      <w:pPr>
        <w:rPr>
          <w:rFonts w:ascii="Arial" w:hAnsi="Arial" w:cs="Arial"/>
        </w:rPr>
      </w:pPr>
      <w:r>
        <w:rPr>
          <w:rFonts w:ascii="Arial" w:hAnsi="Arial" w:cs="Arial"/>
        </w:rPr>
        <w:br w:type="page"/>
      </w:r>
    </w:p>
    <w:p w:rsidR="001A622C" w:rsidRDefault="00373797" w:rsidP="008C2B32">
      <w:pPr>
        <w:tabs>
          <w:tab w:val="num" w:pos="851"/>
        </w:tabs>
        <w:spacing w:before="240" w:after="240" w:line="384" w:lineRule="auto"/>
        <w:jc w:val="both"/>
        <w:rPr>
          <w:rFonts w:ascii="Arial" w:hAnsi="Arial" w:cs="Arial"/>
        </w:rPr>
      </w:pPr>
      <w:r>
        <w:rPr>
          <w:rFonts w:ascii="Arial" w:hAnsi="Arial" w:cs="Arial"/>
        </w:rPr>
        <w:lastRenderedPageBreak/>
        <w:t>T</w:t>
      </w:r>
      <w:r w:rsidR="000E410F" w:rsidRPr="000E410F">
        <w:rPr>
          <w:rFonts w:ascii="Arial" w:hAnsi="Arial" w:cs="Arial"/>
        </w:rPr>
        <w:t xml:space="preserve">he European Commission’s proposal for the creation of </w:t>
      </w:r>
      <w:r>
        <w:rPr>
          <w:rFonts w:ascii="Arial" w:hAnsi="Arial" w:cs="Arial"/>
        </w:rPr>
        <w:t xml:space="preserve">the </w:t>
      </w:r>
      <w:r w:rsidR="000E410F" w:rsidRPr="000E410F">
        <w:rPr>
          <w:rFonts w:ascii="Arial" w:hAnsi="Arial" w:cs="Arial"/>
        </w:rPr>
        <w:t>EFB has proven to be controversial. The Eurogroup President Jeroen Dijsselbloem and the German finance minister, Wolfgang Schauble, have criticised the Commission’s plans for the EFB.</w:t>
      </w:r>
      <w:r w:rsidR="000E410F" w:rsidRPr="000E410F">
        <w:rPr>
          <w:rFonts w:ascii="Arial" w:hAnsi="Arial" w:cs="Arial"/>
          <w:vertAlign w:val="superscript"/>
        </w:rPr>
        <w:footnoteReference w:id="105"/>
      </w:r>
      <w:r w:rsidR="000E410F" w:rsidRPr="000E410F">
        <w:rPr>
          <w:rFonts w:ascii="Arial" w:hAnsi="Arial" w:cs="Arial"/>
        </w:rPr>
        <w:t xml:space="preserve"> Dijsselbloem has argued that the EFB’s set up does not have an adequate level of independence.</w:t>
      </w:r>
      <w:r w:rsidR="000E410F" w:rsidRPr="000E410F">
        <w:rPr>
          <w:rFonts w:ascii="Arial" w:hAnsi="Arial" w:cs="Arial"/>
          <w:vertAlign w:val="superscript"/>
        </w:rPr>
        <w:footnoteReference w:id="106"/>
      </w:r>
      <w:r w:rsidR="000E410F" w:rsidRPr="000E410F">
        <w:rPr>
          <w:rFonts w:ascii="Arial" w:hAnsi="Arial" w:cs="Arial"/>
        </w:rPr>
        <w:t xml:space="preserve"> Schauble has stated that the EFB should not be an advisory body, but should be the ultimate decision-maker on national budgets.</w:t>
      </w:r>
      <w:r w:rsidR="000E410F" w:rsidRPr="000E410F">
        <w:rPr>
          <w:rFonts w:ascii="Arial" w:hAnsi="Arial" w:cs="Arial"/>
          <w:vertAlign w:val="superscript"/>
        </w:rPr>
        <w:footnoteReference w:id="107"/>
      </w:r>
      <w:r w:rsidR="000E410F" w:rsidRPr="000E410F">
        <w:rPr>
          <w:rFonts w:ascii="Arial" w:hAnsi="Arial" w:cs="Arial"/>
        </w:rPr>
        <w:t xml:space="preserve"> </w:t>
      </w:r>
      <w:r w:rsidR="00F14529">
        <w:rPr>
          <w:rFonts w:ascii="Arial" w:hAnsi="Arial" w:cs="Arial"/>
        </w:rPr>
        <w:t xml:space="preserve"> </w:t>
      </w:r>
      <w:r w:rsidR="004D08FA">
        <w:rPr>
          <w:rFonts w:ascii="Arial" w:hAnsi="Arial" w:cs="Arial"/>
        </w:rPr>
        <w:t xml:space="preserve">It is submitted that the views of </w:t>
      </w:r>
      <w:r w:rsidR="004D08FA" w:rsidRPr="000E410F">
        <w:rPr>
          <w:rFonts w:ascii="Arial" w:hAnsi="Arial" w:cs="Arial"/>
        </w:rPr>
        <w:t>Dijsselbloem</w:t>
      </w:r>
      <w:r w:rsidR="004D08FA" w:rsidRPr="005F3A52">
        <w:rPr>
          <w:rFonts w:ascii="Arial" w:hAnsi="Arial" w:cs="Arial"/>
        </w:rPr>
        <w:t xml:space="preserve"> </w:t>
      </w:r>
      <w:r w:rsidR="004D08FA">
        <w:rPr>
          <w:rFonts w:ascii="Arial" w:hAnsi="Arial" w:cs="Arial"/>
        </w:rPr>
        <w:t xml:space="preserve">and </w:t>
      </w:r>
      <w:r w:rsidR="004D08FA" w:rsidRPr="000E410F">
        <w:rPr>
          <w:rFonts w:ascii="Arial" w:hAnsi="Arial" w:cs="Arial"/>
        </w:rPr>
        <w:t xml:space="preserve">Schauble </w:t>
      </w:r>
      <w:r w:rsidR="004D08FA">
        <w:rPr>
          <w:rFonts w:ascii="Arial" w:hAnsi="Arial" w:cs="Arial"/>
        </w:rPr>
        <w:t>are correct and that the EFB</w:t>
      </w:r>
      <w:r w:rsidR="009D49EA">
        <w:rPr>
          <w:rFonts w:ascii="Arial" w:hAnsi="Arial" w:cs="Arial"/>
        </w:rPr>
        <w:t xml:space="preserve"> will</w:t>
      </w:r>
      <w:r w:rsidR="00F14529">
        <w:rPr>
          <w:rFonts w:ascii="Arial" w:hAnsi="Arial" w:cs="Arial"/>
        </w:rPr>
        <w:t xml:space="preserve"> not have enough power or independence to make significant progress </w:t>
      </w:r>
      <w:r w:rsidR="009D49EA">
        <w:rPr>
          <w:rFonts w:ascii="Arial" w:hAnsi="Arial" w:cs="Arial"/>
        </w:rPr>
        <w:t xml:space="preserve">towards </w:t>
      </w:r>
      <w:r w:rsidR="002E38D5">
        <w:rPr>
          <w:rFonts w:ascii="Arial" w:hAnsi="Arial" w:cs="Arial"/>
        </w:rPr>
        <w:t>achieving both objectives of the European fiscal framework</w:t>
      </w:r>
      <w:r w:rsidR="004D08FA">
        <w:rPr>
          <w:rFonts w:ascii="Arial" w:hAnsi="Arial" w:cs="Arial"/>
        </w:rPr>
        <w:t xml:space="preserve">. </w:t>
      </w:r>
    </w:p>
    <w:p w:rsidR="00065EBF" w:rsidRDefault="00065EBF" w:rsidP="00065EBF">
      <w:pPr>
        <w:tabs>
          <w:tab w:val="num" w:pos="851"/>
        </w:tabs>
        <w:spacing w:before="240" w:after="0" w:line="360" w:lineRule="auto"/>
        <w:jc w:val="both"/>
        <w:rPr>
          <w:rFonts w:ascii="Arial" w:hAnsi="Arial" w:cs="Arial"/>
        </w:rPr>
      </w:pPr>
      <w:r>
        <w:rPr>
          <w:rFonts w:ascii="Arial" w:hAnsi="Arial" w:cs="Arial"/>
        </w:rPr>
        <w:t xml:space="preserve">It is </w:t>
      </w:r>
      <w:r w:rsidR="007A733E">
        <w:rPr>
          <w:rFonts w:ascii="Arial" w:hAnsi="Arial" w:cs="Arial"/>
        </w:rPr>
        <w:t>put forward</w:t>
      </w:r>
      <w:r>
        <w:rPr>
          <w:rFonts w:ascii="Arial" w:hAnsi="Arial" w:cs="Arial"/>
        </w:rPr>
        <w:t xml:space="preserve"> that the EFB is likely to be viewed in the same light as the European Comission, which may diminish the regard that is given to the EFB’s recommendations.</w:t>
      </w:r>
      <w:r w:rsidRPr="00065EBF">
        <w:rPr>
          <w:rFonts w:ascii="Arial" w:hAnsi="Arial" w:cs="Arial"/>
        </w:rPr>
        <w:t xml:space="preserve"> </w:t>
      </w:r>
      <w:r w:rsidR="009919DD">
        <w:rPr>
          <w:rFonts w:ascii="Arial" w:hAnsi="Arial" w:cs="Arial"/>
        </w:rPr>
        <w:t>As argued by Mody, the political process undermines the proper application of any fiscal policy.</w:t>
      </w:r>
      <w:r w:rsidR="009919DD">
        <w:rPr>
          <w:rStyle w:val="FootnoteReference"/>
          <w:rFonts w:ascii="Arial" w:hAnsi="Arial" w:cs="Arial"/>
        </w:rPr>
        <w:footnoteReference w:id="108"/>
      </w:r>
      <w:r w:rsidR="009919DD">
        <w:rPr>
          <w:rFonts w:ascii="Arial" w:hAnsi="Arial" w:cs="Arial"/>
        </w:rPr>
        <w:t xml:space="preserve"> </w:t>
      </w:r>
      <w:r>
        <w:rPr>
          <w:rFonts w:ascii="Arial" w:hAnsi="Arial" w:cs="Arial"/>
        </w:rPr>
        <w:t>Currently there is a perception amongst some stakeholders that the European Commission does not always provide unbiased recommendations to the Council.</w:t>
      </w:r>
      <w:r>
        <w:rPr>
          <w:rStyle w:val="FootnoteReference"/>
          <w:rFonts w:ascii="Arial" w:hAnsi="Arial" w:cs="Arial"/>
        </w:rPr>
        <w:footnoteReference w:id="109"/>
      </w:r>
      <w:r>
        <w:rPr>
          <w:rFonts w:ascii="Arial" w:hAnsi="Arial" w:cs="Arial"/>
        </w:rPr>
        <w:t xml:space="preserve"> </w:t>
      </w:r>
      <w:r w:rsidR="009919DD">
        <w:rPr>
          <w:rFonts w:ascii="Arial" w:hAnsi="Arial" w:cs="Arial"/>
        </w:rPr>
        <w:t>Although</w:t>
      </w:r>
      <w:r>
        <w:rPr>
          <w:rFonts w:ascii="Arial" w:hAnsi="Arial" w:cs="Arial"/>
        </w:rPr>
        <w:t xml:space="preserve"> Article 4 of the Commission’s decision to establish the EFB states that the ‘EFB shall act independently’</w:t>
      </w:r>
      <w:r w:rsidR="009919DD">
        <w:rPr>
          <w:rFonts w:ascii="Arial" w:hAnsi="Arial" w:cs="Arial"/>
        </w:rPr>
        <w:t>,</w:t>
      </w:r>
      <w:r>
        <w:rPr>
          <w:rStyle w:val="FootnoteReference"/>
          <w:rFonts w:ascii="Arial" w:hAnsi="Arial" w:cs="Arial"/>
        </w:rPr>
        <w:footnoteReference w:id="110"/>
      </w:r>
      <w:r w:rsidR="000D5B97" w:rsidRPr="000D5B97">
        <w:rPr>
          <w:rFonts w:ascii="Arial" w:hAnsi="Arial" w:cs="Arial"/>
        </w:rPr>
        <w:t xml:space="preserve"> </w:t>
      </w:r>
      <w:r w:rsidR="009919DD">
        <w:rPr>
          <w:rFonts w:ascii="Arial" w:hAnsi="Arial" w:cs="Arial"/>
        </w:rPr>
        <w:t>t</w:t>
      </w:r>
      <w:r w:rsidR="000E3B06">
        <w:rPr>
          <w:rFonts w:ascii="Arial" w:hAnsi="Arial" w:cs="Arial"/>
        </w:rPr>
        <w:t>he role of the EFB is advisory and the nomination of members depends almost entirely upon the Commission.</w:t>
      </w:r>
      <w:r w:rsidR="000E3B06">
        <w:rPr>
          <w:rStyle w:val="FootnoteReference"/>
          <w:rFonts w:ascii="Arial" w:hAnsi="Arial" w:cs="Arial"/>
        </w:rPr>
        <w:footnoteReference w:id="111"/>
      </w:r>
      <w:r w:rsidR="000E3B06">
        <w:rPr>
          <w:rFonts w:ascii="Arial" w:hAnsi="Arial" w:cs="Arial"/>
        </w:rPr>
        <w:t xml:space="preserve">  </w:t>
      </w:r>
    </w:p>
    <w:p w:rsidR="0083030C" w:rsidRDefault="000E3B06" w:rsidP="0076060D">
      <w:pPr>
        <w:tabs>
          <w:tab w:val="num" w:pos="851"/>
        </w:tabs>
        <w:spacing w:before="240" w:after="240" w:line="360" w:lineRule="auto"/>
        <w:jc w:val="both"/>
        <w:rPr>
          <w:rFonts w:ascii="Arial" w:hAnsi="Arial" w:cs="Arial"/>
        </w:rPr>
      </w:pPr>
      <w:r>
        <w:rPr>
          <w:rFonts w:ascii="Arial" w:hAnsi="Arial" w:cs="Arial"/>
        </w:rPr>
        <w:t>The</w:t>
      </w:r>
      <w:r w:rsidR="000D5B97">
        <w:rPr>
          <w:rFonts w:ascii="Arial" w:hAnsi="Arial" w:cs="Arial"/>
        </w:rPr>
        <w:t xml:space="preserve"> </w:t>
      </w:r>
      <w:r w:rsidR="009919DD">
        <w:rPr>
          <w:rFonts w:ascii="Arial" w:hAnsi="Arial" w:cs="Arial"/>
        </w:rPr>
        <w:t xml:space="preserve">lack of </w:t>
      </w:r>
      <w:r w:rsidR="000D5B97">
        <w:rPr>
          <w:rFonts w:ascii="Arial" w:hAnsi="Arial" w:cs="Arial"/>
        </w:rPr>
        <w:t xml:space="preserve">transparency </w:t>
      </w:r>
      <w:r w:rsidR="009919DD">
        <w:rPr>
          <w:rFonts w:ascii="Arial" w:hAnsi="Arial" w:cs="Arial"/>
        </w:rPr>
        <w:t xml:space="preserve">regarding the reasoning </w:t>
      </w:r>
      <w:r>
        <w:rPr>
          <w:rFonts w:ascii="Arial" w:hAnsi="Arial" w:cs="Arial"/>
        </w:rPr>
        <w:t>behind the advice provided by</w:t>
      </w:r>
      <w:r w:rsidR="000D5B97">
        <w:rPr>
          <w:rFonts w:ascii="Arial" w:hAnsi="Arial" w:cs="Arial"/>
        </w:rPr>
        <w:t xml:space="preserve"> the EFB</w:t>
      </w:r>
      <w:r>
        <w:rPr>
          <w:rFonts w:ascii="Arial" w:hAnsi="Arial" w:cs="Arial"/>
        </w:rPr>
        <w:t xml:space="preserve"> is also a cause of concern</w:t>
      </w:r>
      <w:r w:rsidR="000D5B97">
        <w:rPr>
          <w:rFonts w:ascii="Arial" w:hAnsi="Arial" w:cs="Arial"/>
        </w:rPr>
        <w:t>.</w:t>
      </w:r>
      <w:r w:rsidR="000D5B97">
        <w:rPr>
          <w:rStyle w:val="FootnoteReference"/>
          <w:rFonts w:ascii="Arial" w:hAnsi="Arial" w:cs="Arial"/>
        </w:rPr>
        <w:footnoteReference w:id="112"/>
      </w:r>
      <w:r w:rsidR="0076060D">
        <w:rPr>
          <w:rFonts w:ascii="Arial" w:hAnsi="Arial" w:cs="Arial"/>
        </w:rPr>
        <w:t xml:space="preserve"> </w:t>
      </w:r>
      <w:r>
        <w:rPr>
          <w:rFonts w:ascii="Arial" w:hAnsi="Arial" w:cs="Arial"/>
        </w:rPr>
        <w:t>Article 6 of the Commission’s decision to establish the EFB states that the EFB is only required to publish one annual report.</w:t>
      </w:r>
      <w:r>
        <w:rPr>
          <w:rStyle w:val="FootnoteReference"/>
          <w:rFonts w:ascii="Arial" w:hAnsi="Arial" w:cs="Arial"/>
        </w:rPr>
        <w:footnoteReference w:id="113"/>
      </w:r>
      <w:r w:rsidR="009919DD">
        <w:rPr>
          <w:rFonts w:ascii="Arial" w:hAnsi="Arial" w:cs="Arial"/>
        </w:rPr>
        <w:t xml:space="preserve"> It is </w:t>
      </w:r>
      <w:r w:rsidR="007A733E">
        <w:rPr>
          <w:rFonts w:ascii="Arial" w:hAnsi="Arial" w:cs="Arial"/>
        </w:rPr>
        <w:t>submitted</w:t>
      </w:r>
      <w:r w:rsidR="009919DD">
        <w:rPr>
          <w:rFonts w:ascii="Arial" w:hAnsi="Arial" w:cs="Arial"/>
        </w:rPr>
        <w:t xml:space="preserve"> that the EFB would gain more legitimacy if it is required to publish the justification for its advice at much shorter intervals. </w:t>
      </w:r>
    </w:p>
    <w:p w:rsidR="00016C10" w:rsidRDefault="007A733E" w:rsidP="0076060D">
      <w:pPr>
        <w:tabs>
          <w:tab w:val="num" w:pos="851"/>
        </w:tabs>
        <w:spacing w:before="240" w:after="240" w:line="360" w:lineRule="auto"/>
        <w:jc w:val="both"/>
        <w:rPr>
          <w:rFonts w:ascii="Arial" w:hAnsi="Arial" w:cs="Arial"/>
        </w:rPr>
      </w:pPr>
      <w:r>
        <w:rPr>
          <w:rFonts w:ascii="Arial" w:hAnsi="Arial" w:cs="Arial"/>
        </w:rPr>
        <w:t>A</w:t>
      </w:r>
      <w:r w:rsidR="009919DD">
        <w:rPr>
          <w:rFonts w:ascii="Arial" w:hAnsi="Arial" w:cs="Arial"/>
        </w:rPr>
        <w:t xml:space="preserve"> truly</w:t>
      </w:r>
      <w:r w:rsidR="0083030C">
        <w:rPr>
          <w:rFonts w:ascii="Arial" w:hAnsi="Arial" w:cs="Arial"/>
        </w:rPr>
        <w:t xml:space="preserve"> independent </w:t>
      </w:r>
      <w:r w:rsidR="009919DD">
        <w:rPr>
          <w:rFonts w:ascii="Arial" w:hAnsi="Arial" w:cs="Arial"/>
        </w:rPr>
        <w:t xml:space="preserve">body should be given the duty </w:t>
      </w:r>
      <w:r w:rsidR="00016C10">
        <w:rPr>
          <w:rFonts w:ascii="Arial" w:hAnsi="Arial" w:cs="Arial"/>
        </w:rPr>
        <w:t xml:space="preserve">to </w:t>
      </w:r>
      <w:r w:rsidR="00537854">
        <w:rPr>
          <w:rFonts w:ascii="Arial" w:hAnsi="Arial" w:cs="Arial"/>
        </w:rPr>
        <w:t>implement the objectives of the European fiscal framework.</w:t>
      </w:r>
      <w:r w:rsidR="008A0AB8">
        <w:rPr>
          <w:rFonts w:ascii="Arial" w:hAnsi="Arial" w:cs="Arial"/>
        </w:rPr>
        <w:t xml:space="preserve"> </w:t>
      </w:r>
      <w:r w:rsidR="00537854">
        <w:rPr>
          <w:rFonts w:ascii="Arial" w:hAnsi="Arial" w:cs="Arial"/>
        </w:rPr>
        <w:t>T</w:t>
      </w:r>
      <w:r w:rsidR="008A0AB8">
        <w:rPr>
          <w:rFonts w:ascii="Arial" w:hAnsi="Arial" w:cs="Arial"/>
        </w:rPr>
        <w:t xml:space="preserve">he creation of the EFB </w:t>
      </w:r>
      <w:r w:rsidR="0083030C">
        <w:rPr>
          <w:rFonts w:ascii="Arial" w:hAnsi="Arial" w:cs="Arial"/>
        </w:rPr>
        <w:t>may help to ensure that existing fiscal rules are followed that aim to achieve long-term public debt sustainability</w:t>
      </w:r>
      <w:r w:rsidR="00537854">
        <w:rPr>
          <w:rFonts w:ascii="Arial" w:hAnsi="Arial" w:cs="Arial"/>
        </w:rPr>
        <w:t>. However,</w:t>
      </w:r>
      <w:r w:rsidR="0083030C">
        <w:rPr>
          <w:rFonts w:ascii="Arial" w:hAnsi="Arial" w:cs="Arial"/>
        </w:rPr>
        <w:t xml:space="preserve"> it is doubtful whether the EFB will have enough independence and power to make meaningful progress towards the counter</w:t>
      </w:r>
      <w:r w:rsidR="00277B7C">
        <w:rPr>
          <w:rFonts w:ascii="Arial" w:hAnsi="Arial" w:cs="Arial"/>
        </w:rPr>
        <w:t>-</w:t>
      </w:r>
      <w:r w:rsidR="0083030C">
        <w:rPr>
          <w:rFonts w:ascii="Arial" w:hAnsi="Arial" w:cs="Arial"/>
        </w:rPr>
        <w:t>cyclical fiscal policy objective</w:t>
      </w:r>
      <w:r w:rsidR="00B44EE9">
        <w:rPr>
          <w:rFonts w:ascii="Arial" w:hAnsi="Arial" w:cs="Arial"/>
        </w:rPr>
        <w:t>, where reforms may be required that do not conform with current practices.</w:t>
      </w:r>
      <w:r w:rsidR="008C2B32">
        <w:rPr>
          <w:rFonts w:ascii="Arial" w:hAnsi="Arial" w:cs="Arial"/>
        </w:rPr>
        <w:t xml:space="preserve"> It is submitted that Article 121 of the </w:t>
      </w:r>
      <w:r w:rsidR="008C2B32" w:rsidRPr="00E44CD9">
        <w:rPr>
          <w:rFonts w:ascii="Arial" w:hAnsi="Arial" w:cs="Arial"/>
          <w:i/>
        </w:rPr>
        <w:t xml:space="preserve">TFEU </w:t>
      </w:r>
      <w:r w:rsidR="008C2B32">
        <w:rPr>
          <w:rFonts w:ascii="Arial" w:hAnsi="Arial" w:cs="Arial"/>
        </w:rPr>
        <w:t xml:space="preserve">needs to be amended such that the EFB takes on the role of monitoring and reports directly to the Council, rather than through the Commission. </w:t>
      </w:r>
    </w:p>
    <w:p w:rsidR="00016C10" w:rsidRDefault="0047798C" w:rsidP="0076060D">
      <w:pPr>
        <w:tabs>
          <w:tab w:val="num" w:pos="851"/>
        </w:tabs>
        <w:spacing w:before="240" w:after="240" w:line="360" w:lineRule="auto"/>
        <w:jc w:val="both"/>
        <w:rPr>
          <w:rFonts w:ascii="Arial" w:hAnsi="Arial" w:cs="Arial"/>
          <w:b/>
          <w:sz w:val="24"/>
          <w:szCs w:val="24"/>
        </w:rPr>
      </w:pPr>
      <w:r w:rsidRPr="0047798C">
        <w:rPr>
          <w:rFonts w:ascii="Arial" w:hAnsi="Arial" w:cs="Arial"/>
          <w:b/>
          <w:sz w:val="24"/>
          <w:szCs w:val="24"/>
        </w:rPr>
        <w:lastRenderedPageBreak/>
        <w:t>Euro</w:t>
      </w:r>
      <w:r w:rsidR="00C74FE4">
        <w:rPr>
          <w:rFonts w:ascii="Arial" w:hAnsi="Arial" w:cs="Arial"/>
          <w:b/>
          <w:sz w:val="24"/>
          <w:szCs w:val="24"/>
        </w:rPr>
        <w:t>zone</w:t>
      </w:r>
      <w:r>
        <w:rPr>
          <w:rFonts w:ascii="Arial" w:hAnsi="Arial" w:cs="Arial"/>
          <w:b/>
          <w:sz w:val="24"/>
          <w:szCs w:val="24"/>
        </w:rPr>
        <w:t xml:space="preserve"> Treasur</w:t>
      </w:r>
      <w:r w:rsidRPr="0047798C">
        <w:rPr>
          <w:rFonts w:ascii="Arial" w:hAnsi="Arial" w:cs="Arial"/>
          <w:b/>
          <w:sz w:val="24"/>
          <w:szCs w:val="24"/>
        </w:rPr>
        <w:t>y</w:t>
      </w:r>
    </w:p>
    <w:p w:rsidR="0047798C" w:rsidRDefault="0047798C" w:rsidP="008C2B32">
      <w:pPr>
        <w:tabs>
          <w:tab w:val="num" w:pos="851"/>
        </w:tabs>
        <w:spacing w:before="240" w:after="0" w:line="360" w:lineRule="auto"/>
        <w:jc w:val="both"/>
        <w:rPr>
          <w:rFonts w:ascii="Arial" w:hAnsi="Arial" w:cs="Arial"/>
        </w:rPr>
      </w:pPr>
      <w:r w:rsidRPr="0047798C">
        <w:rPr>
          <w:rFonts w:ascii="Arial" w:hAnsi="Arial" w:cs="Arial"/>
        </w:rPr>
        <w:t>The Five Presidents’ Report</w:t>
      </w:r>
      <w:r>
        <w:rPr>
          <w:rFonts w:ascii="Arial" w:hAnsi="Arial" w:cs="Arial"/>
        </w:rPr>
        <w:t xml:space="preserve"> states that ‘as the </w:t>
      </w:r>
      <w:r w:rsidR="00C74FE4">
        <w:rPr>
          <w:rFonts w:ascii="Arial" w:hAnsi="Arial" w:cs="Arial"/>
        </w:rPr>
        <w:t>Eurozone</w:t>
      </w:r>
      <w:r>
        <w:rPr>
          <w:rFonts w:ascii="Arial" w:hAnsi="Arial" w:cs="Arial"/>
        </w:rPr>
        <w:t xml:space="preserve"> evolves towards a genuine EMU, some decisions will increasingly need to be made collectively</w:t>
      </w:r>
      <w:r w:rsidR="00F35817">
        <w:rPr>
          <w:rFonts w:ascii="Arial" w:hAnsi="Arial" w:cs="Arial"/>
        </w:rPr>
        <w:t>’.</w:t>
      </w:r>
      <w:r w:rsidR="00F35817">
        <w:rPr>
          <w:rStyle w:val="FootnoteReference"/>
          <w:rFonts w:ascii="Arial" w:hAnsi="Arial" w:cs="Arial"/>
        </w:rPr>
        <w:footnoteReference w:id="114"/>
      </w:r>
      <w:r w:rsidR="00F35817">
        <w:rPr>
          <w:rFonts w:ascii="Arial" w:hAnsi="Arial" w:cs="Arial"/>
        </w:rPr>
        <w:t xml:space="preserve"> </w:t>
      </w:r>
      <w:r>
        <w:rPr>
          <w:rFonts w:ascii="Arial" w:hAnsi="Arial" w:cs="Arial"/>
        </w:rPr>
        <w:t xml:space="preserve">The report </w:t>
      </w:r>
      <w:r w:rsidR="007773A6">
        <w:rPr>
          <w:rFonts w:ascii="Arial" w:hAnsi="Arial" w:cs="Arial"/>
        </w:rPr>
        <w:t xml:space="preserve">asserts </w:t>
      </w:r>
      <w:r>
        <w:rPr>
          <w:rFonts w:ascii="Arial" w:hAnsi="Arial" w:cs="Arial"/>
        </w:rPr>
        <w:t>that more joint decision-making on fiscal policy will be required for a genuine Fiscal Union</w:t>
      </w:r>
      <w:r w:rsidR="00F35817">
        <w:rPr>
          <w:rFonts w:ascii="Arial" w:hAnsi="Arial" w:cs="Arial"/>
        </w:rPr>
        <w:t>.</w:t>
      </w:r>
      <w:r>
        <w:rPr>
          <w:rStyle w:val="FootnoteReference"/>
          <w:rFonts w:ascii="Arial" w:hAnsi="Arial" w:cs="Arial"/>
        </w:rPr>
        <w:footnoteReference w:id="115"/>
      </w:r>
      <w:r>
        <w:rPr>
          <w:rFonts w:ascii="Arial" w:hAnsi="Arial" w:cs="Arial"/>
        </w:rPr>
        <w:t xml:space="preserve"> </w:t>
      </w:r>
      <w:r w:rsidR="00F35817">
        <w:rPr>
          <w:rFonts w:ascii="Arial" w:hAnsi="Arial" w:cs="Arial"/>
        </w:rPr>
        <w:t xml:space="preserve">A future </w:t>
      </w:r>
      <w:r w:rsidR="00D00A54">
        <w:rPr>
          <w:rFonts w:ascii="Arial" w:hAnsi="Arial" w:cs="Arial"/>
        </w:rPr>
        <w:t>E</w:t>
      </w:r>
      <w:r w:rsidR="00F35817">
        <w:rPr>
          <w:rFonts w:ascii="Arial" w:hAnsi="Arial" w:cs="Arial"/>
        </w:rPr>
        <w:t>uro</w:t>
      </w:r>
      <w:r w:rsidR="00C74FE4">
        <w:rPr>
          <w:rFonts w:ascii="Arial" w:hAnsi="Arial" w:cs="Arial"/>
        </w:rPr>
        <w:t>zone</w:t>
      </w:r>
      <w:r w:rsidR="00F35817">
        <w:rPr>
          <w:rFonts w:ascii="Arial" w:hAnsi="Arial" w:cs="Arial"/>
        </w:rPr>
        <w:t xml:space="preserve"> </w:t>
      </w:r>
      <w:r w:rsidR="00D00A54">
        <w:rPr>
          <w:rFonts w:ascii="Arial" w:hAnsi="Arial" w:cs="Arial"/>
        </w:rPr>
        <w:t>T</w:t>
      </w:r>
      <w:r w:rsidR="00F35817">
        <w:rPr>
          <w:rFonts w:ascii="Arial" w:hAnsi="Arial" w:cs="Arial"/>
        </w:rPr>
        <w:t xml:space="preserve">reasury </w:t>
      </w:r>
      <w:r w:rsidR="00B44EE9">
        <w:rPr>
          <w:rFonts w:ascii="Arial" w:hAnsi="Arial" w:cs="Arial"/>
        </w:rPr>
        <w:t>is proposed as a</w:t>
      </w:r>
      <w:r w:rsidR="00F35817">
        <w:rPr>
          <w:rFonts w:ascii="Arial" w:hAnsi="Arial" w:cs="Arial"/>
        </w:rPr>
        <w:t xml:space="preserve"> place for such collective decision making.</w:t>
      </w:r>
      <w:r w:rsidR="00F35817">
        <w:rPr>
          <w:rStyle w:val="FootnoteReference"/>
          <w:rFonts w:ascii="Arial" w:hAnsi="Arial" w:cs="Arial"/>
        </w:rPr>
        <w:footnoteReference w:id="116"/>
      </w:r>
      <w:r w:rsidR="00F35817">
        <w:rPr>
          <w:rFonts w:ascii="Arial" w:hAnsi="Arial" w:cs="Arial"/>
        </w:rPr>
        <w:t xml:space="preserve"> </w:t>
      </w:r>
      <w:r>
        <w:rPr>
          <w:rFonts w:ascii="Arial" w:hAnsi="Arial" w:cs="Arial"/>
        </w:rPr>
        <w:t xml:space="preserve">However the report emphasises that </w:t>
      </w:r>
      <w:r w:rsidR="00C74FE4">
        <w:rPr>
          <w:rFonts w:ascii="Arial" w:hAnsi="Arial" w:cs="Arial"/>
        </w:rPr>
        <w:t>Eurozone</w:t>
      </w:r>
      <w:r>
        <w:rPr>
          <w:rFonts w:ascii="Arial" w:hAnsi="Arial" w:cs="Arial"/>
        </w:rPr>
        <w:t xml:space="preserve"> Member States would continue to be responsible for </w:t>
      </w:r>
      <w:r w:rsidR="00F35817">
        <w:rPr>
          <w:rFonts w:ascii="Arial" w:hAnsi="Arial" w:cs="Arial"/>
        </w:rPr>
        <w:t>making decisions on taxation and the allocation of budgetary expenditures according to their preferences and political choices.</w:t>
      </w:r>
      <w:r w:rsidR="00F35817">
        <w:rPr>
          <w:rStyle w:val="FootnoteReference"/>
          <w:rFonts w:ascii="Arial" w:hAnsi="Arial" w:cs="Arial"/>
        </w:rPr>
        <w:footnoteReference w:id="117"/>
      </w:r>
      <w:r>
        <w:rPr>
          <w:rFonts w:ascii="Arial" w:hAnsi="Arial" w:cs="Arial"/>
        </w:rPr>
        <w:t xml:space="preserve"> </w:t>
      </w:r>
    </w:p>
    <w:p w:rsidR="00EB291F" w:rsidRDefault="00F93B3B" w:rsidP="00B44EE9">
      <w:pPr>
        <w:tabs>
          <w:tab w:val="num" w:pos="851"/>
        </w:tabs>
        <w:spacing w:before="240" w:after="0" w:line="360" w:lineRule="auto"/>
        <w:jc w:val="both"/>
        <w:rPr>
          <w:rFonts w:ascii="Arial" w:hAnsi="Arial" w:cs="Arial"/>
        </w:rPr>
      </w:pPr>
      <w:r>
        <w:rPr>
          <w:rFonts w:ascii="Arial" w:hAnsi="Arial" w:cs="Arial"/>
        </w:rPr>
        <w:t xml:space="preserve">The push to form a </w:t>
      </w:r>
      <w:r w:rsidR="003168D2">
        <w:rPr>
          <w:rFonts w:ascii="Arial" w:hAnsi="Arial" w:cs="Arial"/>
        </w:rPr>
        <w:t>E</w:t>
      </w:r>
      <w:r>
        <w:rPr>
          <w:rFonts w:ascii="Arial" w:hAnsi="Arial" w:cs="Arial"/>
        </w:rPr>
        <w:t>uro</w:t>
      </w:r>
      <w:r w:rsidR="00C74FE4">
        <w:rPr>
          <w:rFonts w:ascii="Arial" w:hAnsi="Arial" w:cs="Arial"/>
        </w:rPr>
        <w:t>z</w:t>
      </w:r>
      <w:r>
        <w:rPr>
          <w:rFonts w:ascii="Arial" w:hAnsi="Arial" w:cs="Arial"/>
        </w:rPr>
        <w:t xml:space="preserve">one </w:t>
      </w:r>
      <w:r w:rsidR="003168D2">
        <w:rPr>
          <w:rFonts w:ascii="Arial" w:hAnsi="Arial" w:cs="Arial"/>
        </w:rPr>
        <w:t>T</w:t>
      </w:r>
      <w:r>
        <w:rPr>
          <w:rFonts w:ascii="Arial" w:hAnsi="Arial" w:cs="Arial"/>
        </w:rPr>
        <w:t>reasury has been supported by two of Europe’s most powerful central bankers.</w:t>
      </w:r>
      <w:r>
        <w:rPr>
          <w:rStyle w:val="FootnoteReference"/>
          <w:rFonts w:ascii="Arial" w:hAnsi="Arial" w:cs="Arial"/>
        </w:rPr>
        <w:footnoteReference w:id="118"/>
      </w:r>
      <w:r>
        <w:rPr>
          <w:rFonts w:ascii="Arial" w:hAnsi="Arial" w:cs="Arial"/>
        </w:rPr>
        <w:t xml:space="preserve"> </w:t>
      </w:r>
      <w:r w:rsidR="00676240">
        <w:rPr>
          <w:rFonts w:ascii="Arial" w:hAnsi="Arial" w:cs="Arial"/>
        </w:rPr>
        <w:t xml:space="preserve">Jens Weidmann, president of the Deutsche Bundesbank, and Francois Villeroy de Galhau, Governor of the Bank of France, have urged the 19 Member States of the </w:t>
      </w:r>
      <w:r w:rsidR="00C74FE4">
        <w:rPr>
          <w:rFonts w:ascii="Arial" w:hAnsi="Arial" w:cs="Arial"/>
        </w:rPr>
        <w:t>Eurozone</w:t>
      </w:r>
      <w:r w:rsidR="00676240">
        <w:rPr>
          <w:rFonts w:ascii="Arial" w:hAnsi="Arial" w:cs="Arial"/>
        </w:rPr>
        <w:t xml:space="preserve"> to move towards a ‘comprehensive sharing of sovereignty’ which would include a 19 member treasury.</w:t>
      </w:r>
      <w:r w:rsidR="00676240">
        <w:rPr>
          <w:rStyle w:val="FootnoteReference"/>
          <w:rFonts w:ascii="Arial" w:hAnsi="Arial" w:cs="Arial"/>
        </w:rPr>
        <w:footnoteReference w:id="119"/>
      </w:r>
      <w:r w:rsidR="00360831">
        <w:rPr>
          <w:rFonts w:ascii="Arial" w:hAnsi="Arial" w:cs="Arial"/>
        </w:rPr>
        <w:t xml:space="preserve"> The pair stated that ‘while monetary policy has delivered a lot of support for the </w:t>
      </w:r>
      <w:r w:rsidR="00C74FE4">
        <w:rPr>
          <w:rFonts w:ascii="Arial" w:hAnsi="Arial" w:cs="Arial"/>
        </w:rPr>
        <w:t>Eurozone</w:t>
      </w:r>
      <w:r w:rsidR="00360831">
        <w:rPr>
          <w:rFonts w:ascii="Arial" w:hAnsi="Arial" w:cs="Arial"/>
        </w:rPr>
        <w:t xml:space="preserve"> economy, it cannot bring about long-lasting economic growth’.</w:t>
      </w:r>
      <w:r w:rsidR="00360831">
        <w:rPr>
          <w:rStyle w:val="FootnoteReference"/>
          <w:rFonts w:ascii="Arial" w:hAnsi="Arial" w:cs="Arial"/>
        </w:rPr>
        <w:footnoteReference w:id="120"/>
      </w:r>
      <w:r w:rsidR="00360831">
        <w:rPr>
          <w:rFonts w:ascii="Arial" w:hAnsi="Arial" w:cs="Arial"/>
        </w:rPr>
        <w:t xml:space="preserve"> They </w:t>
      </w:r>
      <w:r w:rsidR="00B44EE9">
        <w:rPr>
          <w:rFonts w:ascii="Arial" w:hAnsi="Arial" w:cs="Arial"/>
        </w:rPr>
        <w:t>argued</w:t>
      </w:r>
      <w:r w:rsidR="00360831">
        <w:rPr>
          <w:rFonts w:ascii="Arial" w:hAnsi="Arial" w:cs="Arial"/>
        </w:rPr>
        <w:t xml:space="preserve"> that ‘more integration appears to be the most straightforward solution to restore confidence in the </w:t>
      </w:r>
      <w:r w:rsidR="00C74FE4">
        <w:rPr>
          <w:rFonts w:ascii="Arial" w:hAnsi="Arial" w:cs="Arial"/>
        </w:rPr>
        <w:t>Eurozone</w:t>
      </w:r>
      <w:r w:rsidR="00360831">
        <w:rPr>
          <w:rFonts w:ascii="Arial" w:hAnsi="Arial" w:cs="Arial"/>
        </w:rPr>
        <w:t>’.</w:t>
      </w:r>
      <w:r w:rsidR="00B44EE9">
        <w:rPr>
          <w:rStyle w:val="FootnoteReference"/>
          <w:rFonts w:ascii="Arial" w:hAnsi="Arial" w:cs="Arial"/>
        </w:rPr>
        <w:footnoteReference w:id="121"/>
      </w:r>
      <w:r w:rsidR="00EB291F">
        <w:rPr>
          <w:rFonts w:ascii="Arial" w:hAnsi="Arial" w:cs="Arial"/>
        </w:rPr>
        <w:t xml:space="preserve"> </w:t>
      </w:r>
    </w:p>
    <w:p w:rsidR="006150C8" w:rsidRDefault="00EB291F" w:rsidP="002F641B">
      <w:pPr>
        <w:tabs>
          <w:tab w:val="num" w:pos="851"/>
        </w:tabs>
        <w:spacing w:before="240" w:after="240" w:line="384" w:lineRule="auto"/>
        <w:jc w:val="both"/>
        <w:rPr>
          <w:rFonts w:ascii="Arial" w:hAnsi="Arial" w:cs="Arial"/>
        </w:rPr>
      </w:pPr>
      <w:r>
        <w:rPr>
          <w:rFonts w:ascii="Arial" w:hAnsi="Arial" w:cs="Arial"/>
        </w:rPr>
        <w:t xml:space="preserve">The comments are a rare demonstration of unity from leading French and German figures, nations that have often diverged regarding their visions for the </w:t>
      </w:r>
      <w:r w:rsidR="00C74FE4">
        <w:rPr>
          <w:rFonts w:ascii="Arial" w:hAnsi="Arial" w:cs="Arial"/>
        </w:rPr>
        <w:t>Euro</w:t>
      </w:r>
      <w:r>
        <w:rPr>
          <w:rFonts w:ascii="Arial" w:hAnsi="Arial" w:cs="Arial"/>
        </w:rPr>
        <w:t>zone.</w:t>
      </w:r>
      <w:r>
        <w:rPr>
          <w:rStyle w:val="FootnoteReference"/>
          <w:rFonts w:ascii="Arial" w:hAnsi="Arial" w:cs="Arial"/>
        </w:rPr>
        <w:footnoteReference w:id="122"/>
      </w:r>
      <w:r w:rsidR="004B232E">
        <w:rPr>
          <w:rFonts w:ascii="Arial" w:hAnsi="Arial" w:cs="Arial"/>
        </w:rPr>
        <w:t xml:space="preserve"> Germany has for a long time advocated that budgetary discipline is at the heart of a fiscal union.</w:t>
      </w:r>
      <w:r w:rsidR="002F641B">
        <w:rPr>
          <w:rStyle w:val="FootnoteReference"/>
          <w:rFonts w:ascii="Arial" w:hAnsi="Arial" w:cs="Arial"/>
        </w:rPr>
        <w:footnoteReference w:id="123"/>
      </w:r>
      <w:r w:rsidR="004B232E">
        <w:rPr>
          <w:rFonts w:ascii="Arial" w:hAnsi="Arial" w:cs="Arial"/>
        </w:rPr>
        <w:t xml:space="preserve"> In contrast, France has supported a more flexible investment-led approach where the creation of new institutions is prioritised to bolster governance.</w:t>
      </w:r>
      <w:r w:rsidR="004B232E">
        <w:rPr>
          <w:rStyle w:val="FootnoteReference"/>
          <w:rFonts w:ascii="Arial" w:hAnsi="Arial" w:cs="Arial"/>
        </w:rPr>
        <w:footnoteReference w:id="124"/>
      </w:r>
      <w:r w:rsidR="004B232E">
        <w:rPr>
          <w:rFonts w:ascii="Arial" w:hAnsi="Arial" w:cs="Arial"/>
        </w:rPr>
        <w:t xml:space="preserve"> </w:t>
      </w:r>
      <w:r w:rsidR="006150C8">
        <w:rPr>
          <w:rFonts w:ascii="Arial" w:hAnsi="Arial" w:cs="Arial"/>
        </w:rPr>
        <w:t xml:space="preserve">It is noted, however, that efforts to create a </w:t>
      </w:r>
      <w:r w:rsidR="003168D2">
        <w:rPr>
          <w:rFonts w:ascii="Arial" w:hAnsi="Arial" w:cs="Arial"/>
        </w:rPr>
        <w:t>E</w:t>
      </w:r>
      <w:r w:rsidR="00C74FE4">
        <w:rPr>
          <w:rFonts w:ascii="Arial" w:hAnsi="Arial" w:cs="Arial"/>
        </w:rPr>
        <w:t>uroz</w:t>
      </w:r>
      <w:r w:rsidR="006150C8">
        <w:rPr>
          <w:rFonts w:ascii="Arial" w:hAnsi="Arial" w:cs="Arial"/>
        </w:rPr>
        <w:t xml:space="preserve">one </w:t>
      </w:r>
      <w:r w:rsidR="003168D2">
        <w:rPr>
          <w:rFonts w:ascii="Arial" w:hAnsi="Arial" w:cs="Arial"/>
        </w:rPr>
        <w:t>T</w:t>
      </w:r>
      <w:r w:rsidR="006150C8">
        <w:rPr>
          <w:rFonts w:ascii="Arial" w:hAnsi="Arial" w:cs="Arial"/>
        </w:rPr>
        <w:t xml:space="preserve">reasury will likely be resisted by </w:t>
      </w:r>
      <w:r w:rsidR="002F641B">
        <w:rPr>
          <w:rFonts w:ascii="Arial" w:hAnsi="Arial" w:cs="Arial"/>
        </w:rPr>
        <w:t>those</w:t>
      </w:r>
      <w:r w:rsidR="006150C8">
        <w:rPr>
          <w:rFonts w:ascii="Arial" w:hAnsi="Arial" w:cs="Arial"/>
        </w:rPr>
        <w:t xml:space="preserve"> countries that </w:t>
      </w:r>
      <w:r w:rsidR="002F641B">
        <w:rPr>
          <w:rFonts w:ascii="Arial" w:hAnsi="Arial" w:cs="Arial"/>
        </w:rPr>
        <w:t>oppose</w:t>
      </w:r>
      <w:r w:rsidR="006150C8">
        <w:rPr>
          <w:rFonts w:ascii="Arial" w:hAnsi="Arial" w:cs="Arial"/>
        </w:rPr>
        <w:t xml:space="preserve"> transferring more sovereignty to EU institutions.</w:t>
      </w:r>
      <w:r w:rsidR="006150C8">
        <w:rPr>
          <w:rStyle w:val="FootnoteReference"/>
          <w:rFonts w:ascii="Arial" w:hAnsi="Arial" w:cs="Arial"/>
        </w:rPr>
        <w:footnoteReference w:id="125"/>
      </w:r>
      <w:r w:rsidR="006150C8">
        <w:rPr>
          <w:rFonts w:ascii="Arial" w:hAnsi="Arial" w:cs="Arial"/>
        </w:rPr>
        <w:t xml:space="preserve"> </w:t>
      </w:r>
    </w:p>
    <w:p w:rsidR="00F87DA2" w:rsidRDefault="00D61DDD" w:rsidP="002F641B">
      <w:pPr>
        <w:tabs>
          <w:tab w:val="num" w:pos="851"/>
        </w:tabs>
        <w:spacing w:before="240" w:after="240" w:line="384" w:lineRule="auto"/>
        <w:jc w:val="both"/>
        <w:rPr>
          <w:rFonts w:ascii="Arial" w:hAnsi="Arial" w:cs="Arial"/>
        </w:rPr>
      </w:pPr>
      <w:r>
        <w:rPr>
          <w:rFonts w:ascii="Arial" w:hAnsi="Arial" w:cs="Arial"/>
        </w:rPr>
        <w:lastRenderedPageBreak/>
        <w:t>The French Econom</w:t>
      </w:r>
      <w:r w:rsidR="002E38D5">
        <w:rPr>
          <w:rFonts w:ascii="Arial" w:hAnsi="Arial" w:cs="Arial"/>
        </w:rPr>
        <w:t xml:space="preserve">y </w:t>
      </w:r>
      <w:r>
        <w:rPr>
          <w:rFonts w:ascii="Arial" w:hAnsi="Arial" w:cs="Arial"/>
        </w:rPr>
        <w:t xml:space="preserve">Minister, Emmanuel Macron, </w:t>
      </w:r>
      <w:r w:rsidR="002F641B">
        <w:rPr>
          <w:rFonts w:ascii="Arial" w:hAnsi="Arial" w:cs="Arial"/>
        </w:rPr>
        <w:t>supports the creation of a</w:t>
      </w:r>
      <w:r>
        <w:rPr>
          <w:rFonts w:ascii="Arial" w:hAnsi="Arial" w:cs="Arial"/>
        </w:rPr>
        <w:t xml:space="preserve"> common treasury which would be overseen by a separate Eurozone parliament’.</w:t>
      </w:r>
      <w:r>
        <w:rPr>
          <w:rStyle w:val="FootnoteReference"/>
          <w:rFonts w:ascii="Arial" w:hAnsi="Arial" w:cs="Arial"/>
        </w:rPr>
        <w:footnoteReference w:id="126"/>
      </w:r>
      <w:r>
        <w:rPr>
          <w:rFonts w:ascii="Arial" w:hAnsi="Arial" w:cs="Arial"/>
        </w:rPr>
        <w:t xml:space="preserve"> </w:t>
      </w:r>
      <w:r w:rsidR="002F641B">
        <w:rPr>
          <w:rFonts w:ascii="Arial" w:hAnsi="Arial" w:cs="Arial"/>
        </w:rPr>
        <w:t xml:space="preserve">The French Minister argued that ‘if we don’t move forward, we decide for dismantling the </w:t>
      </w:r>
      <w:r w:rsidR="00C74FE4">
        <w:rPr>
          <w:rFonts w:ascii="Arial" w:hAnsi="Arial" w:cs="Arial"/>
        </w:rPr>
        <w:t>Euro</w:t>
      </w:r>
      <w:r w:rsidR="002F641B">
        <w:rPr>
          <w:rFonts w:ascii="Arial" w:hAnsi="Arial" w:cs="Arial"/>
        </w:rPr>
        <w:t>zone’.</w:t>
      </w:r>
      <w:r w:rsidR="002F641B">
        <w:rPr>
          <w:rStyle w:val="FootnoteReference"/>
          <w:rFonts w:ascii="Arial" w:hAnsi="Arial" w:cs="Arial"/>
        </w:rPr>
        <w:footnoteReference w:id="127"/>
      </w:r>
      <w:r w:rsidR="002F641B">
        <w:rPr>
          <w:rFonts w:ascii="Arial" w:hAnsi="Arial" w:cs="Arial"/>
        </w:rPr>
        <w:t xml:space="preserve"> Macron stated that he would like a common Euro</w:t>
      </w:r>
      <w:r w:rsidR="00C74FE4">
        <w:rPr>
          <w:rFonts w:ascii="Arial" w:hAnsi="Arial" w:cs="Arial"/>
        </w:rPr>
        <w:t>z</w:t>
      </w:r>
      <w:r w:rsidR="002F641B">
        <w:rPr>
          <w:rFonts w:ascii="Arial" w:hAnsi="Arial" w:cs="Arial"/>
        </w:rPr>
        <w:t xml:space="preserve">one </w:t>
      </w:r>
      <w:r w:rsidR="003168D2">
        <w:rPr>
          <w:rFonts w:ascii="Arial" w:hAnsi="Arial" w:cs="Arial"/>
        </w:rPr>
        <w:t>T</w:t>
      </w:r>
      <w:r w:rsidR="002F641B">
        <w:rPr>
          <w:rFonts w:ascii="Arial" w:hAnsi="Arial" w:cs="Arial"/>
        </w:rPr>
        <w:t>reasury to be set up by member states with a single finance minister.</w:t>
      </w:r>
      <w:r w:rsidR="002F641B">
        <w:rPr>
          <w:rStyle w:val="FootnoteReference"/>
          <w:rFonts w:ascii="Arial" w:hAnsi="Arial" w:cs="Arial"/>
        </w:rPr>
        <w:footnoteReference w:id="128"/>
      </w:r>
      <w:r w:rsidR="002F641B">
        <w:rPr>
          <w:rFonts w:ascii="Arial" w:hAnsi="Arial" w:cs="Arial"/>
        </w:rPr>
        <w:t xml:space="preserve"> Contributions would then be made by Member States through part of their VAT receipts and unemployment insurance to fund transfers, with a Eurozone parliament acting as a political check</w:t>
      </w:r>
      <w:r w:rsidR="009C30FA">
        <w:rPr>
          <w:rFonts w:ascii="Arial" w:hAnsi="Arial" w:cs="Arial"/>
        </w:rPr>
        <w:t>.</w:t>
      </w:r>
      <w:r w:rsidR="002F641B">
        <w:rPr>
          <w:rStyle w:val="FootnoteReference"/>
          <w:rFonts w:ascii="Arial" w:hAnsi="Arial" w:cs="Arial"/>
        </w:rPr>
        <w:footnoteReference w:id="129"/>
      </w:r>
      <w:r w:rsidR="002F641B">
        <w:rPr>
          <w:rFonts w:ascii="Arial" w:hAnsi="Arial" w:cs="Arial"/>
        </w:rPr>
        <w:t xml:space="preserve"> </w:t>
      </w:r>
      <w:r>
        <w:rPr>
          <w:rFonts w:ascii="Arial" w:hAnsi="Arial" w:cs="Arial"/>
        </w:rPr>
        <w:t xml:space="preserve">Macron has expressed scepticism that the Five Presidents’ recommendation for a </w:t>
      </w:r>
      <w:r w:rsidR="003168D2">
        <w:rPr>
          <w:rFonts w:ascii="Arial" w:hAnsi="Arial" w:cs="Arial"/>
        </w:rPr>
        <w:t>E</w:t>
      </w:r>
      <w:r>
        <w:rPr>
          <w:rFonts w:ascii="Arial" w:hAnsi="Arial" w:cs="Arial"/>
        </w:rPr>
        <w:t>uro</w:t>
      </w:r>
      <w:r w:rsidR="00C74FE4">
        <w:rPr>
          <w:rFonts w:ascii="Arial" w:hAnsi="Arial" w:cs="Arial"/>
        </w:rPr>
        <w:t>zone</w:t>
      </w:r>
      <w:r>
        <w:rPr>
          <w:rFonts w:ascii="Arial" w:hAnsi="Arial" w:cs="Arial"/>
        </w:rPr>
        <w:t xml:space="preserve"> </w:t>
      </w:r>
      <w:r w:rsidR="003168D2">
        <w:rPr>
          <w:rFonts w:ascii="Arial" w:hAnsi="Arial" w:cs="Arial"/>
        </w:rPr>
        <w:t>T</w:t>
      </w:r>
      <w:r>
        <w:rPr>
          <w:rFonts w:ascii="Arial" w:hAnsi="Arial" w:cs="Arial"/>
        </w:rPr>
        <w:t>reasury will lead to any concrete action.</w:t>
      </w:r>
      <w:r>
        <w:rPr>
          <w:rStyle w:val="FootnoteReference"/>
          <w:rFonts w:ascii="Arial" w:hAnsi="Arial" w:cs="Arial"/>
        </w:rPr>
        <w:footnoteReference w:id="130"/>
      </w:r>
      <w:r w:rsidR="00E77E0E">
        <w:rPr>
          <w:rFonts w:ascii="Arial" w:hAnsi="Arial" w:cs="Arial"/>
        </w:rPr>
        <w:t xml:space="preserve"> </w:t>
      </w:r>
    </w:p>
    <w:p w:rsidR="007773A6" w:rsidRDefault="007773A6" w:rsidP="008C2B32">
      <w:pPr>
        <w:tabs>
          <w:tab w:val="num" w:pos="851"/>
        </w:tabs>
        <w:spacing w:before="240" w:after="240" w:line="384" w:lineRule="auto"/>
        <w:jc w:val="both"/>
        <w:rPr>
          <w:rFonts w:ascii="Arial" w:hAnsi="Arial" w:cs="Arial"/>
        </w:rPr>
      </w:pPr>
      <w:r>
        <w:rPr>
          <w:rFonts w:ascii="Arial" w:hAnsi="Arial" w:cs="Arial"/>
        </w:rPr>
        <w:t xml:space="preserve">It is submitted that too little focus was placed upon the formation of a </w:t>
      </w:r>
      <w:r w:rsidR="003168D2">
        <w:rPr>
          <w:rFonts w:ascii="Arial" w:hAnsi="Arial" w:cs="Arial"/>
        </w:rPr>
        <w:t>E</w:t>
      </w:r>
      <w:r>
        <w:rPr>
          <w:rFonts w:ascii="Arial" w:hAnsi="Arial" w:cs="Arial"/>
        </w:rPr>
        <w:t>uro</w:t>
      </w:r>
      <w:r w:rsidR="00C74FE4">
        <w:rPr>
          <w:rFonts w:ascii="Arial" w:hAnsi="Arial" w:cs="Arial"/>
        </w:rPr>
        <w:t>zone</w:t>
      </w:r>
      <w:r>
        <w:rPr>
          <w:rFonts w:ascii="Arial" w:hAnsi="Arial" w:cs="Arial"/>
        </w:rPr>
        <w:t xml:space="preserve"> </w:t>
      </w:r>
      <w:r w:rsidR="003168D2">
        <w:rPr>
          <w:rFonts w:ascii="Arial" w:hAnsi="Arial" w:cs="Arial"/>
        </w:rPr>
        <w:t>T</w:t>
      </w:r>
      <w:r>
        <w:rPr>
          <w:rFonts w:ascii="Arial" w:hAnsi="Arial" w:cs="Arial"/>
        </w:rPr>
        <w:t xml:space="preserve">reasury in the Five Presidents’ Report. While the report flagged the creation of a </w:t>
      </w:r>
      <w:r w:rsidR="003168D2">
        <w:rPr>
          <w:rFonts w:ascii="Arial" w:hAnsi="Arial" w:cs="Arial"/>
        </w:rPr>
        <w:t>E</w:t>
      </w:r>
      <w:r>
        <w:rPr>
          <w:rFonts w:ascii="Arial" w:hAnsi="Arial" w:cs="Arial"/>
        </w:rPr>
        <w:t>uro</w:t>
      </w:r>
      <w:r w:rsidR="00C74FE4">
        <w:rPr>
          <w:rFonts w:ascii="Arial" w:hAnsi="Arial" w:cs="Arial"/>
        </w:rPr>
        <w:t>zone</w:t>
      </w:r>
      <w:r>
        <w:rPr>
          <w:rFonts w:ascii="Arial" w:hAnsi="Arial" w:cs="Arial"/>
        </w:rPr>
        <w:t xml:space="preserve"> </w:t>
      </w:r>
      <w:r w:rsidR="003168D2">
        <w:rPr>
          <w:rFonts w:ascii="Arial" w:hAnsi="Arial" w:cs="Arial"/>
        </w:rPr>
        <w:t>T</w:t>
      </w:r>
      <w:r>
        <w:rPr>
          <w:rFonts w:ascii="Arial" w:hAnsi="Arial" w:cs="Arial"/>
        </w:rPr>
        <w:t>reasury, it did not provide any detail about how this aim could be achieved</w:t>
      </w:r>
      <w:r w:rsidR="008C2B32">
        <w:rPr>
          <w:rFonts w:ascii="Arial" w:hAnsi="Arial" w:cs="Arial"/>
        </w:rPr>
        <w:t xml:space="preserve"> and what treaty reforms would be required.</w:t>
      </w:r>
      <w:r>
        <w:rPr>
          <w:rStyle w:val="FootnoteReference"/>
          <w:rFonts w:ascii="Arial" w:hAnsi="Arial" w:cs="Arial"/>
        </w:rPr>
        <w:footnoteReference w:id="131"/>
      </w:r>
      <w:r w:rsidR="008C2B32">
        <w:rPr>
          <w:rFonts w:ascii="Arial" w:hAnsi="Arial" w:cs="Arial"/>
        </w:rPr>
        <w:t xml:space="preserve"> </w:t>
      </w:r>
      <w:r w:rsidR="00833CE2">
        <w:rPr>
          <w:rFonts w:ascii="Arial" w:hAnsi="Arial" w:cs="Arial"/>
        </w:rPr>
        <w:t xml:space="preserve">There </w:t>
      </w:r>
      <w:r w:rsidR="001A0E85">
        <w:rPr>
          <w:rFonts w:ascii="Arial" w:hAnsi="Arial" w:cs="Arial"/>
        </w:rPr>
        <w:t xml:space="preserve">should have been a commitment in the report to at least </w:t>
      </w:r>
      <w:r w:rsidR="001248FF">
        <w:rPr>
          <w:rFonts w:ascii="Arial" w:hAnsi="Arial" w:cs="Arial"/>
        </w:rPr>
        <w:t xml:space="preserve">have an expert group look into the design </w:t>
      </w:r>
      <w:r w:rsidR="00A6186B">
        <w:rPr>
          <w:rFonts w:ascii="Arial" w:hAnsi="Arial" w:cs="Arial"/>
        </w:rPr>
        <w:t xml:space="preserve">and legal </w:t>
      </w:r>
      <w:r w:rsidR="00833CE2">
        <w:rPr>
          <w:rFonts w:ascii="Arial" w:hAnsi="Arial" w:cs="Arial"/>
        </w:rPr>
        <w:t>requirements</w:t>
      </w:r>
      <w:r w:rsidR="00A6186B">
        <w:rPr>
          <w:rFonts w:ascii="Arial" w:hAnsi="Arial" w:cs="Arial"/>
        </w:rPr>
        <w:t xml:space="preserve"> for</w:t>
      </w:r>
      <w:r w:rsidR="001248FF">
        <w:rPr>
          <w:rFonts w:ascii="Arial" w:hAnsi="Arial" w:cs="Arial"/>
        </w:rPr>
        <w:t xml:space="preserve"> a</w:t>
      </w:r>
      <w:r w:rsidR="003A5F5A">
        <w:rPr>
          <w:rFonts w:ascii="Arial" w:hAnsi="Arial" w:cs="Arial"/>
        </w:rPr>
        <w:t xml:space="preserve"> Eurozone</w:t>
      </w:r>
      <w:r w:rsidR="001248FF">
        <w:rPr>
          <w:rFonts w:ascii="Arial" w:hAnsi="Arial" w:cs="Arial"/>
        </w:rPr>
        <w:t xml:space="preserve"> treasury.</w:t>
      </w:r>
      <w:r w:rsidR="00721CF8">
        <w:rPr>
          <w:rStyle w:val="FootnoteReference"/>
          <w:rFonts w:ascii="Arial" w:hAnsi="Arial" w:cs="Arial"/>
        </w:rPr>
        <w:footnoteReference w:id="132"/>
      </w:r>
    </w:p>
    <w:p w:rsidR="00F87DA2" w:rsidRDefault="003168D2" w:rsidP="008C2B32">
      <w:pPr>
        <w:tabs>
          <w:tab w:val="num" w:pos="851"/>
          <w:tab w:val="left" w:pos="7013"/>
        </w:tabs>
        <w:spacing w:before="240" w:after="240" w:line="384" w:lineRule="auto"/>
        <w:jc w:val="both"/>
        <w:rPr>
          <w:rFonts w:ascii="Arial" w:hAnsi="Arial" w:cs="Arial"/>
          <w:b/>
          <w:sz w:val="24"/>
          <w:szCs w:val="24"/>
        </w:rPr>
      </w:pPr>
      <w:r>
        <w:rPr>
          <w:rFonts w:ascii="Arial" w:hAnsi="Arial" w:cs="Arial"/>
          <w:b/>
          <w:sz w:val="24"/>
          <w:szCs w:val="24"/>
        </w:rPr>
        <w:t>Overall Assessment of</w:t>
      </w:r>
      <w:r w:rsidR="00D00A54">
        <w:rPr>
          <w:rFonts w:ascii="Arial" w:hAnsi="Arial" w:cs="Arial"/>
          <w:b/>
          <w:sz w:val="24"/>
          <w:szCs w:val="24"/>
        </w:rPr>
        <w:t xml:space="preserve"> the</w:t>
      </w:r>
      <w:r w:rsidR="00F87DA2">
        <w:rPr>
          <w:rFonts w:ascii="Arial" w:hAnsi="Arial" w:cs="Arial"/>
          <w:b/>
          <w:sz w:val="24"/>
          <w:szCs w:val="24"/>
        </w:rPr>
        <w:t xml:space="preserve"> Five Presidents’ Report</w:t>
      </w:r>
      <w:r w:rsidR="0049225A">
        <w:rPr>
          <w:rFonts w:ascii="Arial" w:hAnsi="Arial" w:cs="Arial"/>
          <w:b/>
          <w:sz w:val="24"/>
          <w:szCs w:val="24"/>
        </w:rPr>
        <w:tab/>
      </w:r>
    </w:p>
    <w:p w:rsidR="003168D2" w:rsidRDefault="003168D2" w:rsidP="008C2B32">
      <w:pPr>
        <w:tabs>
          <w:tab w:val="num" w:pos="851"/>
        </w:tabs>
        <w:spacing w:before="240" w:after="240" w:line="384" w:lineRule="auto"/>
        <w:jc w:val="both"/>
        <w:rPr>
          <w:rFonts w:ascii="Arial" w:hAnsi="Arial" w:cs="Arial"/>
        </w:rPr>
      </w:pPr>
      <w:r>
        <w:rPr>
          <w:rFonts w:ascii="Arial" w:hAnsi="Arial" w:cs="Arial"/>
        </w:rPr>
        <w:t>The actions proposed in the Five Presidents</w:t>
      </w:r>
      <w:r w:rsidR="009C30FA">
        <w:rPr>
          <w:rFonts w:ascii="Arial" w:hAnsi="Arial" w:cs="Arial"/>
        </w:rPr>
        <w:t>’</w:t>
      </w:r>
      <w:r>
        <w:rPr>
          <w:rFonts w:ascii="Arial" w:hAnsi="Arial" w:cs="Arial"/>
        </w:rPr>
        <w:t xml:space="preserve"> Report are less ambitious than those proposed in the Four Presidents Report.</w:t>
      </w:r>
      <w:r>
        <w:rPr>
          <w:rStyle w:val="FootnoteReference"/>
          <w:rFonts w:ascii="Arial" w:hAnsi="Arial" w:cs="Arial"/>
        </w:rPr>
        <w:footnoteReference w:id="133"/>
      </w:r>
      <w:r>
        <w:rPr>
          <w:rFonts w:ascii="Arial" w:hAnsi="Arial" w:cs="Arial"/>
        </w:rPr>
        <w:t xml:space="preserve"> Given the failure of the Four Presidents Report to lead to concrete actions, other than the SSM and the SRM, this was probably a calculated move. In light of the advances made from the Four Presidents’ Report with regards to the banking union, the proposal in the Five Presidents’ Report to complete the banking union through the implementation of an EDIS is considered to be a positive step to break the link between banks and sovereigns. However, given Germany’s opposition to the scheme, it would appear to be a difficult path ahead for such a scheme to be implemented.</w:t>
      </w:r>
    </w:p>
    <w:p w:rsidR="00A1064C" w:rsidRDefault="00DB6C1C" w:rsidP="008C2B32">
      <w:pPr>
        <w:spacing w:before="240" w:after="240" w:line="384" w:lineRule="auto"/>
        <w:jc w:val="both"/>
        <w:rPr>
          <w:rFonts w:ascii="Arial" w:hAnsi="Arial" w:cs="Arial"/>
        </w:rPr>
      </w:pPr>
      <w:r>
        <w:rPr>
          <w:rFonts w:ascii="Arial" w:hAnsi="Arial" w:cs="Arial"/>
        </w:rPr>
        <w:t>The Five Presidents’ Report fails to accept and push the debate regarding the necessity for treaty change</w:t>
      </w:r>
      <w:r w:rsidR="00A1064C">
        <w:rPr>
          <w:rFonts w:ascii="Arial" w:hAnsi="Arial" w:cs="Arial"/>
        </w:rPr>
        <w:t>.</w:t>
      </w:r>
      <w:r>
        <w:rPr>
          <w:rStyle w:val="FootnoteReference"/>
          <w:rFonts w:ascii="Arial" w:hAnsi="Arial" w:cs="Arial"/>
        </w:rPr>
        <w:footnoteReference w:id="134"/>
      </w:r>
      <w:r>
        <w:rPr>
          <w:rFonts w:ascii="Arial" w:hAnsi="Arial" w:cs="Arial"/>
        </w:rPr>
        <w:t xml:space="preserve"> </w:t>
      </w:r>
      <w:r w:rsidR="00A1064C">
        <w:rPr>
          <w:rFonts w:ascii="Arial" w:hAnsi="Arial" w:cs="Arial"/>
        </w:rPr>
        <w:t xml:space="preserve">The report, consequently does not honour the mandate that was originally provided to Van Rompuy in October 2011 to explore the possibility of treaty change. The report does not </w:t>
      </w:r>
      <w:r w:rsidR="00A1064C">
        <w:rPr>
          <w:rFonts w:ascii="Arial" w:hAnsi="Arial" w:cs="Arial"/>
        </w:rPr>
        <w:lastRenderedPageBreak/>
        <w:t>acknowledge for which of</w:t>
      </w:r>
      <w:r w:rsidR="006B119E">
        <w:rPr>
          <w:rFonts w:ascii="Arial" w:hAnsi="Arial" w:cs="Arial"/>
        </w:rPr>
        <w:t xml:space="preserve"> its proposed actions treaty amendments</w:t>
      </w:r>
      <w:r w:rsidR="00A1064C">
        <w:rPr>
          <w:rFonts w:ascii="Arial" w:hAnsi="Arial" w:cs="Arial"/>
        </w:rPr>
        <w:t xml:space="preserve"> will be required. </w:t>
      </w:r>
      <w:r>
        <w:rPr>
          <w:rFonts w:ascii="Arial" w:hAnsi="Arial" w:cs="Arial"/>
        </w:rPr>
        <w:t xml:space="preserve">In contrast, the European Commission’s Blueprint for a Deep and Genuine EMU of 2012 clearly described </w:t>
      </w:r>
      <w:r w:rsidR="006B119E">
        <w:rPr>
          <w:rFonts w:ascii="Arial" w:hAnsi="Arial" w:cs="Arial"/>
        </w:rPr>
        <w:t xml:space="preserve">for </w:t>
      </w:r>
      <w:r>
        <w:rPr>
          <w:rFonts w:ascii="Arial" w:hAnsi="Arial" w:cs="Arial"/>
        </w:rPr>
        <w:t xml:space="preserve">which of its proposed actions treaty </w:t>
      </w:r>
      <w:r w:rsidR="008C2B32">
        <w:rPr>
          <w:rFonts w:ascii="Arial" w:hAnsi="Arial" w:cs="Arial"/>
        </w:rPr>
        <w:t>amendments</w:t>
      </w:r>
      <w:r w:rsidR="006B119E">
        <w:rPr>
          <w:rFonts w:ascii="Arial" w:hAnsi="Arial" w:cs="Arial"/>
        </w:rPr>
        <w:t xml:space="preserve"> would be required</w:t>
      </w:r>
      <w:r>
        <w:rPr>
          <w:rFonts w:ascii="Arial" w:hAnsi="Arial" w:cs="Arial"/>
        </w:rPr>
        <w:t>.</w:t>
      </w:r>
      <w:r>
        <w:rPr>
          <w:rStyle w:val="FootnoteReference"/>
          <w:rFonts w:ascii="Arial" w:hAnsi="Arial" w:cs="Arial"/>
        </w:rPr>
        <w:footnoteReference w:id="135"/>
      </w:r>
    </w:p>
    <w:p w:rsidR="00613AE2" w:rsidRPr="006A7471" w:rsidRDefault="00613AE2" w:rsidP="00E24CFC">
      <w:pPr>
        <w:pStyle w:val="ListParagraph"/>
        <w:tabs>
          <w:tab w:val="num" w:pos="851"/>
        </w:tabs>
        <w:spacing w:before="240" w:after="240" w:line="384" w:lineRule="auto"/>
        <w:ind w:left="0"/>
        <w:contextualSpacing w:val="0"/>
        <w:jc w:val="both"/>
        <w:rPr>
          <w:rFonts w:ascii="Arial" w:hAnsi="Arial" w:cs="Arial"/>
        </w:rPr>
      </w:pPr>
      <w:r w:rsidRPr="006A7471">
        <w:rPr>
          <w:rFonts w:ascii="Arial" w:hAnsi="Arial" w:cs="Arial"/>
        </w:rPr>
        <w:t>The Five Presidents Report should have p</w:t>
      </w:r>
      <w:r w:rsidR="001163CE">
        <w:rPr>
          <w:rFonts w:ascii="Arial" w:hAnsi="Arial" w:cs="Arial"/>
        </w:rPr>
        <w:t>laced</w:t>
      </w:r>
      <w:r w:rsidRPr="006A7471">
        <w:rPr>
          <w:rFonts w:ascii="Arial" w:hAnsi="Arial" w:cs="Arial"/>
        </w:rPr>
        <w:t xml:space="preserve"> counter-cyclical policy at the centre of its recommendations on fiscal matters, and urged policy-makers to review the </w:t>
      </w:r>
      <w:r w:rsidR="00C74FE4">
        <w:rPr>
          <w:rFonts w:ascii="Arial" w:hAnsi="Arial" w:cs="Arial"/>
        </w:rPr>
        <w:t>E</w:t>
      </w:r>
      <w:r w:rsidRPr="006A7471">
        <w:rPr>
          <w:rFonts w:ascii="Arial" w:hAnsi="Arial" w:cs="Arial"/>
        </w:rPr>
        <w:t>urozone’s current fiscal rules.</w:t>
      </w:r>
      <w:r>
        <w:rPr>
          <w:rStyle w:val="FootnoteReference"/>
          <w:rFonts w:ascii="Arial" w:hAnsi="Arial" w:cs="Arial"/>
        </w:rPr>
        <w:footnoteReference w:id="136"/>
      </w:r>
      <w:r>
        <w:rPr>
          <w:rFonts w:ascii="Arial" w:hAnsi="Arial" w:cs="Arial"/>
        </w:rPr>
        <w:t xml:space="preserve"> It is acknowledged that </w:t>
      </w:r>
      <w:r w:rsidRPr="006A7471">
        <w:rPr>
          <w:rFonts w:ascii="Arial" w:hAnsi="Arial" w:cs="Arial"/>
        </w:rPr>
        <w:t xml:space="preserve">the report </w:t>
      </w:r>
      <w:r>
        <w:rPr>
          <w:rFonts w:ascii="Arial" w:hAnsi="Arial" w:cs="Arial"/>
        </w:rPr>
        <w:t>recognises</w:t>
      </w:r>
      <w:r w:rsidRPr="006A7471">
        <w:rPr>
          <w:rFonts w:ascii="Arial" w:hAnsi="Arial" w:cs="Arial"/>
        </w:rPr>
        <w:t xml:space="preserve"> that fiscal policy needs to be set counter-cyclically at the national and </w:t>
      </w:r>
      <w:r w:rsidR="00C74FE4">
        <w:rPr>
          <w:rFonts w:ascii="Arial" w:hAnsi="Arial" w:cs="Arial"/>
        </w:rPr>
        <w:t>E</w:t>
      </w:r>
      <w:r w:rsidRPr="006A7471">
        <w:rPr>
          <w:rFonts w:ascii="Arial" w:hAnsi="Arial" w:cs="Arial"/>
        </w:rPr>
        <w:t>urozo</w:t>
      </w:r>
      <w:r>
        <w:rPr>
          <w:rFonts w:ascii="Arial" w:hAnsi="Arial" w:cs="Arial"/>
        </w:rPr>
        <w:t>ne level.</w:t>
      </w:r>
      <w:r>
        <w:rPr>
          <w:rStyle w:val="FootnoteReference"/>
          <w:rFonts w:ascii="Arial" w:hAnsi="Arial" w:cs="Arial"/>
        </w:rPr>
        <w:footnoteReference w:id="137"/>
      </w:r>
      <w:r>
        <w:rPr>
          <w:rFonts w:ascii="Arial" w:hAnsi="Arial" w:cs="Arial"/>
        </w:rPr>
        <w:t xml:space="preserve"> However, </w:t>
      </w:r>
      <w:r w:rsidR="00DB6C1C">
        <w:rPr>
          <w:rFonts w:ascii="Arial" w:hAnsi="Arial" w:cs="Arial"/>
        </w:rPr>
        <w:t xml:space="preserve">rather than placing an emphasis on counter-cyclical policy, </w:t>
      </w:r>
      <w:r w:rsidRPr="006A7471">
        <w:rPr>
          <w:rFonts w:ascii="Arial" w:hAnsi="Arial" w:cs="Arial"/>
        </w:rPr>
        <w:t xml:space="preserve">actions in the report are </w:t>
      </w:r>
      <w:r>
        <w:rPr>
          <w:rFonts w:ascii="Arial" w:hAnsi="Arial" w:cs="Arial"/>
        </w:rPr>
        <w:t>focussed</w:t>
      </w:r>
      <w:r w:rsidRPr="006A7471">
        <w:rPr>
          <w:rFonts w:ascii="Arial" w:hAnsi="Arial" w:cs="Arial"/>
        </w:rPr>
        <w:t xml:space="preserve"> </w:t>
      </w:r>
      <w:r>
        <w:rPr>
          <w:rFonts w:ascii="Arial" w:hAnsi="Arial" w:cs="Arial"/>
        </w:rPr>
        <w:t>upon</w:t>
      </w:r>
      <w:r w:rsidRPr="006A7471">
        <w:rPr>
          <w:rFonts w:ascii="Arial" w:hAnsi="Arial" w:cs="Arial"/>
        </w:rPr>
        <w:t xml:space="preserve"> strengthen</w:t>
      </w:r>
      <w:r>
        <w:rPr>
          <w:rFonts w:ascii="Arial" w:hAnsi="Arial" w:cs="Arial"/>
        </w:rPr>
        <w:t xml:space="preserve">ing existing fiscal rules </w:t>
      </w:r>
      <w:r w:rsidR="00DB6C1C">
        <w:rPr>
          <w:rFonts w:ascii="Arial" w:hAnsi="Arial" w:cs="Arial"/>
        </w:rPr>
        <w:t>aimed at</w:t>
      </w:r>
      <w:r w:rsidRPr="006A7471">
        <w:rPr>
          <w:rFonts w:ascii="Arial" w:hAnsi="Arial" w:cs="Arial"/>
        </w:rPr>
        <w:t xml:space="preserve"> debt reduction</w:t>
      </w:r>
      <w:r w:rsidR="00DB6C1C">
        <w:rPr>
          <w:rFonts w:ascii="Arial" w:hAnsi="Arial" w:cs="Arial"/>
        </w:rPr>
        <w:t>.</w:t>
      </w:r>
      <w:r>
        <w:rPr>
          <w:rStyle w:val="FootnoteReference"/>
          <w:rFonts w:ascii="Arial" w:hAnsi="Arial" w:cs="Arial"/>
        </w:rPr>
        <w:footnoteReference w:id="138"/>
      </w:r>
      <w:r w:rsidRPr="006A7471">
        <w:rPr>
          <w:rFonts w:ascii="Arial" w:hAnsi="Arial" w:cs="Arial"/>
        </w:rPr>
        <w:t>‘</w:t>
      </w:r>
      <w:r>
        <w:rPr>
          <w:rFonts w:ascii="Arial" w:hAnsi="Arial" w:cs="Arial"/>
        </w:rPr>
        <w:t xml:space="preserve"> </w:t>
      </w:r>
    </w:p>
    <w:p w:rsidR="006A7471" w:rsidRPr="006A7471" w:rsidRDefault="006A7471" w:rsidP="00E24CFC">
      <w:pPr>
        <w:pStyle w:val="ListParagraph"/>
        <w:tabs>
          <w:tab w:val="num" w:pos="0"/>
        </w:tabs>
        <w:spacing w:before="240" w:after="240" w:line="384" w:lineRule="auto"/>
        <w:ind w:left="0"/>
        <w:contextualSpacing w:val="0"/>
        <w:jc w:val="both"/>
        <w:rPr>
          <w:rFonts w:ascii="Arial" w:hAnsi="Arial" w:cs="Arial"/>
        </w:rPr>
      </w:pPr>
      <w:r w:rsidRPr="006A7471">
        <w:rPr>
          <w:rFonts w:ascii="Arial" w:hAnsi="Arial" w:cs="Arial"/>
        </w:rPr>
        <w:t>The ECB’s role as a lender of last resort is not mentioned in the Five Presidents’ Report. Given the contr</w:t>
      </w:r>
      <w:r w:rsidR="001163CE">
        <w:rPr>
          <w:rFonts w:ascii="Arial" w:hAnsi="Arial" w:cs="Arial"/>
        </w:rPr>
        <w:t>oversial nature of this subject</w:t>
      </w:r>
      <w:r w:rsidRPr="006A7471">
        <w:rPr>
          <w:rFonts w:ascii="Arial" w:hAnsi="Arial" w:cs="Arial"/>
        </w:rPr>
        <w:t xml:space="preserve"> in countries such as Germany, and the success of the Outright Monetary Transactions (OMT) program, the absence of this subject from the Five Presidents’ Report is not of concern.</w:t>
      </w:r>
      <w:r>
        <w:rPr>
          <w:rStyle w:val="FootnoteReference"/>
          <w:rFonts w:ascii="Arial" w:hAnsi="Arial" w:cs="Arial"/>
        </w:rPr>
        <w:footnoteReference w:id="139"/>
      </w:r>
    </w:p>
    <w:p w:rsidR="00344610" w:rsidRPr="00954A13" w:rsidRDefault="00344610" w:rsidP="00E24CFC">
      <w:pPr>
        <w:spacing w:before="240" w:after="240" w:line="384" w:lineRule="auto"/>
        <w:jc w:val="both"/>
        <w:rPr>
          <w:rFonts w:ascii="Arial" w:hAnsi="Arial" w:cs="Arial"/>
          <w:b/>
        </w:rPr>
      </w:pPr>
      <w:r w:rsidRPr="00954A13">
        <w:rPr>
          <w:rFonts w:ascii="Arial" w:hAnsi="Arial" w:cs="Arial"/>
          <w:b/>
        </w:rPr>
        <w:t>Conclusion</w:t>
      </w:r>
    </w:p>
    <w:p w:rsidR="00D1693A" w:rsidRDefault="008D2EBF" w:rsidP="00E24CFC">
      <w:pPr>
        <w:tabs>
          <w:tab w:val="num" w:pos="851"/>
        </w:tabs>
        <w:spacing w:before="240" w:after="240" w:line="384" w:lineRule="auto"/>
        <w:jc w:val="both"/>
        <w:rPr>
          <w:rFonts w:ascii="Arial" w:hAnsi="Arial" w:cs="Arial"/>
        </w:rPr>
      </w:pPr>
      <w:r>
        <w:rPr>
          <w:rFonts w:ascii="Arial" w:hAnsi="Arial" w:cs="Arial"/>
        </w:rPr>
        <w:t xml:space="preserve">The European sovereign debt crisis exposed the fragility of the </w:t>
      </w:r>
      <w:r w:rsidR="00C74FE4">
        <w:rPr>
          <w:rFonts w:ascii="Arial" w:hAnsi="Arial" w:cs="Arial"/>
        </w:rPr>
        <w:t>E</w:t>
      </w:r>
      <w:r>
        <w:rPr>
          <w:rFonts w:ascii="Arial" w:hAnsi="Arial" w:cs="Arial"/>
        </w:rPr>
        <w:t xml:space="preserve">urozone. </w:t>
      </w:r>
      <w:r w:rsidR="00B97F85">
        <w:rPr>
          <w:rFonts w:ascii="Arial" w:hAnsi="Arial" w:cs="Arial"/>
        </w:rPr>
        <w:t xml:space="preserve">While the </w:t>
      </w:r>
      <w:r w:rsidR="00C03AB8">
        <w:rPr>
          <w:rFonts w:ascii="Arial" w:hAnsi="Arial" w:cs="Arial"/>
        </w:rPr>
        <w:t>Five Presidents’ R</w:t>
      </w:r>
      <w:r w:rsidR="00B97F85">
        <w:rPr>
          <w:rFonts w:ascii="Arial" w:hAnsi="Arial" w:cs="Arial"/>
        </w:rPr>
        <w:t xml:space="preserve">eport aims to prevent a similar crisis </w:t>
      </w:r>
      <w:r w:rsidR="00C03AB8">
        <w:rPr>
          <w:rFonts w:ascii="Arial" w:hAnsi="Arial" w:cs="Arial"/>
        </w:rPr>
        <w:t xml:space="preserve">from </w:t>
      </w:r>
      <w:r w:rsidR="00B97F85">
        <w:rPr>
          <w:rFonts w:ascii="Arial" w:hAnsi="Arial" w:cs="Arial"/>
        </w:rPr>
        <w:t xml:space="preserve">occurring in the future, it is </w:t>
      </w:r>
      <w:r w:rsidR="00C03AB8">
        <w:rPr>
          <w:rFonts w:ascii="Arial" w:hAnsi="Arial" w:cs="Arial"/>
        </w:rPr>
        <w:t xml:space="preserve">submitted that the measures proposed do not go far enough </w:t>
      </w:r>
      <w:r w:rsidR="006B119E">
        <w:rPr>
          <w:rFonts w:ascii="Arial" w:hAnsi="Arial" w:cs="Arial"/>
        </w:rPr>
        <w:t>towards</w:t>
      </w:r>
      <w:r w:rsidR="00C03AB8">
        <w:rPr>
          <w:rFonts w:ascii="Arial" w:hAnsi="Arial" w:cs="Arial"/>
        </w:rPr>
        <w:t xml:space="preserve"> establishing financial stability in the </w:t>
      </w:r>
      <w:r w:rsidR="00C74FE4">
        <w:rPr>
          <w:rFonts w:ascii="Arial" w:hAnsi="Arial" w:cs="Arial"/>
        </w:rPr>
        <w:t>E</w:t>
      </w:r>
      <w:r w:rsidR="00C03AB8">
        <w:rPr>
          <w:rFonts w:ascii="Arial" w:hAnsi="Arial" w:cs="Arial"/>
        </w:rPr>
        <w:t>urozone.</w:t>
      </w:r>
      <w:r w:rsidR="00F25379">
        <w:rPr>
          <w:rFonts w:ascii="Arial" w:hAnsi="Arial" w:cs="Arial"/>
        </w:rPr>
        <w:t xml:space="preserve"> In particular, a key criticism of the report has been that </w:t>
      </w:r>
      <w:r w:rsidR="00F25379" w:rsidRPr="006A7471">
        <w:rPr>
          <w:rFonts w:ascii="Arial" w:hAnsi="Arial" w:cs="Arial"/>
        </w:rPr>
        <w:t xml:space="preserve">counter-cyclical policy </w:t>
      </w:r>
      <w:r w:rsidR="00F25379">
        <w:rPr>
          <w:rFonts w:ascii="Arial" w:hAnsi="Arial" w:cs="Arial"/>
        </w:rPr>
        <w:t>has not been</w:t>
      </w:r>
      <w:r w:rsidR="00F25379" w:rsidRPr="006A7471">
        <w:rPr>
          <w:rFonts w:ascii="Arial" w:hAnsi="Arial" w:cs="Arial"/>
        </w:rPr>
        <w:t xml:space="preserve"> the </w:t>
      </w:r>
      <w:r w:rsidR="00F25379">
        <w:rPr>
          <w:rFonts w:ascii="Arial" w:hAnsi="Arial" w:cs="Arial"/>
        </w:rPr>
        <w:t>focus</w:t>
      </w:r>
      <w:r w:rsidR="00F25379" w:rsidRPr="006A7471">
        <w:rPr>
          <w:rFonts w:ascii="Arial" w:hAnsi="Arial" w:cs="Arial"/>
        </w:rPr>
        <w:t xml:space="preserve"> of </w:t>
      </w:r>
      <w:r w:rsidR="00F25379">
        <w:rPr>
          <w:rFonts w:ascii="Arial" w:hAnsi="Arial" w:cs="Arial"/>
        </w:rPr>
        <w:t>the report’s</w:t>
      </w:r>
      <w:r w:rsidR="00F25379" w:rsidRPr="006A7471">
        <w:rPr>
          <w:rFonts w:ascii="Arial" w:hAnsi="Arial" w:cs="Arial"/>
        </w:rPr>
        <w:t xml:space="preserve"> recommendations on fiscal matters</w:t>
      </w:r>
      <w:r w:rsidR="00F25379">
        <w:rPr>
          <w:rFonts w:ascii="Arial" w:hAnsi="Arial" w:cs="Arial"/>
        </w:rPr>
        <w:t>.</w:t>
      </w:r>
      <w:r w:rsidR="00B97F85">
        <w:rPr>
          <w:rFonts w:ascii="Arial" w:hAnsi="Arial" w:cs="Arial"/>
        </w:rPr>
        <w:t xml:space="preserve"> </w:t>
      </w:r>
      <w:r w:rsidR="00BD049C">
        <w:rPr>
          <w:rFonts w:ascii="Arial" w:hAnsi="Arial" w:cs="Arial"/>
        </w:rPr>
        <w:t>Ideally, the report should have presented a clear road map regarding what legal reform</w:t>
      </w:r>
      <w:r w:rsidR="00F25379">
        <w:rPr>
          <w:rFonts w:ascii="Arial" w:hAnsi="Arial" w:cs="Arial"/>
        </w:rPr>
        <w:t>s</w:t>
      </w:r>
      <w:r w:rsidR="00BD049C">
        <w:rPr>
          <w:rFonts w:ascii="Arial" w:hAnsi="Arial" w:cs="Arial"/>
        </w:rPr>
        <w:t xml:space="preserve"> </w:t>
      </w:r>
      <w:r w:rsidR="00F25379">
        <w:rPr>
          <w:rFonts w:ascii="Arial" w:hAnsi="Arial" w:cs="Arial"/>
        </w:rPr>
        <w:t>are</w:t>
      </w:r>
      <w:r w:rsidR="00BD049C">
        <w:rPr>
          <w:rFonts w:ascii="Arial" w:hAnsi="Arial" w:cs="Arial"/>
        </w:rPr>
        <w:t xml:space="preserve"> necessary to ensure the financial stability of the EMU. </w:t>
      </w:r>
      <w:r w:rsidR="00D1693A">
        <w:rPr>
          <w:rFonts w:ascii="Arial" w:hAnsi="Arial" w:cs="Arial"/>
        </w:rPr>
        <w:t>T</w:t>
      </w:r>
      <w:r w:rsidR="003168D2">
        <w:rPr>
          <w:rFonts w:ascii="Arial" w:hAnsi="Arial" w:cs="Arial"/>
        </w:rPr>
        <w:t>he consequence of the limited success of the Four Presidents’ Report to deliver upon its mandate has resulted in the Five Presidents’ Report being less ambitious in the actions it has proposed compared to its predecessor</w:t>
      </w:r>
      <w:r w:rsidR="009C30FA">
        <w:rPr>
          <w:rFonts w:ascii="Arial" w:hAnsi="Arial" w:cs="Arial"/>
        </w:rPr>
        <w:t xml:space="preserve"> reports</w:t>
      </w:r>
      <w:r w:rsidR="003168D2">
        <w:rPr>
          <w:rFonts w:ascii="Arial" w:hAnsi="Arial" w:cs="Arial"/>
        </w:rPr>
        <w:t xml:space="preserve">. </w:t>
      </w:r>
    </w:p>
    <w:p w:rsidR="00E24CFC" w:rsidRDefault="00E24CFC">
      <w:pPr>
        <w:rPr>
          <w:rFonts w:ascii="Arial" w:hAnsi="Arial" w:cs="Arial"/>
        </w:rPr>
      </w:pPr>
      <w:r>
        <w:rPr>
          <w:rFonts w:ascii="Arial" w:hAnsi="Arial" w:cs="Arial"/>
        </w:rPr>
        <w:br w:type="page"/>
      </w:r>
    </w:p>
    <w:p w:rsidR="00666DB7" w:rsidRDefault="00666DB7" w:rsidP="003A5F5A">
      <w:pPr>
        <w:spacing w:before="240" w:after="240" w:line="360" w:lineRule="auto"/>
        <w:jc w:val="both"/>
        <w:rPr>
          <w:rFonts w:ascii="Arial" w:hAnsi="Arial" w:cs="Arial"/>
        </w:rPr>
      </w:pPr>
      <w:r>
        <w:rPr>
          <w:rFonts w:ascii="Arial" w:hAnsi="Arial" w:cs="Arial"/>
        </w:rPr>
        <w:lastRenderedPageBreak/>
        <w:t xml:space="preserve">With regards to those proposed actions that have been analysed in this </w:t>
      </w:r>
      <w:r w:rsidR="002E38D5">
        <w:rPr>
          <w:rFonts w:ascii="Arial" w:hAnsi="Arial" w:cs="Arial"/>
        </w:rPr>
        <w:t>essay</w:t>
      </w:r>
      <w:r>
        <w:rPr>
          <w:rFonts w:ascii="Arial" w:hAnsi="Arial" w:cs="Arial"/>
        </w:rPr>
        <w:t xml:space="preserve"> it is submitted that:</w:t>
      </w:r>
    </w:p>
    <w:p w:rsidR="003A5F5A" w:rsidRPr="003A5F5A" w:rsidRDefault="00666DB7" w:rsidP="003A5F5A">
      <w:pPr>
        <w:pStyle w:val="ListParagraph"/>
        <w:numPr>
          <w:ilvl w:val="0"/>
          <w:numId w:val="40"/>
        </w:numPr>
        <w:spacing w:before="240" w:after="240" w:line="360" w:lineRule="auto"/>
        <w:contextualSpacing w:val="0"/>
        <w:jc w:val="both"/>
        <w:rPr>
          <w:rFonts w:ascii="Arial" w:hAnsi="Arial" w:cs="Arial"/>
        </w:rPr>
      </w:pPr>
      <w:r w:rsidRPr="003A5F5A">
        <w:rPr>
          <w:rFonts w:ascii="Arial" w:hAnsi="Arial" w:cs="Arial"/>
        </w:rPr>
        <w:t xml:space="preserve">the EDIS is an ambitious </w:t>
      </w:r>
      <w:r w:rsidR="003A5F5A" w:rsidRPr="003A5F5A">
        <w:rPr>
          <w:rFonts w:ascii="Arial" w:hAnsi="Arial" w:cs="Arial"/>
        </w:rPr>
        <w:t>proposal that</w:t>
      </w:r>
      <w:r w:rsidRPr="003A5F5A">
        <w:rPr>
          <w:rFonts w:ascii="Arial" w:hAnsi="Arial" w:cs="Arial"/>
        </w:rPr>
        <w:t xml:space="preserve"> will help break the link between banks and sovereigns </w:t>
      </w:r>
      <w:r w:rsidR="00FD1D36" w:rsidRPr="003A5F5A">
        <w:rPr>
          <w:rFonts w:ascii="Arial" w:hAnsi="Arial" w:cs="Arial"/>
        </w:rPr>
        <w:t>which should be supported.</w:t>
      </w:r>
      <w:r w:rsidR="003A5F5A" w:rsidRPr="003A5F5A">
        <w:rPr>
          <w:rFonts w:ascii="Arial" w:hAnsi="Arial" w:cs="Arial"/>
        </w:rPr>
        <w:t xml:space="preserve"> The approval of the SRM Regulation in 2014 demonstrates that the internal market legal basis is appropriate for the implementation of the EDIS.</w:t>
      </w:r>
    </w:p>
    <w:p w:rsidR="003A5F5A" w:rsidRPr="003A5F5A" w:rsidRDefault="00666DB7" w:rsidP="003A5F5A">
      <w:pPr>
        <w:pStyle w:val="ListParagraph"/>
        <w:numPr>
          <w:ilvl w:val="0"/>
          <w:numId w:val="40"/>
        </w:numPr>
        <w:tabs>
          <w:tab w:val="num" w:pos="851"/>
        </w:tabs>
        <w:spacing w:before="240" w:after="240" w:line="360" w:lineRule="auto"/>
        <w:contextualSpacing w:val="0"/>
        <w:jc w:val="both"/>
        <w:rPr>
          <w:rFonts w:ascii="Arial" w:hAnsi="Arial" w:cs="Arial"/>
        </w:rPr>
      </w:pPr>
      <w:r w:rsidRPr="003A5F5A">
        <w:rPr>
          <w:rFonts w:ascii="Arial" w:hAnsi="Arial" w:cs="Arial"/>
        </w:rPr>
        <w:t xml:space="preserve">the creation of the EFB </w:t>
      </w:r>
      <w:r w:rsidR="00C03AB8" w:rsidRPr="003A5F5A">
        <w:rPr>
          <w:rFonts w:ascii="Arial" w:hAnsi="Arial" w:cs="Arial"/>
        </w:rPr>
        <w:t xml:space="preserve">should </w:t>
      </w:r>
      <w:r w:rsidRPr="003A5F5A">
        <w:rPr>
          <w:rFonts w:ascii="Arial" w:hAnsi="Arial" w:cs="Arial"/>
        </w:rPr>
        <w:t>help to ensure that existing fiscal rules are followed that aim to achieve long-term public debt sustainability</w:t>
      </w:r>
      <w:r w:rsidR="00C03AB8" w:rsidRPr="003A5F5A">
        <w:rPr>
          <w:rFonts w:ascii="Arial" w:hAnsi="Arial" w:cs="Arial"/>
        </w:rPr>
        <w:t>. However</w:t>
      </w:r>
      <w:r w:rsidRPr="003A5F5A">
        <w:rPr>
          <w:rFonts w:ascii="Arial" w:hAnsi="Arial" w:cs="Arial"/>
        </w:rPr>
        <w:t xml:space="preserve"> it is doubtful whether the EFB will have enough independence and power to make meaningful progress towards the counter</w:t>
      </w:r>
      <w:r w:rsidR="00277B7C">
        <w:rPr>
          <w:rFonts w:ascii="Arial" w:hAnsi="Arial" w:cs="Arial"/>
        </w:rPr>
        <w:t>-</w:t>
      </w:r>
      <w:r w:rsidRPr="003A5F5A">
        <w:rPr>
          <w:rFonts w:ascii="Arial" w:hAnsi="Arial" w:cs="Arial"/>
        </w:rPr>
        <w:t>cyclical fiscal policy objective.</w:t>
      </w:r>
      <w:r w:rsidR="003A5F5A" w:rsidRPr="003A5F5A">
        <w:rPr>
          <w:rFonts w:ascii="Arial" w:hAnsi="Arial" w:cs="Arial"/>
        </w:rPr>
        <w:t xml:space="preserve"> It is submitted that Article 121 of the </w:t>
      </w:r>
      <w:r w:rsidR="003A5F5A" w:rsidRPr="003A5F5A">
        <w:rPr>
          <w:rFonts w:ascii="Arial" w:hAnsi="Arial" w:cs="Arial"/>
          <w:i/>
        </w:rPr>
        <w:t xml:space="preserve">TFEU </w:t>
      </w:r>
      <w:r w:rsidR="003A5F5A" w:rsidRPr="003A5F5A">
        <w:rPr>
          <w:rFonts w:ascii="Arial" w:hAnsi="Arial" w:cs="Arial"/>
        </w:rPr>
        <w:t xml:space="preserve">needs to be amended such that the EFB reports directly to the Council, rather than through the Commission. </w:t>
      </w:r>
    </w:p>
    <w:p w:rsidR="00666DB7" w:rsidRPr="009E3118" w:rsidRDefault="00247D37" w:rsidP="003A5F5A">
      <w:pPr>
        <w:pStyle w:val="ListParagraph"/>
        <w:numPr>
          <w:ilvl w:val="0"/>
          <w:numId w:val="38"/>
        </w:numPr>
        <w:spacing w:before="240" w:after="240" w:line="360" w:lineRule="auto"/>
        <w:ind w:left="851" w:hanging="284"/>
        <w:contextualSpacing w:val="0"/>
        <w:jc w:val="both"/>
        <w:rPr>
          <w:rFonts w:ascii="Arial" w:hAnsi="Arial" w:cs="Arial"/>
        </w:rPr>
      </w:pPr>
      <w:r>
        <w:rPr>
          <w:rFonts w:ascii="Arial" w:hAnsi="Arial" w:cs="Arial"/>
        </w:rPr>
        <w:t>a</w:t>
      </w:r>
      <w:r w:rsidR="00666DB7">
        <w:rPr>
          <w:rFonts w:ascii="Arial" w:hAnsi="Arial" w:cs="Arial"/>
        </w:rPr>
        <w:t xml:space="preserve"> Euro</w:t>
      </w:r>
      <w:r w:rsidR="00C74FE4">
        <w:rPr>
          <w:rFonts w:ascii="Arial" w:hAnsi="Arial" w:cs="Arial"/>
        </w:rPr>
        <w:t>zone</w:t>
      </w:r>
      <w:r w:rsidR="00666DB7">
        <w:rPr>
          <w:rFonts w:ascii="Arial" w:hAnsi="Arial" w:cs="Arial"/>
        </w:rPr>
        <w:t xml:space="preserve"> Treasury may be </w:t>
      </w:r>
      <w:r w:rsidR="009C30FA">
        <w:rPr>
          <w:rFonts w:ascii="Arial" w:hAnsi="Arial" w:cs="Arial"/>
        </w:rPr>
        <w:t>one</w:t>
      </w:r>
      <w:r w:rsidR="00666DB7">
        <w:rPr>
          <w:rFonts w:ascii="Arial" w:hAnsi="Arial" w:cs="Arial"/>
        </w:rPr>
        <w:t xml:space="preserve"> means by which </w:t>
      </w:r>
      <w:r w:rsidR="00820FBF">
        <w:rPr>
          <w:rFonts w:ascii="Arial" w:hAnsi="Arial" w:cs="Arial"/>
        </w:rPr>
        <w:t xml:space="preserve">further integration and growth </w:t>
      </w:r>
      <w:r w:rsidR="00666DB7">
        <w:rPr>
          <w:rFonts w:ascii="Arial" w:hAnsi="Arial" w:cs="Arial"/>
        </w:rPr>
        <w:t xml:space="preserve">could be accomplished for the </w:t>
      </w:r>
      <w:r w:rsidR="00C74FE4">
        <w:rPr>
          <w:rFonts w:ascii="Arial" w:hAnsi="Arial" w:cs="Arial"/>
        </w:rPr>
        <w:t>Euroz</w:t>
      </w:r>
      <w:r w:rsidR="00666DB7">
        <w:rPr>
          <w:rFonts w:ascii="Arial" w:hAnsi="Arial" w:cs="Arial"/>
        </w:rPr>
        <w:t>one. However not enough attention was focussed upon</w:t>
      </w:r>
      <w:r w:rsidR="00E24CFC">
        <w:rPr>
          <w:rFonts w:ascii="Arial" w:hAnsi="Arial" w:cs="Arial"/>
        </w:rPr>
        <w:t xml:space="preserve"> the legal </w:t>
      </w:r>
      <w:r w:rsidR="003A5F5A">
        <w:rPr>
          <w:rFonts w:ascii="Arial" w:hAnsi="Arial" w:cs="Arial"/>
        </w:rPr>
        <w:t>reforms required to progress</w:t>
      </w:r>
      <w:r w:rsidR="00666DB7">
        <w:rPr>
          <w:rFonts w:ascii="Arial" w:hAnsi="Arial" w:cs="Arial"/>
        </w:rPr>
        <w:t xml:space="preserve"> this initiative in the Five Presidents’ Report.</w:t>
      </w:r>
    </w:p>
    <w:p w:rsidR="004123CC" w:rsidRDefault="00DF0834" w:rsidP="003A5F5A">
      <w:pPr>
        <w:spacing w:before="240" w:after="240" w:line="360" w:lineRule="auto"/>
        <w:jc w:val="both"/>
        <w:rPr>
          <w:rFonts w:ascii="Arial" w:hAnsi="Arial" w:cs="Arial"/>
        </w:rPr>
      </w:pPr>
      <w:r>
        <w:rPr>
          <w:rFonts w:ascii="Arial" w:hAnsi="Arial" w:cs="Arial"/>
        </w:rPr>
        <w:t>I</w:t>
      </w:r>
      <w:r w:rsidR="00D1693A" w:rsidRPr="00D1693A">
        <w:rPr>
          <w:rFonts w:ascii="Arial" w:hAnsi="Arial" w:cs="Arial"/>
        </w:rPr>
        <w:t xml:space="preserve">n light of the European sovereign debt crisis, an opportunity was </w:t>
      </w:r>
      <w:r w:rsidR="00277B7C">
        <w:rPr>
          <w:rFonts w:ascii="Arial" w:hAnsi="Arial" w:cs="Arial"/>
        </w:rPr>
        <w:t xml:space="preserve">again </w:t>
      </w:r>
      <w:r w:rsidR="00D1693A" w:rsidRPr="00D1693A">
        <w:rPr>
          <w:rFonts w:ascii="Arial" w:hAnsi="Arial" w:cs="Arial"/>
        </w:rPr>
        <w:t>missed by the Five Presidents’ Report to bring about significant reform</w:t>
      </w:r>
      <w:r w:rsidR="00FD1D36">
        <w:rPr>
          <w:rFonts w:ascii="Arial" w:hAnsi="Arial" w:cs="Arial"/>
        </w:rPr>
        <w:t>.</w:t>
      </w:r>
      <w:r w:rsidR="00D1693A" w:rsidRPr="00D1693A">
        <w:rPr>
          <w:rFonts w:ascii="Arial" w:hAnsi="Arial" w:cs="Arial"/>
        </w:rPr>
        <w:t xml:space="preserve"> </w:t>
      </w:r>
      <w:r w:rsidR="00FD1D36">
        <w:rPr>
          <w:rFonts w:ascii="Arial" w:hAnsi="Arial" w:cs="Arial"/>
        </w:rPr>
        <w:t>However, i</w:t>
      </w:r>
      <w:r w:rsidR="00D1693A">
        <w:rPr>
          <w:rFonts w:ascii="Arial" w:hAnsi="Arial" w:cs="Arial"/>
        </w:rPr>
        <w:t xml:space="preserve">t is </w:t>
      </w:r>
      <w:r w:rsidR="005960CF">
        <w:rPr>
          <w:rFonts w:ascii="Arial" w:hAnsi="Arial" w:cs="Arial"/>
        </w:rPr>
        <w:t>recognised</w:t>
      </w:r>
      <w:r w:rsidR="00D1693A">
        <w:rPr>
          <w:rFonts w:ascii="Arial" w:hAnsi="Arial" w:cs="Arial"/>
        </w:rPr>
        <w:t xml:space="preserve"> that a number of countries, including Germany, will oppose </w:t>
      </w:r>
      <w:r w:rsidR="00FD1D36">
        <w:rPr>
          <w:rFonts w:ascii="Arial" w:hAnsi="Arial" w:cs="Arial"/>
        </w:rPr>
        <w:t>proposal</w:t>
      </w:r>
      <w:r w:rsidR="00C03AB8">
        <w:rPr>
          <w:rFonts w:ascii="Arial" w:hAnsi="Arial" w:cs="Arial"/>
        </w:rPr>
        <w:t>s</w:t>
      </w:r>
      <w:r w:rsidR="00FD1D36">
        <w:rPr>
          <w:rFonts w:ascii="Arial" w:hAnsi="Arial" w:cs="Arial"/>
        </w:rPr>
        <w:t xml:space="preserve"> that result in </w:t>
      </w:r>
      <w:r w:rsidR="00D1693A">
        <w:rPr>
          <w:rFonts w:ascii="Arial" w:hAnsi="Arial" w:cs="Arial"/>
        </w:rPr>
        <w:t xml:space="preserve">the transfer of </w:t>
      </w:r>
      <w:r w:rsidR="00FD1D36">
        <w:rPr>
          <w:rFonts w:ascii="Arial" w:hAnsi="Arial" w:cs="Arial"/>
        </w:rPr>
        <w:t>power</w:t>
      </w:r>
      <w:r w:rsidR="00D1693A">
        <w:rPr>
          <w:rFonts w:ascii="Arial" w:hAnsi="Arial" w:cs="Arial"/>
        </w:rPr>
        <w:t xml:space="preserve"> to EU institutions</w:t>
      </w:r>
      <w:r w:rsidR="00FD1D36">
        <w:rPr>
          <w:rFonts w:ascii="Arial" w:hAnsi="Arial" w:cs="Arial"/>
        </w:rPr>
        <w:t>.</w:t>
      </w:r>
      <w:r w:rsidR="00D1693A">
        <w:rPr>
          <w:rFonts w:ascii="Arial" w:hAnsi="Arial" w:cs="Arial"/>
        </w:rPr>
        <w:t xml:space="preserve"> </w:t>
      </w:r>
      <w:r w:rsidR="00FD1D36">
        <w:rPr>
          <w:rFonts w:ascii="Arial" w:hAnsi="Arial" w:cs="Arial"/>
        </w:rPr>
        <w:t xml:space="preserve">This will likely be demonstrated </w:t>
      </w:r>
      <w:r w:rsidR="005960CF">
        <w:rPr>
          <w:rFonts w:ascii="Arial" w:hAnsi="Arial" w:cs="Arial"/>
        </w:rPr>
        <w:t>with regards to</w:t>
      </w:r>
      <w:r w:rsidR="00FD1D36">
        <w:rPr>
          <w:rFonts w:ascii="Arial" w:hAnsi="Arial" w:cs="Arial"/>
        </w:rPr>
        <w:t xml:space="preserve"> the </w:t>
      </w:r>
      <w:r w:rsidR="005960CF">
        <w:rPr>
          <w:rFonts w:ascii="Arial" w:hAnsi="Arial" w:cs="Arial"/>
        </w:rPr>
        <w:t>proposed implementation of the EDIS</w:t>
      </w:r>
      <w:r w:rsidR="00FD1D36">
        <w:rPr>
          <w:rFonts w:ascii="Arial" w:hAnsi="Arial" w:cs="Arial"/>
        </w:rPr>
        <w:t xml:space="preserve">. Consequently, the measured approach taken in the Five Presidents’ Report can be accepted </w:t>
      </w:r>
      <w:r w:rsidR="004123CC">
        <w:rPr>
          <w:rFonts w:ascii="Arial" w:hAnsi="Arial" w:cs="Arial"/>
        </w:rPr>
        <w:t xml:space="preserve">as a strategic decision made to </w:t>
      </w:r>
      <w:r w:rsidR="005960CF">
        <w:rPr>
          <w:rFonts w:ascii="Arial" w:hAnsi="Arial" w:cs="Arial"/>
        </w:rPr>
        <w:t>maintain momentum</w:t>
      </w:r>
      <w:r w:rsidR="004123CC">
        <w:rPr>
          <w:rFonts w:ascii="Arial" w:hAnsi="Arial" w:cs="Arial"/>
        </w:rPr>
        <w:t xml:space="preserve"> towards reforming the </w:t>
      </w:r>
      <w:r>
        <w:rPr>
          <w:rFonts w:ascii="Arial" w:hAnsi="Arial" w:cs="Arial"/>
        </w:rPr>
        <w:t>economic</w:t>
      </w:r>
      <w:r w:rsidR="004123CC">
        <w:rPr>
          <w:rFonts w:ascii="Arial" w:hAnsi="Arial" w:cs="Arial"/>
        </w:rPr>
        <w:t xml:space="preserve"> architecture of the </w:t>
      </w:r>
      <w:r w:rsidR="00C74FE4">
        <w:rPr>
          <w:rFonts w:ascii="Arial" w:hAnsi="Arial" w:cs="Arial"/>
        </w:rPr>
        <w:t>Euro</w:t>
      </w:r>
      <w:r w:rsidR="004123CC">
        <w:rPr>
          <w:rFonts w:ascii="Arial" w:hAnsi="Arial" w:cs="Arial"/>
        </w:rPr>
        <w:t>zone.</w:t>
      </w:r>
    </w:p>
    <w:p w:rsidR="00E24CFC" w:rsidRDefault="00E24CFC">
      <w:pPr>
        <w:rPr>
          <w:rFonts w:ascii="Arial" w:hAnsi="Arial" w:cs="Arial"/>
          <w:b/>
        </w:rPr>
      </w:pPr>
      <w:r>
        <w:rPr>
          <w:rFonts w:ascii="Arial" w:hAnsi="Arial" w:cs="Arial"/>
          <w:b/>
        </w:rPr>
        <w:br w:type="page"/>
      </w:r>
    </w:p>
    <w:p w:rsidR="00495BC4" w:rsidRPr="00C340E9" w:rsidRDefault="005B4200" w:rsidP="00A47EF2">
      <w:pPr>
        <w:tabs>
          <w:tab w:val="num" w:pos="993"/>
          <w:tab w:val="left" w:pos="6508"/>
        </w:tabs>
        <w:spacing w:before="240" w:after="240" w:line="360" w:lineRule="auto"/>
        <w:jc w:val="center"/>
        <w:rPr>
          <w:rFonts w:ascii="Arial" w:hAnsi="Arial" w:cs="Arial"/>
          <w:b/>
        </w:rPr>
      </w:pPr>
      <w:r w:rsidRPr="00C340E9">
        <w:rPr>
          <w:rFonts w:ascii="Arial" w:hAnsi="Arial" w:cs="Arial"/>
          <w:b/>
        </w:rPr>
        <w:lastRenderedPageBreak/>
        <w:t>Bibliography</w:t>
      </w:r>
    </w:p>
    <w:p w:rsidR="00A26355" w:rsidRPr="00C340E9" w:rsidRDefault="00A26355" w:rsidP="00A47EF2">
      <w:pPr>
        <w:tabs>
          <w:tab w:val="num" w:pos="426"/>
        </w:tabs>
        <w:spacing w:before="240" w:after="240" w:line="360" w:lineRule="auto"/>
        <w:jc w:val="center"/>
        <w:rPr>
          <w:rFonts w:ascii="Arial" w:hAnsi="Arial" w:cs="Arial"/>
          <w:b/>
        </w:rPr>
      </w:pPr>
      <w:r w:rsidRPr="00C340E9">
        <w:rPr>
          <w:rFonts w:ascii="Arial" w:hAnsi="Arial" w:cs="Arial"/>
          <w:b/>
        </w:rPr>
        <w:t>A</w:t>
      </w:r>
      <w:r w:rsidRPr="00C340E9">
        <w:rPr>
          <w:rFonts w:ascii="Arial" w:hAnsi="Arial" w:cs="Arial"/>
          <w:b/>
        </w:rPr>
        <w:tab/>
        <w:t>Articles/Books/Reports</w:t>
      </w:r>
    </w:p>
    <w:p w:rsidR="006F57DF" w:rsidRDefault="006F57DF" w:rsidP="00B04220">
      <w:pPr>
        <w:tabs>
          <w:tab w:val="num" w:pos="426"/>
        </w:tabs>
        <w:spacing w:before="120" w:after="120" w:line="360" w:lineRule="auto"/>
        <w:rPr>
          <w:rFonts w:ascii="Arial" w:hAnsi="Arial" w:cs="Arial"/>
        </w:rPr>
      </w:pPr>
      <w:r w:rsidRPr="0060082E">
        <w:rPr>
          <w:rFonts w:ascii="Arial" w:hAnsi="Arial" w:cs="Arial"/>
        </w:rPr>
        <w:t>Barbiero</w:t>
      </w:r>
      <w:r>
        <w:rPr>
          <w:rFonts w:ascii="Arial" w:hAnsi="Arial" w:cs="Arial"/>
        </w:rPr>
        <w:t>, Francesca</w:t>
      </w:r>
      <w:r w:rsidRPr="0060082E">
        <w:rPr>
          <w:rFonts w:ascii="Arial" w:hAnsi="Arial" w:cs="Arial"/>
        </w:rPr>
        <w:t xml:space="preserve"> and Zsolt Darvas, </w:t>
      </w:r>
      <w:r w:rsidRPr="0060082E">
        <w:rPr>
          <w:rFonts w:ascii="Arial" w:hAnsi="Arial" w:cs="Arial"/>
          <w:i/>
        </w:rPr>
        <w:t xml:space="preserve">In Sickness and in Health: Protecting and Supporting Public Investment in Europe </w:t>
      </w:r>
      <w:r>
        <w:rPr>
          <w:rFonts w:ascii="Arial" w:hAnsi="Arial" w:cs="Arial"/>
        </w:rPr>
        <w:t>Bruegel &lt;</w:t>
      </w:r>
      <w:r w:rsidRPr="006F57DF">
        <w:rPr>
          <w:rStyle w:val="Hyperlink"/>
          <w:rFonts w:ascii="Arial" w:hAnsi="Arial" w:cs="Arial"/>
        </w:rPr>
        <w:t>http://bruegel.org/2014/02/in-sickness-and-in-health-protecting-and-supporting-public-investment-in-europe/</w:t>
      </w:r>
      <w:r w:rsidRPr="0060082E">
        <w:rPr>
          <w:rFonts w:ascii="Arial" w:hAnsi="Arial" w:cs="Arial"/>
        </w:rPr>
        <w:t>&gt;</w:t>
      </w:r>
    </w:p>
    <w:p w:rsidR="00CD33E3" w:rsidRDefault="00CD33E3" w:rsidP="00B04220">
      <w:pPr>
        <w:tabs>
          <w:tab w:val="num" w:pos="426"/>
        </w:tabs>
        <w:spacing w:before="120" w:after="120" w:line="360" w:lineRule="auto"/>
        <w:rPr>
          <w:rFonts w:ascii="Arial" w:hAnsi="Arial" w:cs="Arial"/>
        </w:rPr>
      </w:pPr>
      <w:r w:rsidRPr="008E0D0C">
        <w:rPr>
          <w:rFonts w:ascii="Arial" w:hAnsi="Arial" w:cs="Arial"/>
        </w:rPr>
        <w:t>Begg,</w:t>
      </w:r>
      <w:r>
        <w:rPr>
          <w:rFonts w:ascii="Arial" w:hAnsi="Arial" w:cs="Arial"/>
        </w:rPr>
        <w:t xml:space="preserve"> Iain,</w:t>
      </w:r>
      <w:r w:rsidRPr="008E0D0C">
        <w:rPr>
          <w:rFonts w:ascii="Arial" w:hAnsi="Arial" w:cs="Arial"/>
        </w:rPr>
        <w:t xml:space="preserve"> </w:t>
      </w:r>
      <w:r w:rsidRPr="008E0D0C">
        <w:rPr>
          <w:rFonts w:ascii="Arial" w:hAnsi="Arial" w:cs="Arial"/>
          <w:i/>
        </w:rPr>
        <w:t>What does the Five Presidents’ Report mean for the Future of the Euro?</w:t>
      </w:r>
      <w:r w:rsidRPr="008E0D0C">
        <w:rPr>
          <w:rFonts w:ascii="Arial" w:hAnsi="Arial" w:cs="Arial"/>
        </w:rPr>
        <w:t xml:space="preserve"> The London School of Political Sciences &lt;</w:t>
      </w:r>
      <w:hyperlink r:id="rId10" w:history="1">
        <w:r w:rsidRPr="008E0D0C">
          <w:rPr>
            <w:rStyle w:val="Hyperlink"/>
            <w:rFonts w:ascii="Arial" w:hAnsi="Arial" w:cs="Arial"/>
          </w:rPr>
          <w:t>http://blogs.lse.ac.uk/europpblog/2015/06/23/what-does-the-five-presidents-report-mean-for-the-future-of-the-euro/</w:t>
        </w:r>
      </w:hyperlink>
      <w:r>
        <w:rPr>
          <w:rFonts w:ascii="Arial" w:hAnsi="Arial" w:cs="Arial"/>
        </w:rPr>
        <w:t>&gt;</w:t>
      </w:r>
    </w:p>
    <w:p w:rsidR="00010F10" w:rsidRDefault="00010F10" w:rsidP="00B04220">
      <w:pPr>
        <w:tabs>
          <w:tab w:val="num" w:pos="426"/>
        </w:tabs>
        <w:spacing w:before="120" w:after="120" w:line="360" w:lineRule="auto"/>
        <w:rPr>
          <w:rFonts w:ascii="Arial" w:hAnsi="Arial" w:cs="Arial"/>
        </w:rPr>
      </w:pPr>
      <w:r w:rsidRPr="0060082E">
        <w:rPr>
          <w:rFonts w:ascii="Arial" w:hAnsi="Arial" w:cs="Arial"/>
        </w:rPr>
        <w:t>Claeys</w:t>
      </w:r>
      <w:r>
        <w:rPr>
          <w:rFonts w:ascii="Arial" w:hAnsi="Arial" w:cs="Arial"/>
        </w:rPr>
        <w:t>, Gregory</w:t>
      </w:r>
      <w:r w:rsidRPr="0060082E">
        <w:rPr>
          <w:rFonts w:ascii="Arial" w:hAnsi="Arial" w:cs="Arial"/>
        </w:rPr>
        <w:t>,</w:t>
      </w:r>
      <w:r>
        <w:rPr>
          <w:rFonts w:ascii="Arial" w:hAnsi="Arial" w:cs="Arial"/>
        </w:rPr>
        <w:t xml:space="preserve"> Zsolt Darvas and Alvaro Leandro,</w:t>
      </w:r>
      <w:r w:rsidRPr="0060082E">
        <w:rPr>
          <w:rFonts w:ascii="Arial" w:hAnsi="Arial" w:cs="Arial"/>
        </w:rPr>
        <w:t xml:space="preserve"> </w:t>
      </w:r>
      <w:r w:rsidRPr="0060082E">
        <w:rPr>
          <w:rFonts w:ascii="Arial" w:hAnsi="Arial" w:cs="Arial"/>
          <w:i/>
        </w:rPr>
        <w:t xml:space="preserve">A Proposal to Revive the European Fiscal Framework </w:t>
      </w:r>
      <w:r w:rsidRPr="0060082E">
        <w:rPr>
          <w:rFonts w:ascii="Arial" w:hAnsi="Arial" w:cs="Arial"/>
        </w:rPr>
        <w:t>(March 2016) Bruegel, 16 &lt;</w:t>
      </w:r>
      <w:hyperlink r:id="rId11" w:history="1">
        <w:r w:rsidRPr="0060082E">
          <w:rPr>
            <w:rStyle w:val="Hyperlink"/>
            <w:rFonts w:ascii="Arial" w:hAnsi="Arial" w:cs="Arial"/>
          </w:rPr>
          <w:t>http://bruegel.org/2016/03/a-proposal-to-revive-the-european-fiscal-framework/</w:t>
        </w:r>
      </w:hyperlink>
      <w:r>
        <w:rPr>
          <w:rFonts w:ascii="Arial" w:hAnsi="Arial" w:cs="Arial"/>
        </w:rPr>
        <w:t>&gt;</w:t>
      </w:r>
    </w:p>
    <w:p w:rsidR="00B04220" w:rsidRDefault="00B04220" w:rsidP="00B04220">
      <w:pPr>
        <w:tabs>
          <w:tab w:val="num" w:pos="426"/>
        </w:tabs>
        <w:spacing w:before="120" w:after="120" w:line="360" w:lineRule="auto"/>
        <w:rPr>
          <w:rFonts w:ascii="Arial" w:hAnsi="Arial" w:cs="Arial"/>
        </w:rPr>
      </w:pPr>
      <w:r w:rsidRPr="003A4602">
        <w:rPr>
          <w:rFonts w:ascii="Arial" w:hAnsi="Arial" w:cs="Arial"/>
        </w:rPr>
        <w:t xml:space="preserve">Euro Summit, </w:t>
      </w:r>
      <w:r w:rsidRPr="003A4602">
        <w:rPr>
          <w:rFonts w:ascii="Arial" w:hAnsi="Arial" w:cs="Arial"/>
          <w:i/>
        </w:rPr>
        <w:t xml:space="preserve">Euro Summit Statement </w:t>
      </w:r>
      <w:r w:rsidRPr="003A4602">
        <w:rPr>
          <w:rFonts w:ascii="Arial" w:hAnsi="Arial" w:cs="Arial"/>
        </w:rPr>
        <w:t>(26 October 2011) &lt;</w:t>
      </w:r>
      <w:hyperlink r:id="rId12" w:history="1">
        <w:r w:rsidRPr="003A4602">
          <w:rPr>
            <w:rStyle w:val="Hyperlink"/>
            <w:rFonts w:ascii="Arial" w:hAnsi="Arial" w:cs="Arial"/>
          </w:rPr>
          <w:t>http://www.consilium.europa.eu/uedocs/cms_Data/docs/pressdata/en/ec/125644.pdf</w:t>
        </w:r>
      </w:hyperlink>
      <w:r>
        <w:rPr>
          <w:rFonts w:ascii="Arial" w:hAnsi="Arial" w:cs="Arial"/>
        </w:rPr>
        <w:t>&gt;</w:t>
      </w:r>
    </w:p>
    <w:p w:rsidR="0097429A" w:rsidRDefault="0097429A" w:rsidP="001808FF">
      <w:pPr>
        <w:tabs>
          <w:tab w:val="num" w:pos="426"/>
        </w:tabs>
        <w:spacing w:before="120" w:after="120" w:line="360" w:lineRule="auto"/>
        <w:jc w:val="both"/>
        <w:rPr>
          <w:rFonts w:ascii="Arial" w:hAnsi="Arial" w:cs="Arial"/>
        </w:rPr>
      </w:pPr>
      <w:r w:rsidRPr="00C340E9">
        <w:rPr>
          <w:rFonts w:ascii="Arial" w:hAnsi="Arial" w:cs="Arial"/>
        </w:rPr>
        <w:t xml:space="preserve">European Commission, </w:t>
      </w:r>
      <w:r w:rsidRPr="00C340E9">
        <w:rPr>
          <w:rFonts w:ascii="Arial" w:hAnsi="Arial" w:cs="Arial"/>
          <w:i/>
        </w:rPr>
        <w:t>A Blueprint for a Deep and Genuine Economic and Monetary Debate, Launching a European Debate</w:t>
      </w:r>
      <w:r>
        <w:rPr>
          <w:rFonts w:ascii="Arial" w:hAnsi="Arial" w:cs="Arial"/>
          <w:i/>
        </w:rPr>
        <w:t xml:space="preserve"> </w:t>
      </w:r>
      <w:r>
        <w:rPr>
          <w:rFonts w:ascii="Arial" w:hAnsi="Arial" w:cs="Arial"/>
        </w:rPr>
        <w:t>(28 November 2012)</w:t>
      </w:r>
    </w:p>
    <w:p w:rsidR="00593378" w:rsidRPr="002D33DB" w:rsidRDefault="00593378" w:rsidP="002D33DB">
      <w:pPr>
        <w:tabs>
          <w:tab w:val="num" w:pos="426"/>
        </w:tabs>
        <w:spacing w:before="120" w:after="120" w:line="360" w:lineRule="auto"/>
        <w:rPr>
          <w:rFonts w:ascii="Arial" w:hAnsi="Arial" w:cs="Arial"/>
        </w:rPr>
      </w:pPr>
      <w:r w:rsidRPr="002D33DB">
        <w:rPr>
          <w:rFonts w:ascii="Arial" w:hAnsi="Arial" w:cs="Arial"/>
        </w:rPr>
        <w:t xml:space="preserve">European Commission, </w:t>
      </w:r>
      <w:r w:rsidRPr="002D33DB">
        <w:rPr>
          <w:rFonts w:ascii="Arial" w:hAnsi="Arial" w:cs="Arial"/>
          <w:i/>
        </w:rPr>
        <w:t xml:space="preserve">A European Deposit Insurance Scheme (EDIS) – Frequently Asked Questions, </w:t>
      </w:r>
      <w:r w:rsidRPr="002D33DB">
        <w:rPr>
          <w:rFonts w:ascii="Arial" w:hAnsi="Arial" w:cs="Arial"/>
        </w:rPr>
        <w:t xml:space="preserve">3 (24 November 2015) &lt; </w:t>
      </w:r>
      <w:hyperlink r:id="rId13" w:history="1">
        <w:r w:rsidR="000A2B80" w:rsidRPr="002D33DB">
          <w:rPr>
            <w:rStyle w:val="Hyperlink"/>
            <w:rFonts w:ascii="Arial" w:hAnsi="Arial" w:cs="Arial"/>
          </w:rPr>
          <w:t>http://europa.eu/rapid/press-release_MEMO-15-6153_en.htm</w:t>
        </w:r>
      </w:hyperlink>
      <w:r w:rsidR="00DC6F9F" w:rsidRPr="002D33DB">
        <w:rPr>
          <w:rFonts w:ascii="Arial" w:hAnsi="Arial" w:cs="Arial"/>
        </w:rPr>
        <w:t>&gt;</w:t>
      </w:r>
    </w:p>
    <w:p w:rsidR="000A2B80" w:rsidRPr="002D33DB" w:rsidRDefault="000A2B80" w:rsidP="002D33DB">
      <w:pPr>
        <w:tabs>
          <w:tab w:val="num" w:pos="426"/>
        </w:tabs>
        <w:spacing w:before="120" w:after="120" w:line="360" w:lineRule="auto"/>
        <w:rPr>
          <w:rFonts w:ascii="Arial" w:hAnsi="Arial" w:cs="Arial"/>
        </w:rPr>
      </w:pPr>
      <w:r w:rsidRPr="002D33DB">
        <w:rPr>
          <w:rFonts w:ascii="Arial" w:hAnsi="Arial" w:cs="Arial"/>
        </w:rPr>
        <w:t xml:space="preserve">European Commission, </w:t>
      </w:r>
      <w:r w:rsidRPr="002D33DB">
        <w:rPr>
          <w:rFonts w:ascii="Arial" w:hAnsi="Arial" w:cs="Arial"/>
          <w:i/>
        </w:rPr>
        <w:t>Completing Europe’s Economic and Monetary Union: An Advisory European Fiscal Board &lt;</w:t>
      </w:r>
      <w:hyperlink r:id="rId14" w:history="1">
        <w:r w:rsidRPr="002D33DB">
          <w:rPr>
            <w:rStyle w:val="Hyperlink"/>
            <w:rFonts w:ascii="Arial" w:hAnsi="Arial" w:cs="Arial"/>
          </w:rPr>
          <w:t>https://ec.europa.eu/priorities/sites/beta-political/files/factsheet-efb_en.pdf</w:t>
        </w:r>
      </w:hyperlink>
      <w:r w:rsidRPr="002D33DB">
        <w:rPr>
          <w:rFonts w:ascii="Arial" w:hAnsi="Arial" w:cs="Arial"/>
        </w:rPr>
        <w:t>&gt;</w:t>
      </w:r>
    </w:p>
    <w:p w:rsidR="00FD3AF6" w:rsidRPr="002D33DB" w:rsidRDefault="00FD3AF6" w:rsidP="002D33DB">
      <w:pPr>
        <w:tabs>
          <w:tab w:val="num" w:pos="426"/>
        </w:tabs>
        <w:spacing w:before="120" w:after="120" w:line="360" w:lineRule="auto"/>
        <w:jc w:val="both"/>
        <w:rPr>
          <w:rFonts w:ascii="Arial" w:hAnsi="Arial" w:cs="Arial"/>
        </w:rPr>
      </w:pPr>
      <w:r w:rsidRPr="002D33DB">
        <w:rPr>
          <w:rFonts w:ascii="Arial" w:hAnsi="Arial" w:cs="Arial"/>
        </w:rPr>
        <w:t xml:space="preserve">European Commission, </w:t>
      </w:r>
      <w:r w:rsidRPr="002D33DB">
        <w:rPr>
          <w:rFonts w:ascii="Arial" w:hAnsi="Arial" w:cs="Arial"/>
          <w:i/>
        </w:rPr>
        <w:t xml:space="preserve">Towards a European Deposit Insurance Scheme </w:t>
      </w:r>
      <w:r w:rsidRPr="002D33DB">
        <w:rPr>
          <w:rFonts w:ascii="Arial" w:hAnsi="Arial" w:cs="Arial"/>
        </w:rPr>
        <w:t xml:space="preserve">(9 November 2015) </w:t>
      </w:r>
      <w:hyperlink r:id="rId15" w:history="1">
        <w:r w:rsidR="004C6243" w:rsidRPr="002D33DB">
          <w:rPr>
            <w:rStyle w:val="Hyperlink"/>
            <w:rFonts w:ascii="Arial" w:hAnsi="Arial" w:cs="Arial"/>
          </w:rPr>
          <w:t>http://ec.europa.eu/epsc/pdf/publications/5p_note_edis.pdf</w:t>
        </w:r>
      </w:hyperlink>
    </w:p>
    <w:p w:rsidR="004C6243" w:rsidRPr="002D33DB" w:rsidRDefault="004C6243" w:rsidP="002D33DB">
      <w:pPr>
        <w:tabs>
          <w:tab w:val="num" w:pos="426"/>
        </w:tabs>
        <w:spacing w:before="120" w:after="120" w:line="360" w:lineRule="auto"/>
        <w:rPr>
          <w:rFonts w:ascii="Arial" w:hAnsi="Arial" w:cs="Arial"/>
        </w:rPr>
      </w:pPr>
      <w:r w:rsidRPr="002D33DB">
        <w:rPr>
          <w:rFonts w:ascii="Arial" w:hAnsi="Arial" w:cs="Arial"/>
        </w:rPr>
        <w:t xml:space="preserve">European Parliament, </w:t>
      </w:r>
      <w:r w:rsidRPr="002D33DB">
        <w:rPr>
          <w:rFonts w:ascii="Arial" w:hAnsi="Arial" w:cs="Arial"/>
          <w:i/>
        </w:rPr>
        <w:t xml:space="preserve">European Deposit Insurance Scheme: Completing the Banking Union </w:t>
      </w:r>
      <w:r w:rsidRPr="002D33DB">
        <w:rPr>
          <w:rFonts w:ascii="Arial" w:hAnsi="Arial" w:cs="Arial"/>
          <w:i/>
        </w:rPr>
        <w:br/>
      </w:r>
      <w:r w:rsidRPr="002D33DB">
        <w:rPr>
          <w:rFonts w:ascii="Arial" w:hAnsi="Arial" w:cs="Arial"/>
        </w:rPr>
        <w:t>(14 March 2016) &lt;</w:t>
      </w:r>
      <w:hyperlink r:id="rId16" w:history="1">
        <w:r w:rsidRPr="002D33DB">
          <w:rPr>
            <w:rStyle w:val="Hyperlink"/>
            <w:rFonts w:ascii="Arial" w:hAnsi="Arial" w:cs="Arial"/>
          </w:rPr>
          <w:t>http://www.europarl.europa.eu/thinktank/en/document.html?reference=EPRS_BRI(2016)579090</w:t>
        </w:r>
      </w:hyperlink>
      <w:r w:rsidRPr="002D33DB">
        <w:rPr>
          <w:rFonts w:ascii="Arial" w:hAnsi="Arial" w:cs="Arial"/>
        </w:rPr>
        <w:t>&gt;</w:t>
      </w:r>
    </w:p>
    <w:p w:rsidR="002D33DB" w:rsidRPr="002D33DB" w:rsidRDefault="002D33DB" w:rsidP="002D33DB">
      <w:pPr>
        <w:pStyle w:val="FootnoteText"/>
        <w:spacing w:before="120" w:after="120" w:line="360" w:lineRule="auto"/>
        <w:rPr>
          <w:rFonts w:ascii="Arial" w:hAnsi="Arial" w:cs="Arial"/>
          <w:sz w:val="22"/>
          <w:szCs w:val="22"/>
        </w:rPr>
      </w:pPr>
      <w:r w:rsidRPr="002D33DB">
        <w:rPr>
          <w:rFonts w:ascii="Arial" w:hAnsi="Arial" w:cs="Arial"/>
          <w:sz w:val="22"/>
          <w:szCs w:val="22"/>
        </w:rPr>
        <w:t xml:space="preserve">Giugilano, Ferdiando, and Sarah Gordon, ‘Macron Calls for Radical Reform to Save Euro’, </w:t>
      </w:r>
      <w:r w:rsidRPr="002D33DB">
        <w:rPr>
          <w:rFonts w:ascii="Arial" w:hAnsi="Arial" w:cs="Arial"/>
          <w:i/>
          <w:sz w:val="22"/>
          <w:szCs w:val="22"/>
        </w:rPr>
        <w:t xml:space="preserve">Financial Times </w:t>
      </w:r>
      <w:r w:rsidRPr="002D33DB">
        <w:rPr>
          <w:rFonts w:ascii="Arial" w:hAnsi="Arial" w:cs="Arial"/>
          <w:sz w:val="22"/>
          <w:szCs w:val="22"/>
        </w:rPr>
        <w:t>(online) 24 September 2015 &lt;</w:t>
      </w:r>
      <w:r w:rsidRPr="002D33DB">
        <w:rPr>
          <w:rStyle w:val="Hyperlink"/>
          <w:rFonts w:ascii="Arial" w:hAnsi="Arial" w:cs="Arial"/>
          <w:sz w:val="22"/>
          <w:szCs w:val="22"/>
        </w:rPr>
        <w:t>https://next.ft.com/content/6d327720-62c5-11e5-a28b-50226830d644</w:t>
      </w:r>
      <w:r w:rsidR="007065BF">
        <w:rPr>
          <w:rFonts w:ascii="Arial" w:hAnsi="Arial" w:cs="Arial"/>
          <w:sz w:val="22"/>
          <w:szCs w:val="22"/>
        </w:rPr>
        <w:t>&gt;</w:t>
      </w:r>
    </w:p>
    <w:p w:rsidR="00857FA4" w:rsidRPr="002D33DB" w:rsidRDefault="00857FA4" w:rsidP="002D33DB">
      <w:pPr>
        <w:pStyle w:val="FootnoteText"/>
        <w:spacing w:before="120" w:after="120" w:line="360" w:lineRule="auto"/>
        <w:rPr>
          <w:rFonts w:ascii="Arial" w:hAnsi="Arial" w:cs="Arial"/>
          <w:sz w:val="22"/>
          <w:szCs w:val="22"/>
        </w:rPr>
      </w:pPr>
      <w:r w:rsidRPr="002D33DB">
        <w:rPr>
          <w:rFonts w:ascii="Arial" w:hAnsi="Arial" w:cs="Arial"/>
          <w:sz w:val="22"/>
          <w:szCs w:val="22"/>
        </w:rPr>
        <w:t>Goyal</w:t>
      </w:r>
      <w:r w:rsidR="00E55132" w:rsidRPr="002D33DB">
        <w:rPr>
          <w:rFonts w:ascii="Arial" w:hAnsi="Arial" w:cs="Arial"/>
          <w:sz w:val="22"/>
          <w:szCs w:val="22"/>
        </w:rPr>
        <w:t>, Rishi</w:t>
      </w:r>
      <w:r w:rsidRPr="002D33DB">
        <w:rPr>
          <w:rFonts w:ascii="Arial" w:hAnsi="Arial" w:cs="Arial"/>
          <w:sz w:val="22"/>
          <w:szCs w:val="22"/>
        </w:rPr>
        <w:t>,</w:t>
      </w:r>
      <w:r w:rsidR="00E55132" w:rsidRPr="002D33DB">
        <w:rPr>
          <w:rFonts w:ascii="Arial" w:hAnsi="Arial" w:cs="Arial"/>
          <w:sz w:val="22"/>
          <w:szCs w:val="22"/>
        </w:rPr>
        <w:t xml:space="preserve"> Petya Koeva Brooks, Mahmood Pradhan, Thierry Tressel, Giovanni Dell’Ariccia, Ross Leckow and Ceyla Pazarbasioglu, </w:t>
      </w:r>
      <w:r w:rsidRPr="002D33DB">
        <w:rPr>
          <w:rFonts w:ascii="Arial" w:hAnsi="Arial" w:cs="Arial"/>
          <w:sz w:val="22"/>
          <w:szCs w:val="22"/>
        </w:rPr>
        <w:t xml:space="preserve"> </w:t>
      </w:r>
      <w:r w:rsidRPr="002D33DB">
        <w:rPr>
          <w:rFonts w:ascii="Arial" w:hAnsi="Arial" w:cs="Arial"/>
          <w:i/>
          <w:sz w:val="22"/>
          <w:szCs w:val="22"/>
        </w:rPr>
        <w:t xml:space="preserve">A Banking Union for the Euro Area </w:t>
      </w:r>
      <w:r w:rsidRPr="002D33DB">
        <w:rPr>
          <w:rFonts w:ascii="Arial" w:hAnsi="Arial" w:cs="Arial"/>
          <w:sz w:val="22"/>
          <w:szCs w:val="22"/>
        </w:rPr>
        <w:t>(February 2013) International Monetary Fund Staff Discussion Note &lt;</w:t>
      </w:r>
      <w:r w:rsidRPr="002D33DB">
        <w:rPr>
          <w:rStyle w:val="Hyperlink"/>
          <w:rFonts w:ascii="Arial" w:hAnsi="Arial" w:cs="Arial"/>
          <w:sz w:val="22"/>
          <w:szCs w:val="22"/>
        </w:rPr>
        <w:t>https://www.imf.org/external/pubs/ft/sdn/2013/sdn1301.pdf</w:t>
      </w:r>
      <w:r w:rsidRPr="002D33DB">
        <w:rPr>
          <w:rFonts w:ascii="Arial" w:hAnsi="Arial" w:cs="Arial"/>
          <w:sz w:val="22"/>
          <w:szCs w:val="22"/>
        </w:rPr>
        <w:t>&gt;</w:t>
      </w:r>
    </w:p>
    <w:p w:rsidR="00DF6B77" w:rsidRPr="002D33DB" w:rsidRDefault="00DF6B77" w:rsidP="002D33DB">
      <w:pPr>
        <w:tabs>
          <w:tab w:val="num" w:pos="426"/>
        </w:tabs>
        <w:spacing w:before="120" w:after="120" w:line="360" w:lineRule="auto"/>
        <w:rPr>
          <w:rFonts w:ascii="Arial" w:hAnsi="Arial" w:cs="Arial"/>
        </w:rPr>
      </w:pPr>
      <w:r w:rsidRPr="002D33DB">
        <w:rPr>
          <w:rFonts w:ascii="Arial" w:hAnsi="Arial" w:cs="Arial"/>
        </w:rPr>
        <w:lastRenderedPageBreak/>
        <w:t xml:space="preserve">Gros, Daniel, </w:t>
      </w:r>
      <w:r w:rsidRPr="002D33DB">
        <w:rPr>
          <w:rFonts w:ascii="Arial" w:hAnsi="Arial" w:cs="Arial"/>
          <w:i/>
        </w:rPr>
        <w:t>Completing the Banking Union: Deposit Insurance</w:t>
      </w:r>
      <w:r w:rsidR="0064306E" w:rsidRPr="002D33DB">
        <w:rPr>
          <w:rFonts w:ascii="Arial" w:hAnsi="Arial" w:cs="Arial"/>
        </w:rPr>
        <w:t xml:space="preserve"> (December, 2015) </w:t>
      </w:r>
      <w:r w:rsidRPr="002D33DB">
        <w:rPr>
          <w:rFonts w:ascii="Arial" w:hAnsi="Arial" w:cs="Arial"/>
        </w:rPr>
        <w:t>Centre for European Policy Studies</w:t>
      </w:r>
      <w:r w:rsidR="005759E3" w:rsidRPr="002D33DB">
        <w:rPr>
          <w:rFonts w:ascii="Arial" w:hAnsi="Arial" w:cs="Arial"/>
        </w:rPr>
        <w:t xml:space="preserve"> </w:t>
      </w:r>
      <w:r w:rsidRPr="002D33DB">
        <w:rPr>
          <w:rFonts w:ascii="Arial" w:hAnsi="Arial" w:cs="Arial"/>
        </w:rPr>
        <w:t>&lt;</w:t>
      </w:r>
      <w:r w:rsidRPr="002D33DB">
        <w:rPr>
          <w:rStyle w:val="Hyperlink"/>
          <w:rFonts w:ascii="Arial" w:hAnsi="Arial" w:cs="Arial"/>
        </w:rPr>
        <w:t>https://www.ceps.eu/system/files/PB335%20DG%20Completing%20BU_0.pdf</w:t>
      </w:r>
      <w:r w:rsidRPr="002D33DB">
        <w:rPr>
          <w:rFonts w:ascii="Arial" w:hAnsi="Arial" w:cs="Arial"/>
        </w:rPr>
        <w:t>&gt;</w:t>
      </w:r>
    </w:p>
    <w:p w:rsidR="00676480" w:rsidRPr="002D33DB" w:rsidRDefault="00676480" w:rsidP="002D33DB">
      <w:pPr>
        <w:tabs>
          <w:tab w:val="num" w:pos="426"/>
        </w:tabs>
        <w:spacing w:before="120" w:after="120" w:line="360" w:lineRule="auto"/>
        <w:jc w:val="both"/>
        <w:rPr>
          <w:rFonts w:ascii="Arial" w:hAnsi="Arial" w:cs="Arial"/>
        </w:rPr>
      </w:pPr>
      <w:r w:rsidRPr="002D33DB">
        <w:rPr>
          <w:rFonts w:ascii="Arial" w:hAnsi="Arial" w:cs="Arial"/>
        </w:rPr>
        <w:t xml:space="preserve">Hacker, Bjorn, </w:t>
      </w:r>
      <w:r w:rsidRPr="002D33DB">
        <w:rPr>
          <w:rFonts w:ascii="Arial" w:hAnsi="Arial" w:cs="Arial"/>
          <w:i/>
        </w:rPr>
        <w:t xml:space="preserve">On the Way to a Fiscal or a Stability Union? </w:t>
      </w:r>
      <w:r w:rsidRPr="002D33DB">
        <w:rPr>
          <w:rFonts w:ascii="Arial" w:hAnsi="Arial" w:cs="Arial"/>
        </w:rPr>
        <w:t>(December 2013) Friedrich Ebert Stiftung, 2. &lt;</w:t>
      </w:r>
      <w:r w:rsidRPr="002D33DB">
        <w:rPr>
          <w:rStyle w:val="Hyperlink"/>
          <w:rFonts w:ascii="Arial" w:hAnsi="Arial" w:cs="Arial"/>
        </w:rPr>
        <w:t>http://library.fes.de/pdf-files/id/ipa/10400.pdf&gt;</w:t>
      </w:r>
    </w:p>
    <w:p w:rsidR="00693504" w:rsidRPr="002D33DB" w:rsidRDefault="00693504" w:rsidP="002D33DB">
      <w:pPr>
        <w:tabs>
          <w:tab w:val="num" w:pos="426"/>
        </w:tabs>
        <w:spacing w:before="120" w:after="120" w:line="360" w:lineRule="auto"/>
        <w:jc w:val="both"/>
        <w:rPr>
          <w:rFonts w:ascii="Arial" w:hAnsi="Arial" w:cs="Arial"/>
        </w:rPr>
      </w:pPr>
      <w:r w:rsidRPr="002D33DB">
        <w:rPr>
          <w:rFonts w:ascii="Arial" w:hAnsi="Arial" w:cs="Arial"/>
        </w:rPr>
        <w:t xml:space="preserve">Herrmann, Christoph, ‘Legal Aspects of the European Sovereign Debt Crisis’ 41 (2013) </w:t>
      </w:r>
      <w:r w:rsidRPr="002D33DB">
        <w:rPr>
          <w:rFonts w:ascii="Arial" w:hAnsi="Arial" w:cs="Arial"/>
          <w:i/>
        </w:rPr>
        <w:t xml:space="preserve">Hitotsubashi Journal of Law and Politics </w:t>
      </w:r>
      <w:r w:rsidRPr="002D33DB">
        <w:rPr>
          <w:rFonts w:ascii="Arial" w:hAnsi="Arial" w:cs="Arial"/>
        </w:rPr>
        <w:t>25.</w:t>
      </w:r>
    </w:p>
    <w:p w:rsidR="0053523B" w:rsidRPr="002D33DB" w:rsidRDefault="001808FF" w:rsidP="002D33DB">
      <w:pPr>
        <w:tabs>
          <w:tab w:val="num" w:pos="426"/>
        </w:tabs>
        <w:spacing w:before="120" w:after="120" w:line="360" w:lineRule="auto"/>
        <w:jc w:val="both"/>
        <w:rPr>
          <w:rFonts w:ascii="Arial" w:hAnsi="Arial" w:cs="Arial"/>
        </w:rPr>
      </w:pPr>
      <w:r w:rsidRPr="002D33DB">
        <w:rPr>
          <w:rFonts w:ascii="Arial" w:hAnsi="Arial" w:cs="Arial"/>
        </w:rPr>
        <w:t xml:space="preserve">Juncker, Jean-Claude, Donald Tusk, Jeroen Dijsselbloem, Mario Draghi and Martin Schulz, </w:t>
      </w:r>
      <w:r w:rsidRPr="002D33DB">
        <w:rPr>
          <w:rFonts w:ascii="Arial" w:hAnsi="Arial" w:cs="Arial"/>
          <w:i/>
        </w:rPr>
        <w:t>Completing Europe’s Economic and Monetary Union</w:t>
      </w:r>
      <w:r w:rsidR="00B83152" w:rsidRPr="002D33DB">
        <w:rPr>
          <w:rFonts w:ascii="Arial" w:hAnsi="Arial" w:cs="Arial"/>
        </w:rPr>
        <w:t xml:space="preserve"> (22 June 2015)</w:t>
      </w:r>
    </w:p>
    <w:p w:rsidR="00170AEF" w:rsidRPr="002D33DB" w:rsidRDefault="00170AEF" w:rsidP="002D33DB">
      <w:pPr>
        <w:tabs>
          <w:tab w:val="num" w:pos="426"/>
        </w:tabs>
        <w:spacing w:before="120" w:after="120" w:line="360" w:lineRule="auto"/>
        <w:ind w:right="-142"/>
        <w:rPr>
          <w:rFonts w:ascii="Arial" w:hAnsi="Arial" w:cs="Arial"/>
        </w:rPr>
      </w:pPr>
      <w:r w:rsidRPr="002D33DB">
        <w:rPr>
          <w:rFonts w:ascii="Arial" w:hAnsi="Arial" w:cs="Arial"/>
        </w:rPr>
        <w:t xml:space="preserve">Kahn, Mehreen, ‘Franco-German Central Bankers Call for Creation of Eurozone Treasury’, </w:t>
      </w:r>
      <w:r w:rsidRPr="002D33DB">
        <w:rPr>
          <w:rFonts w:ascii="Arial" w:hAnsi="Arial" w:cs="Arial"/>
          <w:i/>
        </w:rPr>
        <w:t xml:space="preserve">The Telegraph </w:t>
      </w:r>
      <w:r w:rsidRPr="002D33DB">
        <w:rPr>
          <w:rFonts w:ascii="Arial" w:hAnsi="Arial" w:cs="Arial"/>
        </w:rPr>
        <w:t>(online) 8 February 2016 &lt;</w:t>
      </w:r>
      <w:r w:rsidRPr="002D33DB">
        <w:rPr>
          <w:rStyle w:val="Hyperlink"/>
          <w:rFonts w:ascii="Arial" w:hAnsi="Arial" w:cs="Arial"/>
        </w:rPr>
        <w:t>http://www.telegraph.co.uk/finance/economics/12146298/Franco-German-central-bankers-call-for-creation-of-eurozone-treasury.html</w:t>
      </w:r>
      <w:r w:rsidR="007065BF">
        <w:rPr>
          <w:rFonts w:ascii="Arial" w:hAnsi="Arial" w:cs="Arial"/>
        </w:rPr>
        <w:t>&gt;</w:t>
      </w:r>
    </w:p>
    <w:p w:rsidR="00693504" w:rsidRPr="00693504" w:rsidRDefault="00693504" w:rsidP="00693504">
      <w:pPr>
        <w:tabs>
          <w:tab w:val="num" w:pos="426"/>
        </w:tabs>
        <w:spacing w:before="120" w:after="120" w:line="360" w:lineRule="auto"/>
        <w:ind w:right="-142"/>
        <w:rPr>
          <w:rFonts w:ascii="Arial" w:hAnsi="Arial" w:cs="Arial"/>
        </w:rPr>
      </w:pPr>
      <w:r w:rsidRPr="00693504">
        <w:rPr>
          <w:rFonts w:ascii="Arial" w:hAnsi="Arial" w:cs="Arial"/>
        </w:rPr>
        <w:t xml:space="preserve">Lane, Philip, ‘The European Sovereign Debt Crisis’ (2012) 26 </w:t>
      </w:r>
      <w:r w:rsidRPr="00693504">
        <w:rPr>
          <w:rFonts w:ascii="Arial" w:hAnsi="Arial" w:cs="Arial"/>
          <w:i/>
        </w:rPr>
        <w:t xml:space="preserve">Journal of Economic Perspectives </w:t>
      </w:r>
      <w:r w:rsidRPr="00693504">
        <w:rPr>
          <w:rFonts w:ascii="Arial" w:hAnsi="Arial" w:cs="Arial"/>
        </w:rPr>
        <w:t>49.</w:t>
      </w:r>
    </w:p>
    <w:p w:rsidR="00CC5380" w:rsidRDefault="00CC5380" w:rsidP="0064306E">
      <w:pPr>
        <w:tabs>
          <w:tab w:val="num" w:pos="426"/>
        </w:tabs>
        <w:spacing w:before="120" w:after="120" w:line="360" w:lineRule="auto"/>
        <w:rPr>
          <w:rFonts w:ascii="Arial" w:hAnsi="Arial" w:cs="Arial"/>
        </w:rPr>
      </w:pPr>
      <w:r w:rsidRPr="00065EBF">
        <w:rPr>
          <w:rFonts w:ascii="Arial" w:hAnsi="Arial" w:cs="Arial"/>
        </w:rPr>
        <w:t>Mody,</w:t>
      </w:r>
      <w:r>
        <w:rPr>
          <w:rFonts w:ascii="Arial" w:hAnsi="Arial" w:cs="Arial"/>
        </w:rPr>
        <w:t xml:space="preserve"> Ashoka,</w:t>
      </w:r>
      <w:r w:rsidRPr="00065EBF">
        <w:rPr>
          <w:rFonts w:ascii="Arial" w:hAnsi="Arial" w:cs="Arial"/>
        </w:rPr>
        <w:t xml:space="preserve"> </w:t>
      </w:r>
      <w:r w:rsidRPr="00065EBF">
        <w:rPr>
          <w:rFonts w:ascii="Arial" w:hAnsi="Arial" w:cs="Arial"/>
          <w:i/>
        </w:rPr>
        <w:t>Are the Eurozone’s Fiscal Rules Dying?</w:t>
      </w:r>
      <w:r w:rsidRPr="00065EBF">
        <w:rPr>
          <w:rFonts w:ascii="Arial" w:hAnsi="Arial" w:cs="Arial"/>
        </w:rPr>
        <w:t xml:space="preserve"> (29 October 2014) Bruegel &lt;</w:t>
      </w:r>
      <w:r w:rsidRPr="00CC5380">
        <w:rPr>
          <w:rStyle w:val="Hyperlink"/>
          <w:rFonts w:ascii="Arial" w:hAnsi="Arial" w:cs="Arial"/>
        </w:rPr>
        <w:t>http://bruegel.org/2014/10/are-the-eurozones-fiscal-rules-dying/</w:t>
      </w:r>
      <w:r>
        <w:rPr>
          <w:rFonts w:ascii="Arial" w:hAnsi="Arial" w:cs="Arial"/>
        </w:rPr>
        <w:t>&gt;</w:t>
      </w:r>
    </w:p>
    <w:p w:rsidR="00014E7A" w:rsidRDefault="00014E7A" w:rsidP="0064306E">
      <w:pPr>
        <w:tabs>
          <w:tab w:val="num" w:pos="426"/>
        </w:tabs>
        <w:spacing w:before="120" w:after="120" w:line="360" w:lineRule="auto"/>
        <w:rPr>
          <w:rFonts w:ascii="Arial" w:hAnsi="Arial" w:cs="Arial"/>
        </w:rPr>
      </w:pPr>
      <w:r w:rsidRPr="004F5814">
        <w:rPr>
          <w:rFonts w:ascii="Arial" w:hAnsi="Arial" w:cs="Arial"/>
        </w:rPr>
        <w:t>Odenhall,</w:t>
      </w:r>
      <w:r>
        <w:rPr>
          <w:rFonts w:ascii="Arial" w:hAnsi="Arial" w:cs="Arial"/>
        </w:rPr>
        <w:t xml:space="preserve"> Christian,</w:t>
      </w:r>
      <w:r w:rsidRPr="004F5814">
        <w:rPr>
          <w:rFonts w:ascii="Arial" w:hAnsi="Arial" w:cs="Arial"/>
        </w:rPr>
        <w:t xml:space="preserve"> </w:t>
      </w:r>
      <w:r w:rsidRPr="004F5814">
        <w:rPr>
          <w:rFonts w:ascii="Arial" w:hAnsi="Arial" w:cs="Arial"/>
          <w:i/>
        </w:rPr>
        <w:t>The Eurozone’s ‘Five Presidents’ Report’: An Assessment</w:t>
      </w:r>
      <w:r w:rsidRPr="004F5814">
        <w:rPr>
          <w:rFonts w:ascii="Arial" w:hAnsi="Arial" w:cs="Arial"/>
        </w:rPr>
        <w:t xml:space="preserve"> (22 June 2015) Centre for European Reform &lt;</w:t>
      </w:r>
      <w:r w:rsidRPr="00014E7A">
        <w:rPr>
          <w:rStyle w:val="Hyperlink"/>
          <w:rFonts w:ascii="Arial" w:hAnsi="Arial" w:cs="Arial"/>
        </w:rPr>
        <w:t>https://www.cer.org.uk/insights/eurozones-five-presidents-report-assesment</w:t>
      </w:r>
      <w:r w:rsidR="007065BF">
        <w:rPr>
          <w:rFonts w:ascii="Arial" w:hAnsi="Arial" w:cs="Arial"/>
        </w:rPr>
        <w:t>&gt;</w:t>
      </w:r>
    </w:p>
    <w:p w:rsidR="00342C8C" w:rsidRDefault="00342C8C" w:rsidP="0064306E">
      <w:pPr>
        <w:tabs>
          <w:tab w:val="num" w:pos="426"/>
        </w:tabs>
        <w:spacing w:before="120" w:after="120" w:line="360" w:lineRule="auto"/>
        <w:rPr>
          <w:rFonts w:ascii="Arial" w:hAnsi="Arial" w:cs="Arial"/>
        </w:rPr>
      </w:pPr>
      <w:r w:rsidRPr="00E3276C">
        <w:rPr>
          <w:rFonts w:ascii="Arial" w:hAnsi="Arial" w:cs="Arial"/>
        </w:rPr>
        <w:t>Ostman,</w:t>
      </w:r>
      <w:r w:rsidR="000E3BCE">
        <w:rPr>
          <w:rFonts w:ascii="Arial" w:hAnsi="Arial" w:cs="Arial"/>
        </w:rPr>
        <w:t xml:space="preserve"> Peter,</w:t>
      </w:r>
      <w:r w:rsidRPr="00E3276C">
        <w:rPr>
          <w:rFonts w:ascii="Arial" w:hAnsi="Arial" w:cs="Arial"/>
        </w:rPr>
        <w:t xml:space="preserve"> </w:t>
      </w:r>
      <w:r w:rsidRPr="00E3276C">
        <w:rPr>
          <w:rFonts w:ascii="Arial" w:hAnsi="Arial" w:cs="Arial"/>
          <w:i/>
        </w:rPr>
        <w:t xml:space="preserve">Five Presidents Report Undermining National Democracy </w:t>
      </w:r>
      <w:r w:rsidRPr="00E3276C">
        <w:rPr>
          <w:rFonts w:ascii="Arial" w:hAnsi="Arial" w:cs="Arial"/>
        </w:rPr>
        <w:t xml:space="preserve">(November 12, 2015) European Christian Political Movement &lt; </w:t>
      </w:r>
      <w:hyperlink r:id="rId17" w:history="1">
        <w:r w:rsidR="0064306E" w:rsidRPr="00D60D30">
          <w:rPr>
            <w:rStyle w:val="Hyperlink"/>
            <w:rFonts w:ascii="Arial" w:hAnsi="Arial" w:cs="Arial"/>
          </w:rPr>
          <w:t>http://ecpm.info/news/five-presidents-report-undermining-national-democracy</w:t>
        </w:r>
      </w:hyperlink>
      <w:r w:rsidR="0064306E">
        <w:rPr>
          <w:rFonts w:ascii="Arial" w:hAnsi="Arial" w:cs="Arial"/>
        </w:rPr>
        <w:t>&gt;</w:t>
      </w:r>
    </w:p>
    <w:p w:rsidR="0064306E" w:rsidRDefault="0064306E" w:rsidP="0064306E">
      <w:pPr>
        <w:tabs>
          <w:tab w:val="num" w:pos="426"/>
        </w:tabs>
        <w:spacing w:before="120" w:after="120" w:line="360" w:lineRule="auto"/>
        <w:rPr>
          <w:rFonts w:ascii="Arial" w:hAnsi="Arial" w:cs="Arial"/>
        </w:rPr>
      </w:pPr>
      <w:r w:rsidRPr="00141EA5">
        <w:rPr>
          <w:rFonts w:ascii="Arial" w:hAnsi="Arial" w:cs="Arial"/>
        </w:rPr>
        <w:t>Schuknecht,</w:t>
      </w:r>
      <w:r>
        <w:rPr>
          <w:rFonts w:ascii="Arial" w:hAnsi="Arial" w:cs="Arial"/>
        </w:rPr>
        <w:t xml:space="preserve"> Ludger,</w:t>
      </w:r>
      <w:r w:rsidRPr="00141EA5">
        <w:rPr>
          <w:rFonts w:ascii="Arial" w:hAnsi="Arial" w:cs="Arial"/>
        </w:rPr>
        <w:t xml:space="preserve"> ‘An Insurance Scheme That Only Ensures Problems’ </w:t>
      </w:r>
      <w:r w:rsidRPr="00141EA5">
        <w:rPr>
          <w:rFonts w:ascii="Arial" w:hAnsi="Arial" w:cs="Arial"/>
          <w:i/>
        </w:rPr>
        <w:t xml:space="preserve">Frankfurter Allgemeine </w:t>
      </w:r>
      <w:r w:rsidRPr="00141EA5">
        <w:rPr>
          <w:rFonts w:ascii="Arial" w:hAnsi="Arial" w:cs="Arial"/>
        </w:rPr>
        <w:t xml:space="preserve">(online) 8 February 2016 &lt; </w:t>
      </w:r>
      <w:hyperlink r:id="rId18" w:history="1">
        <w:r w:rsidRPr="00D60D30">
          <w:rPr>
            <w:rStyle w:val="Hyperlink"/>
            <w:rFonts w:ascii="Arial" w:hAnsi="Arial" w:cs="Arial"/>
          </w:rPr>
          <w:t>http://blogs.faz.net/fazit/2016/02/08/an-insurance-scheme-that-only-ensures-problems-7298/</w:t>
        </w:r>
      </w:hyperlink>
      <w:r w:rsidRPr="0064306E">
        <w:rPr>
          <w:rFonts w:ascii="Arial" w:hAnsi="Arial" w:cs="Arial"/>
        </w:rPr>
        <w:t>&gt;</w:t>
      </w:r>
    </w:p>
    <w:p w:rsidR="0064306E" w:rsidRDefault="0064306E" w:rsidP="0064306E">
      <w:pPr>
        <w:tabs>
          <w:tab w:val="num" w:pos="426"/>
        </w:tabs>
        <w:spacing w:before="120" w:after="120" w:line="360" w:lineRule="auto"/>
        <w:rPr>
          <w:rFonts w:ascii="Arial" w:hAnsi="Arial" w:cs="Arial"/>
        </w:rPr>
      </w:pPr>
      <w:r w:rsidRPr="00141EA5">
        <w:rPr>
          <w:rFonts w:ascii="Arial" w:hAnsi="Arial" w:cs="Arial"/>
        </w:rPr>
        <w:t>Steinhauser,</w:t>
      </w:r>
      <w:r>
        <w:rPr>
          <w:rFonts w:ascii="Arial" w:hAnsi="Arial" w:cs="Arial"/>
        </w:rPr>
        <w:t xml:space="preserve"> Gabriele,</w:t>
      </w:r>
      <w:r w:rsidRPr="00141EA5">
        <w:rPr>
          <w:rFonts w:ascii="Arial" w:hAnsi="Arial" w:cs="Arial"/>
        </w:rPr>
        <w:t xml:space="preserve"> ‘Not All on Board with the European Fiscal Board’ </w:t>
      </w:r>
      <w:r w:rsidRPr="00141EA5">
        <w:rPr>
          <w:rFonts w:ascii="Arial" w:hAnsi="Arial" w:cs="Arial"/>
          <w:i/>
        </w:rPr>
        <w:t xml:space="preserve">The Wall Street Journal </w:t>
      </w:r>
      <w:r w:rsidRPr="00141EA5">
        <w:rPr>
          <w:rFonts w:ascii="Arial" w:hAnsi="Arial" w:cs="Arial"/>
        </w:rPr>
        <w:t>(online) 13 November 2015 &lt;</w:t>
      </w:r>
      <w:r w:rsidRPr="0064306E">
        <w:rPr>
          <w:rStyle w:val="Hyperlink"/>
          <w:rFonts w:ascii="Arial" w:hAnsi="Arial" w:cs="Arial"/>
        </w:rPr>
        <w:t>http://blogs.wsj.com/brussels/2015/11/13/not-all-on-board-with-the-european-fiscal-board/</w:t>
      </w:r>
      <w:r w:rsidRPr="00141EA5">
        <w:rPr>
          <w:rFonts w:ascii="Arial" w:hAnsi="Arial" w:cs="Arial"/>
        </w:rPr>
        <w:t>&gt;</w:t>
      </w:r>
    </w:p>
    <w:p w:rsidR="007F67FE" w:rsidRDefault="007F67FE" w:rsidP="001808FF">
      <w:pPr>
        <w:tabs>
          <w:tab w:val="num" w:pos="426"/>
        </w:tabs>
        <w:spacing w:before="120" w:after="120" w:line="360" w:lineRule="auto"/>
        <w:jc w:val="both"/>
        <w:rPr>
          <w:rFonts w:ascii="Arial" w:hAnsi="Arial" w:cs="Arial"/>
        </w:rPr>
      </w:pPr>
      <w:r w:rsidRPr="00C340E9">
        <w:rPr>
          <w:rFonts w:ascii="Arial" w:hAnsi="Arial" w:cs="Arial"/>
        </w:rPr>
        <w:t xml:space="preserve">Van Rompuy, Herman, Jose Manuel Barroso, Jean-Claude Juncker and Mario Draghi, </w:t>
      </w:r>
      <w:r w:rsidRPr="00C340E9">
        <w:rPr>
          <w:rFonts w:ascii="Arial" w:hAnsi="Arial" w:cs="Arial"/>
          <w:i/>
        </w:rPr>
        <w:t>Towards a Genuine Economic and Monetary Union</w:t>
      </w:r>
      <w:r w:rsidRPr="00C340E9">
        <w:rPr>
          <w:rFonts w:ascii="Arial" w:hAnsi="Arial" w:cs="Arial"/>
        </w:rPr>
        <w:t xml:space="preserve"> </w:t>
      </w:r>
      <w:r w:rsidRPr="007D41EE">
        <w:rPr>
          <w:rFonts w:ascii="Arial" w:hAnsi="Arial" w:cs="Arial"/>
          <w:i/>
        </w:rPr>
        <w:t>(</w:t>
      </w:r>
      <w:r w:rsidR="007065BF">
        <w:rPr>
          <w:rFonts w:ascii="Arial" w:hAnsi="Arial" w:cs="Arial"/>
        </w:rPr>
        <w:t>26 June 2012)</w:t>
      </w:r>
    </w:p>
    <w:p w:rsidR="007F67FE" w:rsidRDefault="007F67FE" w:rsidP="001808FF">
      <w:pPr>
        <w:tabs>
          <w:tab w:val="num" w:pos="426"/>
        </w:tabs>
        <w:spacing w:before="120" w:after="120" w:line="360" w:lineRule="auto"/>
        <w:jc w:val="both"/>
        <w:rPr>
          <w:rFonts w:ascii="Arial" w:hAnsi="Arial" w:cs="Arial"/>
        </w:rPr>
      </w:pPr>
      <w:r w:rsidRPr="00C340E9">
        <w:rPr>
          <w:rFonts w:ascii="Arial" w:hAnsi="Arial" w:cs="Arial"/>
        </w:rPr>
        <w:t xml:space="preserve">Van Rompuy, Herman, Jose Manuel Barroso, Jean-Claude Juncker and Mario Draghi, </w:t>
      </w:r>
      <w:r w:rsidRPr="00C340E9">
        <w:rPr>
          <w:rFonts w:ascii="Arial" w:hAnsi="Arial" w:cs="Arial"/>
          <w:i/>
        </w:rPr>
        <w:t>Towards a Genuine Economic and Monetary Union</w:t>
      </w:r>
      <w:r w:rsidRPr="00C340E9">
        <w:rPr>
          <w:rFonts w:ascii="Arial" w:hAnsi="Arial" w:cs="Arial"/>
        </w:rPr>
        <w:t xml:space="preserve"> </w:t>
      </w:r>
      <w:r w:rsidR="007065BF">
        <w:rPr>
          <w:rFonts w:ascii="Arial" w:hAnsi="Arial" w:cs="Arial"/>
        </w:rPr>
        <w:t>(12 October 2012)</w:t>
      </w:r>
    </w:p>
    <w:p w:rsidR="00457DA8" w:rsidRDefault="00457DA8" w:rsidP="001808FF">
      <w:pPr>
        <w:tabs>
          <w:tab w:val="num" w:pos="426"/>
        </w:tabs>
        <w:spacing w:before="120" w:after="120" w:line="360" w:lineRule="auto"/>
        <w:jc w:val="both"/>
        <w:rPr>
          <w:rFonts w:ascii="Arial" w:hAnsi="Arial" w:cs="Arial"/>
        </w:rPr>
      </w:pPr>
      <w:r w:rsidRPr="00C340E9">
        <w:rPr>
          <w:rFonts w:ascii="Arial" w:hAnsi="Arial" w:cs="Arial"/>
        </w:rPr>
        <w:t>Van Rompuy</w:t>
      </w:r>
      <w:r w:rsidR="00C340E9" w:rsidRPr="00C340E9">
        <w:rPr>
          <w:rFonts w:ascii="Arial" w:hAnsi="Arial" w:cs="Arial"/>
        </w:rPr>
        <w:t>, Herman, Jose Manuel Barroso, Jean-Claude Juncker and Mario Draghi,</w:t>
      </w:r>
      <w:r w:rsidRPr="00C340E9">
        <w:rPr>
          <w:rFonts w:ascii="Arial" w:hAnsi="Arial" w:cs="Arial"/>
        </w:rPr>
        <w:t xml:space="preserve"> </w:t>
      </w:r>
      <w:r w:rsidRPr="00C340E9">
        <w:rPr>
          <w:rFonts w:ascii="Arial" w:hAnsi="Arial" w:cs="Arial"/>
          <w:i/>
        </w:rPr>
        <w:t>Towards a Genuine Economic and Monetary Union</w:t>
      </w:r>
      <w:r w:rsidRPr="00C340E9">
        <w:rPr>
          <w:rFonts w:ascii="Arial" w:hAnsi="Arial" w:cs="Arial"/>
        </w:rPr>
        <w:t xml:space="preserve"> (</w:t>
      </w:r>
      <w:r w:rsidR="00C340E9" w:rsidRPr="00C340E9">
        <w:rPr>
          <w:rFonts w:ascii="Arial" w:hAnsi="Arial" w:cs="Arial"/>
        </w:rPr>
        <w:t>5 December</w:t>
      </w:r>
      <w:r w:rsidRPr="00C340E9">
        <w:rPr>
          <w:rFonts w:ascii="Arial" w:hAnsi="Arial" w:cs="Arial"/>
        </w:rPr>
        <w:t xml:space="preserve"> 2012)</w:t>
      </w:r>
    </w:p>
    <w:p w:rsidR="000F3928" w:rsidRDefault="000F3928" w:rsidP="001808FF">
      <w:pPr>
        <w:tabs>
          <w:tab w:val="num" w:pos="426"/>
        </w:tabs>
        <w:spacing w:before="120" w:after="120" w:line="360" w:lineRule="auto"/>
        <w:jc w:val="both"/>
        <w:rPr>
          <w:rFonts w:ascii="Arial" w:hAnsi="Arial" w:cs="Arial"/>
        </w:rPr>
      </w:pPr>
      <w:r w:rsidRPr="00D12D6E">
        <w:rPr>
          <w:rFonts w:ascii="Arial" w:hAnsi="Arial" w:cs="Arial"/>
        </w:rPr>
        <w:lastRenderedPageBreak/>
        <w:t>Veron,</w:t>
      </w:r>
      <w:r>
        <w:rPr>
          <w:rFonts w:ascii="Arial" w:hAnsi="Arial" w:cs="Arial"/>
        </w:rPr>
        <w:t xml:space="preserve"> Nicolas,</w:t>
      </w:r>
      <w:r w:rsidRPr="00D12D6E">
        <w:rPr>
          <w:rFonts w:ascii="Arial" w:hAnsi="Arial" w:cs="Arial"/>
        </w:rPr>
        <w:t xml:space="preserve"> </w:t>
      </w:r>
      <w:r w:rsidRPr="00D12D6E">
        <w:rPr>
          <w:rFonts w:ascii="Arial" w:hAnsi="Arial" w:cs="Arial"/>
          <w:i/>
        </w:rPr>
        <w:t xml:space="preserve">European Deposit Insurance: A Response to Ludger Schuknect </w:t>
      </w:r>
      <w:r w:rsidRPr="00D12D6E">
        <w:rPr>
          <w:rFonts w:ascii="Arial" w:hAnsi="Arial" w:cs="Arial"/>
        </w:rPr>
        <w:t>(16 February 2016) Bruegel &lt;</w:t>
      </w:r>
      <w:r w:rsidRPr="000F3928">
        <w:rPr>
          <w:rStyle w:val="Hyperlink"/>
          <w:rFonts w:ascii="Arial" w:hAnsi="Arial" w:cs="Arial"/>
        </w:rPr>
        <w:t>http://bruegel.org/2016/02/european-deposit-insurance-a-response-to-ludger-schuknecht/</w:t>
      </w:r>
      <w:r>
        <w:rPr>
          <w:rFonts w:ascii="Arial" w:hAnsi="Arial" w:cs="Arial"/>
        </w:rPr>
        <w:t>&gt;</w:t>
      </w:r>
    </w:p>
    <w:p w:rsidR="005759E3" w:rsidRPr="00C57636" w:rsidRDefault="005759E3" w:rsidP="005759E3">
      <w:pPr>
        <w:tabs>
          <w:tab w:val="num" w:pos="426"/>
        </w:tabs>
        <w:spacing w:before="120" w:after="120" w:line="360" w:lineRule="auto"/>
        <w:rPr>
          <w:rFonts w:ascii="Arial" w:eastAsia="Times New Roman" w:hAnsi="Arial" w:cs="Arial"/>
          <w:bCs/>
        </w:rPr>
      </w:pPr>
      <w:r w:rsidRPr="00072CBA">
        <w:rPr>
          <w:rFonts w:ascii="Arial" w:hAnsi="Arial" w:cs="Arial"/>
        </w:rPr>
        <w:t>Wolff,</w:t>
      </w:r>
      <w:r>
        <w:rPr>
          <w:rFonts w:ascii="Arial" w:hAnsi="Arial" w:cs="Arial"/>
        </w:rPr>
        <w:t xml:space="preserve"> Guntram,</w:t>
      </w:r>
      <w:r w:rsidRPr="00072CBA">
        <w:rPr>
          <w:rFonts w:ascii="Arial" w:hAnsi="Arial" w:cs="Arial"/>
        </w:rPr>
        <w:t xml:space="preserve"> </w:t>
      </w:r>
      <w:r w:rsidRPr="00072CBA">
        <w:rPr>
          <w:rFonts w:ascii="Arial" w:hAnsi="Arial" w:cs="Arial"/>
          <w:i/>
        </w:rPr>
        <w:t>Euro Area Governance: An Assessment of the “Five Presidents” Report</w:t>
      </w:r>
      <w:r>
        <w:rPr>
          <w:rFonts w:ascii="Arial" w:hAnsi="Arial" w:cs="Arial"/>
          <w:i/>
        </w:rPr>
        <w:t xml:space="preserve"> </w:t>
      </w:r>
      <w:r w:rsidRPr="00072CBA">
        <w:rPr>
          <w:rFonts w:ascii="Arial" w:hAnsi="Arial" w:cs="Arial"/>
        </w:rPr>
        <w:t>(24 June 2015)</w:t>
      </w:r>
      <w:r>
        <w:rPr>
          <w:rFonts w:ascii="Arial" w:hAnsi="Arial" w:cs="Arial"/>
        </w:rPr>
        <w:t xml:space="preserve"> Bruegel &lt;</w:t>
      </w:r>
      <w:hyperlink r:id="rId19" w:history="1">
        <w:r w:rsidRPr="00D60D30">
          <w:rPr>
            <w:rStyle w:val="Hyperlink"/>
            <w:rFonts w:ascii="Arial" w:hAnsi="Arial" w:cs="Arial"/>
          </w:rPr>
          <w:t>http://bruegel.org/2015/06/euro-area-governance-an-assessment-of-the-five-presidents-report/</w:t>
        </w:r>
      </w:hyperlink>
      <w:r w:rsidR="00CD33E3">
        <w:rPr>
          <w:rFonts w:ascii="Arial" w:hAnsi="Arial" w:cs="Arial"/>
        </w:rPr>
        <w:t>&gt;</w:t>
      </w:r>
    </w:p>
    <w:p w:rsidR="0090261E" w:rsidRPr="00C340E9" w:rsidRDefault="0090261E" w:rsidP="0090261E">
      <w:pPr>
        <w:tabs>
          <w:tab w:val="num" w:pos="426"/>
        </w:tabs>
        <w:spacing w:before="240" w:after="240" w:line="360" w:lineRule="auto"/>
        <w:jc w:val="center"/>
        <w:rPr>
          <w:rFonts w:ascii="Arial" w:hAnsi="Arial" w:cs="Arial"/>
          <w:b/>
        </w:rPr>
      </w:pPr>
      <w:r>
        <w:rPr>
          <w:rFonts w:ascii="Arial" w:hAnsi="Arial" w:cs="Arial"/>
          <w:b/>
        </w:rPr>
        <w:t>B</w:t>
      </w:r>
      <w:r w:rsidRPr="00C340E9">
        <w:rPr>
          <w:rFonts w:ascii="Arial" w:hAnsi="Arial" w:cs="Arial"/>
          <w:b/>
        </w:rPr>
        <w:tab/>
      </w:r>
      <w:r w:rsidR="007B5076">
        <w:rPr>
          <w:rFonts w:ascii="Arial" w:hAnsi="Arial" w:cs="Arial"/>
          <w:b/>
        </w:rPr>
        <w:t>Decisions/</w:t>
      </w:r>
      <w:r>
        <w:rPr>
          <w:rFonts w:ascii="Arial" w:hAnsi="Arial" w:cs="Arial"/>
          <w:b/>
        </w:rPr>
        <w:t>Directives/</w:t>
      </w:r>
      <w:r w:rsidR="007426C8">
        <w:rPr>
          <w:rFonts w:ascii="Arial" w:hAnsi="Arial" w:cs="Arial"/>
          <w:b/>
        </w:rPr>
        <w:t>Regulations/</w:t>
      </w:r>
      <w:r>
        <w:rPr>
          <w:rFonts w:ascii="Arial" w:hAnsi="Arial" w:cs="Arial"/>
          <w:b/>
        </w:rPr>
        <w:t>Treaties</w:t>
      </w:r>
    </w:p>
    <w:p w:rsidR="007B5076" w:rsidRDefault="007B5076" w:rsidP="00D741DB">
      <w:pPr>
        <w:spacing w:after="120" w:line="360" w:lineRule="auto"/>
        <w:ind w:right="-23"/>
        <w:rPr>
          <w:rFonts w:ascii="Arial" w:hAnsi="Arial" w:cs="Arial"/>
          <w:i/>
        </w:rPr>
      </w:pPr>
      <w:r w:rsidRPr="00065EBF">
        <w:rPr>
          <w:rFonts w:ascii="Arial" w:hAnsi="Arial" w:cs="Arial"/>
          <w:i/>
        </w:rPr>
        <w:t xml:space="preserve">Commission Decision (EU) 2015/1937 of 21 October 2015 on Establishing an Independent Advisory European Fiscal Board </w:t>
      </w:r>
      <w:r w:rsidRPr="00065EBF">
        <w:rPr>
          <w:rFonts w:ascii="Arial" w:hAnsi="Arial" w:cs="Arial"/>
        </w:rPr>
        <w:t>[2015] OJ L 282/37 art 4.</w:t>
      </w:r>
    </w:p>
    <w:p w:rsidR="007426C8" w:rsidRDefault="007426C8" w:rsidP="00D741DB">
      <w:pPr>
        <w:spacing w:after="120" w:line="360" w:lineRule="auto"/>
        <w:ind w:right="-23"/>
        <w:rPr>
          <w:rFonts w:ascii="Arial" w:hAnsi="Arial" w:cs="Arial"/>
          <w:i/>
        </w:rPr>
      </w:pPr>
      <w:r>
        <w:rPr>
          <w:rFonts w:ascii="Arial" w:hAnsi="Arial" w:cs="Arial"/>
          <w:i/>
        </w:rPr>
        <w:t>Council Regulation (EU)</w:t>
      </w:r>
      <w:r w:rsidRPr="00002CA2">
        <w:rPr>
          <w:rFonts w:ascii="Arial" w:hAnsi="Arial" w:cs="Arial"/>
          <w:i/>
        </w:rPr>
        <w:t xml:space="preserve"> </w:t>
      </w:r>
      <w:r>
        <w:rPr>
          <w:rFonts w:ascii="Arial" w:hAnsi="Arial" w:cs="Arial"/>
          <w:i/>
        </w:rPr>
        <w:t>407/2010</w:t>
      </w:r>
      <w:r w:rsidRPr="00002CA2">
        <w:rPr>
          <w:rFonts w:ascii="Arial" w:hAnsi="Arial" w:cs="Arial"/>
          <w:i/>
        </w:rPr>
        <w:t xml:space="preserve"> of </w:t>
      </w:r>
      <w:r>
        <w:rPr>
          <w:rFonts w:ascii="Arial" w:hAnsi="Arial" w:cs="Arial"/>
          <w:i/>
        </w:rPr>
        <w:t>11</w:t>
      </w:r>
      <w:r w:rsidRPr="00002CA2">
        <w:rPr>
          <w:rFonts w:ascii="Arial" w:hAnsi="Arial" w:cs="Arial"/>
          <w:i/>
        </w:rPr>
        <w:t xml:space="preserve"> </w:t>
      </w:r>
      <w:r>
        <w:rPr>
          <w:rFonts w:ascii="Arial" w:hAnsi="Arial" w:cs="Arial"/>
          <w:i/>
        </w:rPr>
        <w:t>May 2010</w:t>
      </w:r>
      <w:r w:rsidRPr="00002CA2">
        <w:rPr>
          <w:rFonts w:ascii="Arial" w:hAnsi="Arial" w:cs="Arial"/>
          <w:i/>
        </w:rPr>
        <w:t xml:space="preserve"> </w:t>
      </w:r>
      <w:r>
        <w:rPr>
          <w:rFonts w:ascii="Arial" w:hAnsi="Arial" w:cs="Arial"/>
          <w:i/>
        </w:rPr>
        <w:t>Establishing a European Financial Stabilisation Mechanism</w:t>
      </w:r>
      <w:r w:rsidRPr="00002CA2">
        <w:rPr>
          <w:rFonts w:ascii="Arial" w:hAnsi="Arial" w:cs="Arial"/>
          <w:i/>
        </w:rPr>
        <w:t xml:space="preserve"> </w:t>
      </w:r>
      <w:r w:rsidRPr="00002CA2">
        <w:rPr>
          <w:rFonts w:ascii="Arial" w:hAnsi="Arial" w:cs="Arial"/>
        </w:rPr>
        <w:t>[201</w:t>
      </w:r>
      <w:r>
        <w:rPr>
          <w:rFonts w:ascii="Arial" w:hAnsi="Arial" w:cs="Arial"/>
        </w:rPr>
        <w:t>0</w:t>
      </w:r>
      <w:r w:rsidRPr="00002CA2">
        <w:rPr>
          <w:rFonts w:ascii="Arial" w:hAnsi="Arial" w:cs="Arial"/>
        </w:rPr>
        <w:t>] OJ L 1</w:t>
      </w:r>
      <w:r>
        <w:rPr>
          <w:rFonts w:ascii="Arial" w:hAnsi="Arial" w:cs="Arial"/>
        </w:rPr>
        <w:t>18</w:t>
      </w:r>
      <w:r w:rsidRPr="00002CA2">
        <w:rPr>
          <w:rFonts w:ascii="Arial" w:hAnsi="Arial" w:cs="Arial"/>
        </w:rPr>
        <w:t>/</w:t>
      </w:r>
      <w:r>
        <w:rPr>
          <w:rFonts w:ascii="Arial" w:hAnsi="Arial" w:cs="Arial"/>
        </w:rPr>
        <w:t>1</w:t>
      </w:r>
    </w:p>
    <w:p w:rsidR="00D741DB" w:rsidRDefault="00624AB3" w:rsidP="00D741DB">
      <w:pPr>
        <w:spacing w:after="120" w:line="360" w:lineRule="auto"/>
        <w:ind w:right="-23"/>
        <w:rPr>
          <w:rFonts w:ascii="Arial" w:hAnsi="Arial" w:cs="Arial"/>
        </w:rPr>
      </w:pPr>
      <w:r w:rsidRPr="0004038F">
        <w:rPr>
          <w:rFonts w:ascii="Arial" w:hAnsi="Arial" w:cs="Arial"/>
          <w:i/>
        </w:rPr>
        <w:t xml:space="preserve">Directive 2014/49/EU of the European Parliament and of the Council </w:t>
      </w:r>
      <w:r>
        <w:rPr>
          <w:rFonts w:ascii="Arial" w:hAnsi="Arial" w:cs="Arial"/>
          <w:i/>
        </w:rPr>
        <w:t>o</w:t>
      </w:r>
      <w:r w:rsidRPr="0004038F">
        <w:rPr>
          <w:rFonts w:ascii="Arial" w:hAnsi="Arial" w:cs="Arial"/>
          <w:i/>
        </w:rPr>
        <w:t>f 16 April 2014 on Deposit Guarantee Schemes</w:t>
      </w:r>
      <w:r>
        <w:rPr>
          <w:rFonts w:ascii="Arial" w:hAnsi="Arial" w:cs="Arial"/>
          <w:i/>
        </w:rPr>
        <w:t xml:space="preserve"> </w:t>
      </w:r>
      <w:r>
        <w:rPr>
          <w:rFonts w:ascii="Arial" w:hAnsi="Arial" w:cs="Arial"/>
        </w:rPr>
        <w:t>[2014] OJ L 173/49</w:t>
      </w:r>
    </w:p>
    <w:p w:rsidR="008572E9" w:rsidRDefault="008572E9" w:rsidP="00D741DB">
      <w:pPr>
        <w:spacing w:after="120" w:line="360" w:lineRule="auto"/>
        <w:ind w:right="-23"/>
        <w:rPr>
          <w:rFonts w:ascii="Arial" w:hAnsi="Arial" w:cs="Arial"/>
          <w:i/>
        </w:rPr>
      </w:pPr>
      <w:r w:rsidRPr="007369D4">
        <w:rPr>
          <w:rFonts w:ascii="Arial" w:hAnsi="Arial" w:cs="Arial"/>
          <w:i/>
        </w:rPr>
        <w:t xml:space="preserve">Treaty on the Functioning of the European Union, </w:t>
      </w:r>
      <w:r w:rsidRPr="007369D4">
        <w:rPr>
          <w:rFonts w:ascii="Arial" w:hAnsi="Arial" w:cs="Arial"/>
        </w:rPr>
        <w:t>opened for signature 13 December 2007 (entered into force 1 December 2009)</w:t>
      </w:r>
    </w:p>
    <w:p w:rsidR="008572E9" w:rsidRPr="00125E8F" w:rsidRDefault="008572E9" w:rsidP="00D741DB">
      <w:pPr>
        <w:spacing w:after="120" w:line="360" w:lineRule="auto"/>
        <w:ind w:right="-23"/>
        <w:rPr>
          <w:rFonts w:ascii="Arial" w:eastAsia="+mn-ea" w:hAnsi="Arial" w:cs="Arial"/>
          <w:color w:val="000000"/>
          <w:kern w:val="24"/>
        </w:rPr>
      </w:pPr>
      <w:r w:rsidRPr="00D12D6E">
        <w:rPr>
          <w:rFonts w:ascii="Arial" w:hAnsi="Arial" w:cs="Arial"/>
          <w:i/>
        </w:rPr>
        <w:t xml:space="preserve">Treaty on European Union, </w:t>
      </w:r>
      <w:r w:rsidRPr="00D12D6E">
        <w:rPr>
          <w:rFonts w:ascii="Arial" w:hAnsi="Arial" w:cs="Arial"/>
        </w:rPr>
        <w:t>opened for signature 7 February 1992 (entered into force 1 November 1993)</w:t>
      </w:r>
    </w:p>
    <w:sectPr w:rsidR="008572E9" w:rsidRPr="00125E8F" w:rsidSect="00C53920">
      <w:footerReference w:type="default" r:id="rId20"/>
      <w:pgSz w:w="11906" w:h="16838"/>
      <w:pgMar w:top="1095" w:right="1133" w:bottom="851" w:left="1134" w:header="284" w:footer="165"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D96" w:rsidRDefault="00766D96" w:rsidP="00615BCE">
      <w:pPr>
        <w:spacing w:after="0" w:line="240" w:lineRule="auto"/>
      </w:pPr>
      <w:r>
        <w:separator/>
      </w:r>
    </w:p>
  </w:endnote>
  <w:endnote w:type="continuationSeparator" w:id="0">
    <w:p w:rsidR="00766D96" w:rsidRDefault="00766D96" w:rsidP="0061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B8B" w:rsidRDefault="00052B8B" w:rsidP="005E4B17">
    <w:pPr>
      <w:pStyle w:val="Footer"/>
      <w:spacing w:before="120"/>
    </w:pPr>
    <w:r>
      <w:rPr>
        <w:noProof/>
        <w:lang w:val="en-GB" w:eastAsia="en-GB"/>
      </w:rPr>
      <mc:AlternateContent>
        <mc:Choice Requires="wps">
          <w:drawing>
            <wp:anchor distT="0" distB="0" distL="114300" distR="114300" simplePos="0" relativeHeight="251660288" behindDoc="0" locked="0" layoutInCell="1" allowOverlap="1" wp14:anchorId="2F7C1819" wp14:editId="46B55484">
              <wp:simplePos x="0" y="0"/>
              <wp:positionH relativeFrom="column">
                <wp:posOffset>11875</wp:posOffset>
              </wp:positionH>
              <wp:positionV relativeFrom="paragraph">
                <wp:posOffset>18869</wp:posOffset>
              </wp:positionV>
              <wp:extent cx="6377050" cy="11430"/>
              <wp:effectExtent l="0" t="0" r="24130" b="26670"/>
              <wp:wrapNone/>
              <wp:docPr id="2" name="Straight Connector 2"/>
              <wp:cNvGraphicFramePr/>
              <a:graphic xmlns:a="http://schemas.openxmlformats.org/drawingml/2006/main">
                <a:graphicData uri="http://schemas.microsoft.com/office/word/2010/wordprocessingShape">
                  <wps:wsp>
                    <wps:cNvCnPr/>
                    <wps:spPr>
                      <a:xfrm flipV="1">
                        <a:off x="0" y="0"/>
                        <a:ext cx="6377050" cy="114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1.5pt" to="503.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" strokecolor="#4579b8 [3044]"/>
          </w:pict>
        </mc:Fallback>
      </mc:AlternateContent>
    </w:r>
    <w:r>
      <w:tab/>
      <w:t xml:space="preserve">Page </w:t>
    </w:r>
    <w:sdt>
      <w:sdtPr>
        <w:id w:val="5444049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F14C3">
          <w:rPr>
            <w:noProof/>
          </w:rPr>
          <w:t>3</w:t>
        </w:r>
        <w:r>
          <w:rPr>
            <w:noProof/>
          </w:rPr>
          <w:fldChar w:fldCharType="end"/>
        </w:r>
      </w:sdtContent>
    </w:sdt>
  </w:p>
  <w:p w:rsidR="00052B8B" w:rsidRDefault="00052B8B" w:rsidP="005E4B1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D96" w:rsidRDefault="00766D96" w:rsidP="00615BCE">
      <w:pPr>
        <w:spacing w:after="0" w:line="240" w:lineRule="auto"/>
      </w:pPr>
      <w:r>
        <w:separator/>
      </w:r>
    </w:p>
  </w:footnote>
  <w:footnote w:type="continuationSeparator" w:id="0">
    <w:p w:rsidR="00766D96" w:rsidRDefault="00766D96" w:rsidP="00615BCE">
      <w:pPr>
        <w:spacing w:after="0" w:line="240" w:lineRule="auto"/>
      </w:pPr>
      <w:r>
        <w:continuationSeparator/>
      </w:r>
    </w:p>
  </w:footnote>
  <w:footnote w:id="1">
    <w:p w:rsidR="00052B8B" w:rsidRPr="006D2C25" w:rsidRDefault="00052B8B" w:rsidP="00AF1039">
      <w:pPr>
        <w:pStyle w:val="FootnoteText"/>
        <w:spacing w:line="312" w:lineRule="auto"/>
        <w:rPr>
          <w:rFonts w:ascii="Arial" w:hAnsi="Arial" w:cs="Arial"/>
        </w:rPr>
      </w:pPr>
      <w:r w:rsidRPr="006D2C25">
        <w:rPr>
          <w:rStyle w:val="FootnoteReference"/>
          <w:rFonts w:ascii="Arial" w:hAnsi="Arial" w:cs="Arial"/>
        </w:rPr>
        <w:footnoteRef/>
      </w:r>
      <w:r w:rsidRPr="006D2C25">
        <w:rPr>
          <w:rFonts w:ascii="Arial" w:hAnsi="Arial" w:cs="Arial"/>
        </w:rPr>
        <w:t xml:space="preserve"> Jean-Claude Juncker et al, </w:t>
      </w:r>
      <w:r w:rsidRPr="006D2C25">
        <w:rPr>
          <w:rFonts w:ascii="Arial" w:hAnsi="Arial" w:cs="Arial"/>
          <w:i/>
        </w:rPr>
        <w:t>Completing Europe’s Economic and Monetary Union</w:t>
      </w:r>
      <w:r>
        <w:rPr>
          <w:rFonts w:ascii="Arial" w:hAnsi="Arial" w:cs="Arial"/>
        </w:rPr>
        <w:t xml:space="preserve"> (22 June 2015).</w:t>
      </w:r>
    </w:p>
  </w:footnote>
  <w:footnote w:id="2">
    <w:p w:rsidR="00052B8B" w:rsidRPr="006D2C25" w:rsidRDefault="00052B8B" w:rsidP="00AF1039">
      <w:pPr>
        <w:pStyle w:val="FootnoteText"/>
        <w:spacing w:line="312" w:lineRule="auto"/>
        <w:rPr>
          <w:rFonts w:ascii="Arial" w:hAnsi="Arial" w:cs="Arial"/>
        </w:rPr>
      </w:pPr>
      <w:r w:rsidRPr="006D2C25">
        <w:rPr>
          <w:rStyle w:val="FootnoteReference"/>
          <w:rFonts w:ascii="Arial" w:hAnsi="Arial" w:cs="Arial"/>
        </w:rPr>
        <w:footnoteRef/>
      </w:r>
      <w:r w:rsidRPr="006D2C25">
        <w:rPr>
          <w:rFonts w:ascii="Arial" w:hAnsi="Arial" w:cs="Arial"/>
        </w:rPr>
        <w:t xml:space="preserve"> </w:t>
      </w:r>
      <w:r>
        <w:rPr>
          <w:rFonts w:ascii="Arial" w:hAnsi="Arial" w:cs="Arial"/>
        </w:rPr>
        <w:t>Ibid</w:t>
      </w:r>
      <w:r w:rsidRPr="006D2C25">
        <w:rPr>
          <w:rFonts w:ascii="Arial" w:hAnsi="Arial" w:cs="Arial"/>
        </w:rPr>
        <w:t xml:space="preserve"> 2.</w:t>
      </w:r>
    </w:p>
  </w:footnote>
  <w:footnote w:id="3">
    <w:p w:rsidR="00052B8B" w:rsidRDefault="00052B8B" w:rsidP="005B7C44">
      <w:pPr>
        <w:pStyle w:val="FootnoteText"/>
        <w:spacing w:line="312" w:lineRule="auto"/>
      </w:pPr>
      <w:r w:rsidRPr="00D46414">
        <w:rPr>
          <w:rStyle w:val="FootnoteReference"/>
          <w:rFonts w:ascii="Arial" w:hAnsi="Arial" w:cs="Arial"/>
        </w:rPr>
        <w:footnoteRef/>
      </w:r>
      <w:r>
        <w:rPr>
          <w:rFonts w:ascii="Arial" w:hAnsi="Arial" w:cs="Arial"/>
        </w:rPr>
        <w:t xml:space="preserve"> Ibid 5.</w:t>
      </w:r>
    </w:p>
  </w:footnote>
  <w:footnote w:id="4">
    <w:p w:rsidR="00052B8B" w:rsidRPr="004719D9" w:rsidRDefault="00052B8B" w:rsidP="000D7292">
      <w:pPr>
        <w:pStyle w:val="FootnoteText"/>
        <w:spacing w:line="288" w:lineRule="auto"/>
        <w:rPr>
          <w:rFonts w:ascii="Arial" w:hAnsi="Arial" w:cs="Arial"/>
        </w:rPr>
      </w:pPr>
      <w:r w:rsidRPr="004719D9">
        <w:rPr>
          <w:rStyle w:val="FootnoteReference"/>
          <w:rFonts w:ascii="Arial" w:hAnsi="Arial" w:cs="Arial"/>
        </w:rPr>
        <w:footnoteRef/>
      </w:r>
      <w:r w:rsidRPr="004719D9">
        <w:rPr>
          <w:rFonts w:ascii="Arial" w:hAnsi="Arial" w:cs="Arial"/>
        </w:rPr>
        <w:t xml:space="preserve"> Philip Lane, ‘The European Sovereign Debt Crisis’ (2012) 26 </w:t>
      </w:r>
      <w:r w:rsidRPr="004719D9">
        <w:rPr>
          <w:rFonts w:ascii="Arial" w:hAnsi="Arial" w:cs="Arial"/>
          <w:i/>
        </w:rPr>
        <w:t xml:space="preserve">Journal of Economic Perspectives </w:t>
      </w:r>
      <w:r w:rsidRPr="004719D9">
        <w:rPr>
          <w:rFonts w:ascii="Arial" w:hAnsi="Arial" w:cs="Arial"/>
        </w:rPr>
        <w:t>49, 56.</w:t>
      </w:r>
    </w:p>
  </w:footnote>
  <w:footnote w:id="5">
    <w:p w:rsidR="00052B8B" w:rsidRPr="004719D9" w:rsidRDefault="00052B8B" w:rsidP="000D7292">
      <w:pPr>
        <w:pStyle w:val="FootnoteText"/>
        <w:spacing w:line="288" w:lineRule="auto"/>
        <w:rPr>
          <w:rFonts w:ascii="Arial" w:hAnsi="Arial" w:cs="Arial"/>
        </w:rPr>
      </w:pPr>
      <w:r w:rsidRPr="004719D9">
        <w:rPr>
          <w:rStyle w:val="FootnoteReference"/>
          <w:rFonts w:ascii="Arial" w:hAnsi="Arial" w:cs="Arial"/>
        </w:rPr>
        <w:footnoteRef/>
      </w:r>
      <w:r w:rsidRPr="004719D9">
        <w:rPr>
          <w:rFonts w:ascii="Arial" w:hAnsi="Arial" w:cs="Arial"/>
        </w:rPr>
        <w:t xml:space="preserve"> Christoph Herrmann, ‘Legal Aspects of the European Sovereign Debt Crisis’ 41 (2013) </w:t>
      </w:r>
      <w:r w:rsidRPr="004719D9">
        <w:rPr>
          <w:rFonts w:ascii="Arial" w:hAnsi="Arial" w:cs="Arial"/>
          <w:i/>
        </w:rPr>
        <w:t xml:space="preserve">Hitotsubashi Journal of Law and Politics </w:t>
      </w:r>
      <w:r w:rsidRPr="004719D9">
        <w:rPr>
          <w:rFonts w:ascii="Arial" w:hAnsi="Arial" w:cs="Arial"/>
        </w:rPr>
        <w:t>25, 26.</w:t>
      </w:r>
    </w:p>
  </w:footnote>
  <w:footnote w:id="6">
    <w:p w:rsidR="00052B8B" w:rsidRPr="004719D9" w:rsidRDefault="00052B8B" w:rsidP="000D7292">
      <w:pPr>
        <w:pStyle w:val="FootnoteText"/>
        <w:spacing w:line="288" w:lineRule="auto"/>
        <w:rPr>
          <w:rFonts w:ascii="Arial" w:hAnsi="Arial" w:cs="Arial"/>
        </w:rPr>
      </w:pPr>
      <w:r w:rsidRPr="004719D9">
        <w:rPr>
          <w:rStyle w:val="FootnoteReference"/>
          <w:rFonts w:ascii="Arial" w:hAnsi="Arial" w:cs="Arial"/>
        </w:rPr>
        <w:footnoteRef/>
      </w:r>
      <w:r w:rsidRPr="004719D9">
        <w:rPr>
          <w:rFonts w:ascii="Arial" w:hAnsi="Arial" w:cs="Arial"/>
        </w:rPr>
        <w:t xml:space="preserve"> Lane</w:t>
      </w:r>
      <w:r>
        <w:rPr>
          <w:rFonts w:ascii="Arial" w:hAnsi="Arial" w:cs="Arial"/>
        </w:rPr>
        <w:t>, above n 4</w:t>
      </w:r>
      <w:r w:rsidRPr="004719D9">
        <w:rPr>
          <w:rFonts w:ascii="Arial" w:hAnsi="Arial" w:cs="Arial"/>
        </w:rPr>
        <w:t>, 56.</w:t>
      </w:r>
    </w:p>
  </w:footnote>
  <w:footnote w:id="7">
    <w:p w:rsidR="00052B8B" w:rsidRPr="004719D9" w:rsidRDefault="00052B8B" w:rsidP="000D7292">
      <w:pPr>
        <w:pStyle w:val="FootnoteText"/>
        <w:spacing w:line="288" w:lineRule="auto"/>
        <w:rPr>
          <w:rFonts w:ascii="Arial" w:hAnsi="Arial" w:cs="Arial"/>
        </w:rPr>
      </w:pPr>
      <w:r w:rsidRPr="004719D9">
        <w:rPr>
          <w:rStyle w:val="FootnoteReference"/>
          <w:rFonts w:ascii="Arial" w:hAnsi="Arial" w:cs="Arial"/>
        </w:rPr>
        <w:footnoteRef/>
      </w:r>
      <w:r w:rsidRPr="004719D9">
        <w:rPr>
          <w:rFonts w:ascii="Arial" w:hAnsi="Arial" w:cs="Arial"/>
        </w:rPr>
        <w:t xml:space="preserve"> Herrmann, </w:t>
      </w:r>
      <w:r>
        <w:rPr>
          <w:rFonts w:ascii="Arial" w:hAnsi="Arial" w:cs="Arial"/>
        </w:rPr>
        <w:t>above n 5</w:t>
      </w:r>
      <w:r w:rsidRPr="004719D9">
        <w:rPr>
          <w:rFonts w:ascii="Arial" w:hAnsi="Arial" w:cs="Arial"/>
        </w:rPr>
        <w:t>, 26.</w:t>
      </w:r>
    </w:p>
  </w:footnote>
  <w:footnote w:id="8">
    <w:p w:rsidR="00052B8B" w:rsidRPr="004719D9" w:rsidRDefault="00052B8B" w:rsidP="000D7292">
      <w:pPr>
        <w:pStyle w:val="FootnoteText"/>
        <w:spacing w:line="288" w:lineRule="auto"/>
        <w:rPr>
          <w:rFonts w:ascii="Arial" w:hAnsi="Arial" w:cs="Arial"/>
        </w:rPr>
      </w:pPr>
      <w:r w:rsidRPr="004719D9">
        <w:rPr>
          <w:rStyle w:val="FootnoteReference"/>
          <w:rFonts w:ascii="Arial" w:hAnsi="Arial" w:cs="Arial"/>
        </w:rPr>
        <w:footnoteRef/>
      </w:r>
      <w:r w:rsidRPr="004719D9">
        <w:rPr>
          <w:rFonts w:ascii="Arial" w:hAnsi="Arial" w:cs="Arial"/>
        </w:rPr>
        <w:t xml:space="preserve"> Lane</w:t>
      </w:r>
      <w:r>
        <w:rPr>
          <w:rFonts w:ascii="Arial" w:hAnsi="Arial" w:cs="Arial"/>
        </w:rPr>
        <w:t>, above n 4</w:t>
      </w:r>
      <w:r w:rsidRPr="004719D9">
        <w:rPr>
          <w:rFonts w:ascii="Arial" w:hAnsi="Arial" w:cs="Arial"/>
        </w:rPr>
        <w:t>, 56.</w:t>
      </w:r>
    </w:p>
  </w:footnote>
  <w:footnote w:id="9">
    <w:p w:rsidR="00052B8B" w:rsidRPr="004719D9" w:rsidRDefault="00052B8B" w:rsidP="000D7292">
      <w:pPr>
        <w:pStyle w:val="FootnoteText"/>
        <w:spacing w:line="288" w:lineRule="auto"/>
        <w:rPr>
          <w:rFonts w:ascii="Arial" w:hAnsi="Arial" w:cs="Arial"/>
        </w:rPr>
      </w:pPr>
      <w:r w:rsidRPr="004719D9">
        <w:rPr>
          <w:rStyle w:val="FootnoteReference"/>
          <w:rFonts w:ascii="Arial" w:hAnsi="Arial" w:cs="Arial"/>
        </w:rPr>
        <w:footnoteRef/>
      </w:r>
      <w:r w:rsidRPr="004719D9">
        <w:rPr>
          <w:rFonts w:ascii="Arial" w:hAnsi="Arial" w:cs="Arial"/>
        </w:rPr>
        <w:t xml:space="preserve"> </w:t>
      </w:r>
      <w:r>
        <w:rPr>
          <w:rFonts w:ascii="Arial" w:hAnsi="Arial" w:cs="Arial"/>
        </w:rPr>
        <w:t>Ibid.</w:t>
      </w:r>
    </w:p>
  </w:footnote>
  <w:footnote w:id="10">
    <w:p w:rsidR="00052B8B" w:rsidRPr="004719D9" w:rsidRDefault="00052B8B" w:rsidP="000D7292">
      <w:pPr>
        <w:pStyle w:val="FootnoteText"/>
        <w:spacing w:line="288" w:lineRule="auto"/>
        <w:rPr>
          <w:rFonts w:ascii="Arial" w:hAnsi="Arial" w:cs="Arial"/>
        </w:rPr>
      </w:pPr>
      <w:r w:rsidRPr="004719D9">
        <w:rPr>
          <w:rStyle w:val="FootnoteReference"/>
          <w:rFonts w:ascii="Arial" w:hAnsi="Arial" w:cs="Arial"/>
        </w:rPr>
        <w:footnoteRef/>
      </w:r>
      <w:r w:rsidRPr="004719D9">
        <w:rPr>
          <w:rFonts w:ascii="Arial" w:hAnsi="Arial" w:cs="Arial"/>
        </w:rPr>
        <w:t xml:space="preserve"> Herrmann, </w:t>
      </w:r>
      <w:r>
        <w:rPr>
          <w:rFonts w:ascii="Arial" w:hAnsi="Arial" w:cs="Arial"/>
        </w:rPr>
        <w:t>above n 5</w:t>
      </w:r>
      <w:r w:rsidRPr="004719D9">
        <w:rPr>
          <w:rFonts w:ascii="Arial" w:hAnsi="Arial" w:cs="Arial"/>
        </w:rPr>
        <w:t>, 26.</w:t>
      </w:r>
    </w:p>
  </w:footnote>
  <w:footnote w:id="11">
    <w:p w:rsidR="00052B8B" w:rsidRPr="004719D9" w:rsidRDefault="00052B8B" w:rsidP="000D7292">
      <w:pPr>
        <w:pStyle w:val="FootnoteText"/>
        <w:spacing w:line="288" w:lineRule="auto"/>
        <w:rPr>
          <w:rFonts w:ascii="Arial" w:hAnsi="Arial" w:cs="Arial"/>
        </w:rPr>
      </w:pPr>
      <w:r w:rsidRPr="004719D9">
        <w:rPr>
          <w:rStyle w:val="FootnoteReference"/>
          <w:rFonts w:ascii="Arial" w:hAnsi="Arial" w:cs="Arial"/>
        </w:rPr>
        <w:footnoteRef/>
      </w:r>
      <w:r w:rsidRPr="004719D9">
        <w:rPr>
          <w:rFonts w:ascii="Arial" w:hAnsi="Arial" w:cs="Arial"/>
        </w:rPr>
        <w:t xml:space="preserve"> Ibid.</w:t>
      </w:r>
    </w:p>
  </w:footnote>
  <w:footnote w:id="12">
    <w:p w:rsidR="00052B8B" w:rsidRPr="004719D9" w:rsidRDefault="00052B8B" w:rsidP="000D7292">
      <w:pPr>
        <w:pStyle w:val="FootnoteText"/>
        <w:spacing w:line="288" w:lineRule="auto"/>
        <w:rPr>
          <w:rFonts w:ascii="Arial" w:hAnsi="Arial" w:cs="Arial"/>
        </w:rPr>
      </w:pPr>
      <w:r w:rsidRPr="004719D9">
        <w:rPr>
          <w:rStyle w:val="FootnoteReference"/>
          <w:rFonts w:ascii="Arial" w:hAnsi="Arial" w:cs="Arial"/>
        </w:rPr>
        <w:footnoteRef/>
      </w:r>
      <w:r w:rsidRPr="004719D9">
        <w:rPr>
          <w:rFonts w:ascii="Arial" w:hAnsi="Arial" w:cs="Arial"/>
        </w:rPr>
        <w:t xml:space="preserve"> Lane</w:t>
      </w:r>
      <w:r>
        <w:rPr>
          <w:rFonts w:ascii="Arial" w:hAnsi="Arial" w:cs="Arial"/>
        </w:rPr>
        <w:t xml:space="preserve">, above n 4, </w:t>
      </w:r>
      <w:r w:rsidRPr="004719D9">
        <w:rPr>
          <w:rFonts w:ascii="Arial" w:hAnsi="Arial" w:cs="Arial"/>
        </w:rPr>
        <w:t>56</w:t>
      </w:r>
      <w:r>
        <w:rPr>
          <w:rFonts w:ascii="Arial" w:hAnsi="Arial" w:cs="Arial"/>
        </w:rPr>
        <w:t>-57.</w:t>
      </w:r>
    </w:p>
  </w:footnote>
  <w:footnote w:id="13">
    <w:p w:rsidR="00052B8B" w:rsidRPr="004719D9" w:rsidRDefault="00052B8B" w:rsidP="000D7292">
      <w:pPr>
        <w:pStyle w:val="FootnoteText"/>
        <w:spacing w:line="288" w:lineRule="auto"/>
        <w:rPr>
          <w:rFonts w:ascii="Arial" w:hAnsi="Arial" w:cs="Arial"/>
        </w:rPr>
      </w:pPr>
      <w:r w:rsidRPr="004719D9">
        <w:rPr>
          <w:rStyle w:val="FootnoteReference"/>
          <w:rFonts w:ascii="Arial" w:hAnsi="Arial" w:cs="Arial"/>
        </w:rPr>
        <w:footnoteRef/>
      </w:r>
      <w:r w:rsidRPr="004719D9">
        <w:rPr>
          <w:rFonts w:ascii="Arial" w:hAnsi="Arial" w:cs="Arial"/>
        </w:rPr>
        <w:t xml:space="preserve"> Herrmann, </w:t>
      </w:r>
      <w:r>
        <w:rPr>
          <w:rFonts w:ascii="Arial" w:hAnsi="Arial" w:cs="Arial"/>
        </w:rPr>
        <w:t>above n 5</w:t>
      </w:r>
      <w:r w:rsidRPr="004719D9">
        <w:rPr>
          <w:rFonts w:ascii="Arial" w:hAnsi="Arial" w:cs="Arial"/>
        </w:rPr>
        <w:t>, 26.</w:t>
      </w:r>
    </w:p>
  </w:footnote>
  <w:footnote w:id="14">
    <w:p w:rsidR="00052B8B" w:rsidRPr="004719D9" w:rsidRDefault="00052B8B" w:rsidP="000D7292">
      <w:pPr>
        <w:pStyle w:val="FootnoteText"/>
        <w:spacing w:line="288" w:lineRule="auto"/>
        <w:rPr>
          <w:rFonts w:ascii="Arial" w:hAnsi="Arial" w:cs="Arial"/>
        </w:rPr>
      </w:pPr>
      <w:r w:rsidRPr="004719D9">
        <w:rPr>
          <w:rStyle w:val="FootnoteReference"/>
          <w:rFonts w:ascii="Arial" w:hAnsi="Arial" w:cs="Arial"/>
        </w:rPr>
        <w:footnoteRef/>
      </w:r>
      <w:r w:rsidRPr="004719D9">
        <w:rPr>
          <w:rFonts w:ascii="Arial" w:hAnsi="Arial" w:cs="Arial"/>
        </w:rPr>
        <w:t xml:space="preserve"> Ibid 27.</w:t>
      </w:r>
    </w:p>
  </w:footnote>
  <w:footnote w:id="15">
    <w:p w:rsidR="00052B8B" w:rsidRPr="004719D9" w:rsidRDefault="00052B8B" w:rsidP="000D7292">
      <w:pPr>
        <w:pStyle w:val="FootnoteText"/>
        <w:spacing w:line="288" w:lineRule="auto"/>
        <w:rPr>
          <w:rFonts w:ascii="Arial" w:hAnsi="Arial" w:cs="Arial"/>
        </w:rPr>
      </w:pPr>
      <w:r w:rsidRPr="004719D9">
        <w:rPr>
          <w:rStyle w:val="FootnoteReference"/>
          <w:rFonts w:ascii="Arial" w:hAnsi="Arial" w:cs="Arial"/>
        </w:rPr>
        <w:footnoteRef/>
      </w:r>
      <w:r w:rsidRPr="004719D9">
        <w:rPr>
          <w:rFonts w:ascii="Arial" w:hAnsi="Arial" w:cs="Arial"/>
        </w:rPr>
        <w:t xml:space="preserve"> </w:t>
      </w:r>
      <w:r>
        <w:rPr>
          <w:rFonts w:ascii="Arial" w:hAnsi="Arial" w:cs="Arial"/>
        </w:rPr>
        <w:t>Ibid.</w:t>
      </w:r>
    </w:p>
  </w:footnote>
  <w:footnote w:id="16">
    <w:p w:rsidR="00052B8B" w:rsidRPr="00002CA2" w:rsidRDefault="00052B8B" w:rsidP="003A4602">
      <w:pPr>
        <w:pStyle w:val="FootnoteText"/>
        <w:spacing w:line="312" w:lineRule="auto"/>
        <w:rPr>
          <w:rFonts w:ascii="Arial" w:hAnsi="Arial" w:cs="Arial"/>
        </w:rPr>
      </w:pPr>
      <w:r w:rsidRPr="00002CA2">
        <w:rPr>
          <w:rStyle w:val="FootnoteReference"/>
          <w:rFonts w:ascii="Arial" w:hAnsi="Arial" w:cs="Arial"/>
        </w:rPr>
        <w:footnoteRef/>
      </w:r>
      <w:r w:rsidRPr="00002CA2">
        <w:rPr>
          <w:rFonts w:ascii="Arial" w:hAnsi="Arial" w:cs="Arial"/>
        </w:rPr>
        <w:t xml:space="preserve"> Ibid 26.</w:t>
      </w:r>
    </w:p>
  </w:footnote>
  <w:footnote w:id="17">
    <w:p w:rsidR="00002CA2" w:rsidRPr="00002CA2" w:rsidRDefault="00002CA2" w:rsidP="00002CA2">
      <w:pPr>
        <w:pStyle w:val="FootnoteText"/>
        <w:spacing w:line="312" w:lineRule="auto"/>
        <w:rPr>
          <w:rFonts w:ascii="Arial" w:hAnsi="Arial" w:cs="Arial"/>
        </w:rPr>
      </w:pPr>
      <w:r w:rsidRPr="00002CA2">
        <w:rPr>
          <w:rStyle w:val="FootnoteReference"/>
          <w:rFonts w:ascii="Arial" w:hAnsi="Arial" w:cs="Arial"/>
        </w:rPr>
        <w:footnoteRef/>
      </w:r>
      <w:r w:rsidRPr="00002CA2">
        <w:rPr>
          <w:rFonts w:ascii="Arial" w:hAnsi="Arial" w:cs="Arial"/>
        </w:rPr>
        <w:t xml:space="preserve"> </w:t>
      </w:r>
      <w:r>
        <w:rPr>
          <w:rFonts w:ascii="Arial" w:hAnsi="Arial" w:cs="Arial"/>
          <w:i/>
        </w:rPr>
        <w:t>Council Regulation (EU)</w:t>
      </w:r>
      <w:r w:rsidRPr="00002CA2">
        <w:rPr>
          <w:rFonts w:ascii="Arial" w:hAnsi="Arial" w:cs="Arial"/>
          <w:i/>
        </w:rPr>
        <w:t xml:space="preserve"> </w:t>
      </w:r>
      <w:r w:rsidR="007C2D19">
        <w:rPr>
          <w:rFonts w:ascii="Arial" w:hAnsi="Arial" w:cs="Arial"/>
          <w:i/>
        </w:rPr>
        <w:t>407/2010</w:t>
      </w:r>
      <w:r w:rsidRPr="00002CA2">
        <w:rPr>
          <w:rFonts w:ascii="Arial" w:hAnsi="Arial" w:cs="Arial"/>
          <w:i/>
        </w:rPr>
        <w:t xml:space="preserve"> of </w:t>
      </w:r>
      <w:r w:rsidR="007C2D19">
        <w:rPr>
          <w:rFonts w:ascii="Arial" w:hAnsi="Arial" w:cs="Arial"/>
          <w:i/>
        </w:rPr>
        <w:t>11</w:t>
      </w:r>
      <w:r w:rsidRPr="00002CA2">
        <w:rPr>
          <w:rFonts w:ascii="Arial" w:hAnsi="Arial" w:cs="Arial"/>
          <w:i/>
        </w:rPr>
        <w:t xml:space="preserve"> </w:t>
      </w:r>
      <w:r w:rsidR="007C2D19">
        <w:rPr>
          <w:rFonts w:ascii="Arial" w:hAnsi="Arial" w:cs="Arial"/>
          <w:i/>
        </w:rPr>
        <w:t>May 2010</w:t>
      </w:r>
      <w:r w:rsidRPr="00002CA2">
        <w:rPr>
          <w:rFonts w:ascii="Arial" w:hAnsi="Arial" w:cs="Arial"/>
          <w:i/>
        </w:rPr>
        <w:t xml:space="preserve"> </w:t>
      </w:r>
      <w:r w:rsidR="007C2D19">
        <w:rPr>
          <w:rFonts w:ascii="Arial" w:hAnsi="Arial" w:cs="Arial"/>
          <w:i/>
        </w:rPr>
        <w:t xml:space="preserve">Establishing a European Financial Stabilisation Mechanism </w:t>
      </w:r>
      <w:r w:rsidRPr="00002CA2">
        <w:rPr>
          <w:rFonts w:ascii="Arial" w:hAnsi="Arial" w:cs="Arial"/>
          <w:i/>
        </w:rPr>
        <w:t xml:space="preserve"> </w:t>
      </w:r>
      <w:r w:rsidRPr="00002CA2">
        <w:rPr>
          <w:rFonts w:ascii="Arial" w:hAnsi="Arial" w:cs="Arial"/>
        </w:rPr>
        <w:t>[201</w:t>
      </w:r>
      <w:r w:rsidR="007C2D19">
        <w:rPr>
          <w:rFonts w:ascii="Arial" w:hAnsi="Arial" w:cs="Arial"/>
        </w:rPr>
        <w:t>0</w:t>
      </w:r>
      <w:r w:rsidRPr="00002CA2">
        <w:rPr>
          <w:rFonts w:ascii="Arial" w:hAnsi="Arial" w:cs="Arial"/>
        </w:rPr>
        <w:t>] OJ L 1</w:t>
      </w:r>
      <w:r w:rsidR="007C2D19">
        <w:rPr>
          <w:rFonts w:ascii="Arial" w:hAnsi="Arial" w:cs="Arial"/>
        </w:rPr>
        <w:t>18</w:t>
      </w:r>
      <w:r w:rsidRPr="00002CA2">
        <w:rPr>
          <w:rFonts w:ascii="Arial" w:hAnsi="Arial" w:cs="Arial"/>
        </w:rPr>
        <w:t>/</w:t>
      </w:r>
      <w:r w:rsidR="007C2D19">
        <w:rPr>
          <w:rFonts w:ascii="Arial" w:hAnsi="Arial" w:cs="Arial"/>
        </w:rPr>
        <w:t>1</w:t>
      </w:r>
      <w:r w:rsidRPr="00002CA2">
        <w:rPr>
          <w:rFonts w:ascii="Arial" w:hAnsi="Arial" w:cs="Arial"/>
        </w:rPr>
        <w:t>.</w:t>
      </w:r>
    </w:p>
  </w:footnote>
  <w:footnote w:id="18">
    <w:p w:rsidR="00052B8B" w:rsidRPr="00002CA2" w:rsidRDefault="00052B8B" w:rsidP="003A4602">
      <w:pPr>
        <w:pStyle w:val="FootnoteText"/>
        <w:spacing w:line="312" w:lineRule="auto"/>
        <w:rPr>
          <w:rFonts w:ascii="Arial" w:hAnsi="Arial" w:cs="Arial"/>
        </w:rPr>
      </w:pPr>
      <w:r w:rsidRPr="00002CA2">
        <w:rPr>
          <w:rStyle w:val="FootnoteReference"/>
          <w:rFonts w:ascii="Arial" w:hAnsi="Arial" w:cs="Arial"/>
        </w:rPr>
        <w:footnoteRef/>
      </w:r>
      <w:r w:rsidRPr="00002CA2">
        <w:rPr>
          <w:rFonts w:ascii="Arial" w:hAnsi="Arial" w:cs="Arial"/>
        </w:rPr>
        <w:t xml:space="preserve"> </w:t>
      </w:r>
      <w:r w:rsidR="00002CA2" w:rsidRPr="00002CA2">
        <w:rPr>
          <w:rFonts w:ascii="Arial" w:hAnsi="Arial" w:cs="Arial"/>
        </w:rPr>
        <w:t>Herrmann, above n 5, 27</w:t>
      </w:r>
      <w:r w:rsidRPr="00002CA2">
        <w:rPr>
          <w:rFonts w:ascii="Arial" w:hAnsi="Arial" w:cs="Arial"/>
        </w:rPr>
        <w:t>.</w:t>
      </w:r>
    </w:p>
  </w:footnote>
  <w:footnote w:id="19">
    <w:p w:rsidR="00052B8B" w:rsidRPr="00002CA2" w:rsidRDefault="00052B8B" w:rsidP="003A4602">
      <w:pPr>
        <w:pStyle w:val="FootnoteText"/>
        <w:spacing w:line="312" w:lineRule="auto"/>
        <w:rPr>
          <w:rFonts w:ascii="Arial" w:hAnsi="Arial" w:cs="Arial"/>
        </w:rPr>
      </w:pPr>
      <w:r w:rsidRPr="00002CA2">
        <w:rPr>
          <w:rStyle w:val="FootnoteReference"/>
          <w:rFonts w:ascii="Arial" w:hAnsi="Arial" w:cs="Arial"/>
        </w:rPr>
        <w:footnoteRef/>
      </w:r>
      <w:r w:rsidRPr="00002CA2">
        <w:rPr>
          <w:rFonts w:ascii="Arial" w:hAnsi="Arial" w:cs="Arial"/>
        </w:rPr>
        <w:t xml:space="preserve"> Bjorn Hacker, </w:t>
      </w:r>
      <w:r w:rsidRPr="00002CA2">
        <w:rPr>
          <w:rFonts w:ascii="Arial" w:hAnsi="Arial" w:cs="Arial"/>
          <w:i/>
        </w:rPr>
        <w:t xml:space="preserve">On the Way to a Fiscal or a Stability Union? </w:t>
      </w:r>
      <w:r w:rsidRPr="00002CA2">
        <w:rPr>
          <w:rFonts w:ascii="Arial" w:hAnsi="Arial" w:cs="Arial"/>
        </w:rPr>
        <w:t>(December 2013) Friedrich Ebert Stiftung, 2. &lt;</w:t>
      </w:r>
      <w:r w:rsidRPr="00002CA2">
        <w:rPr>
          <w:rStyle w:val="Hyperlink"/>
          <w:rFonts w:ascii="Arial" w:hAnsi="Arial" w:cs="Arial"/>
        </w:rPr>
        <w:t>http://library.fes.de/pdf-files/id/ipa/10400.pdf&gt;</w:t>
      </w:r>
    </w:p>
  </w:footnote>
  <w:footnote w:id="20">
    <w:p w:rsidR="00052B8B" w:rsidRPr="00002CA2" w:rsidRDefault="00052B8B" w:rsidP="003A4602">
      <w:pPr>
        <w:pStyle w:val="FootnoteText"/>
        <w:spacing w:line="312" w:lineRule="auto"/>
        <w:rPr>
          <w:rFonts w:ascii="Arial" w:hAnsi="Arial" w:cs="Arial"/>
        </w:rPr>
      </w:pPr>
      <w:r w:rsidRPr="00002CA2">
        <w:rPr>
          <w:rStyle w:val="FootnoteReference"/>
          <w:rFonts w:ascii="Arial" w:hAnsi="Arial" w:cs="Arial"/>
        </w:rPr>
        <w:footnoteRef/>
      </w:r>
      <w:r w:rsidRPr="00002CA2">
        <w:rPr>
          <w:rFonts w:ascii="Arial" w:hAnsi="Arial" w:cs="Arial"/>
        </w:rPr>
        <w:t xml:space="preserve"> Ibid.</w:t>
      </w:r>
    </w:p>
  </w:footnote>
  <w:footnote w:id="21">
    <w:p w:rsidR="00052B8B" w:rsidRPr="00002CA2" w:rsidRDefault="00052B8B" w:rsidP="003A4602">
      <w:pPr>
        <w:pStyle w:val="FootnoteText"/>
        <w:spacing w:line="312" w:lineRule="auto"/>
        <w:rPr>
          <w:rFonts w:ascii="Arial" w:hAnsi="Arial" w:cs="Arial"/>
        </w:rPr>
      </w:pPr>
      <w:r w:rsidRPr="00002CA2">
        <w:rPr>
          <w:rStyle w:val="FootnoteReference"/>
          <w:rFonts w:ascii="Arial" w:hAnsi="Arial" w:cs="Arial"/>
        </w:rPr>
        <w:footnoteRef/>
      </w:r>
      <w:r w:rsidRPr="00002CA2">
        <w:rPr>
          <w:rFonts w:ascii="Arial" w:hAnsi="Arial" w:cs="Arial"/>
        </w:rPr>
        <w:t xml:space="preserve"> Ibid.</w:t>
      </w:r>
    </w:p>
  </w:footnote>
  <w:footnote w:id="22">
    <w:p w:rsidR="00052B8B" w:rsidRPr="00002CA2" w:rsidRDefault="00052B8B" w:rsidP="003A4602">
      <w:pPr>
        <w:pStyle w:val="FootnoteText"/>
        <w:spacing w:line="312" w:lineRule="auto"/>
        <w:rPr>
          <w:rFonts w:ascii="Arial" w:hAnsi="Arial" w:cs="Arial"/>
        </w:rPr>
      </w:pPr>
      <w:r w:rsidRPr="00002CA2">
        <w:rPr>
          <w:rStyle w:val="FootnoteReference"/>
          <w:rFonts w:ascii="Arial" w:hAnsi="Arial" w:cs="Arial"/>
        </w:rPr>
        <w:footnoteRef/>
      </w:r>
      <w:r w:rsidRPr="00002CA2">
        <w:rPr>
          <w:rFonts w:ascii="Arial" w:hAnsi="Arial" w:cs="Arial"/>
        </w:rPr>
        <w:t xml:space="preserve"> Euro Summit, </w:t>
      </w:r>
      <w:r w:rsidRPr="00002CA2">
        <w:rPr>
          <w:rFonts w:ascii="Arial" w:hAnsi="Arial" w:cs="Arial"/>
          <w:i/>
        </w:rPr>
        <w:t xml:space="preserve">Euro Summit Statement </w:t>
      </w:r>
      <w:r w:rsidRPr="00002CA2">
        <w:rPr>
          <w:rFonts w:ascii="Arial" w:hAnsi="Arial" w:cs="Arial"/>
        </w:rPr>
        <w:t>(26 October 2011), 10 &lt;</w:t>
      </w:r>
      <w:hyperlink r:id="rId1" w:history="1">
        <w:r w:rsidRPr="00002CA2">
          <w:rPr>
            <w:rStyle w:val="Hyperlink"/>
            <w:rFonts w:ascii="Arial" w:hAnsi="Arial" w:cs="Arial"/>
          </w:rPr>
          <w:t>http://www.consilium.europa.eu/uedocs/cms_Data/docs/pressdata/en/ec/125644.pdf</w:t>
        </w:r>
      </w:hyperlink>
      <w:r w:rsidRPr="00002CA2">
        <w:rPr>
          <w:rFonts w:ascii="Arial" w:hAnsi="Arial" w:cs="Arial"/>
        </w:rPr>
        <w:t>&gt;.</w:t>
      </w:r>
    </w:p>
  </w:footnote>
  <w:footnote w:id="23">
    <w:p w:rsidR="00052B8B" w:rsidRPr="00002CA2" w:rsidRDefault="00052B8B" w:rsidP="003A4602">
      <w:pPr>
        <w:pStyle w:val="FootnoteText"/>
        <w:spacing w:line="312" w:lineRule="auto"/>
        <w:rPr>
          <w:rFonts w:ascii="Arial" w:hAnsi="Arial" w:cs="Arial"/>
        </w:rPr>
      </w:pPr>
      <w:r w:rsidRPr="00002CA2">
        <w:rPr>
          <w:rStyle w:val="FootnoteReference"/>
          <w:rFonts w:ascii="Arial" w:hAnsi="Arial" w:cs="Arial"/>
        </w:rPr>
        <w:footnoteRef/>
      </w:r>
      <w:r w:rsidRPr="00002CA2">
        <w:rPr>
          <w:rFonts w:ascii="Arial" w:hAnsi="Arial" w:cs="Arial"/>
        </w:rPr>
        <w:t xml:space="preserve"> Ibid.</w:t>
      </w:r>
    </w:p>
  </w:footnote>
  <w:footnote w:id="24">
    <w:p w:rsidR="00052B8B" w:rsidRPr="00002CA2" w:rsidRDefault="00052B8B" w:rsidP="003A4602">
      <w:pPr>
        <w:pStyle w:val="FootnoteText"/>
        <w:spacing w:line="312" w:lineRule="auto"/>
        <w:rPr>
          <w:rFonts w:ascii="Arial" w:hAnsi="Arial" w:cs="Arial"/>
        </w:rPr>
      </w:pPr>
      <w:r w:rsidRPr="00002CA2">
        <w:rPr>
          <w:rStyle w:val="FootnoteReference"/>
          <w:rFonts w:ascii="Arial" w:hAnsi="Arial" w:cs="Arial"/>
        </w:rPr>
        <w:footnoteRef/>
      </w:r>
      <w:r w:rsidRPr="00002CA2">
        <w:rPr>
          <w:rFonts w:ascii="Arial" w:hAnsi="Arial" w:cs="Arial"/>
        </w:rPr>
        <w:t xml:space="preserve"> Herman Van Rompuy et al, </w:t>
      </w:r>
      <w:r w:rsidRPr="00002CA2">
        <w:rPr>
          <w:rFonts w:ascii="Arial" w:hAnsi="Arial" w:cs="Arial"/>
          <w:i/>
        </w:rPr>
        <w:t>Towards a Genuine Economic and Monetary Union</w:t>
      </w:r>
      <w:r w:rsidRPr="00002CA2">
        <w:rPr>
          <w:rFonts w:ascii="Arial" w:hAnsi="Arial" w:cs="Arial"/>
        </w:rPr>
        <w:t xml:space="preserve"> (5 December 2012).</w:t>
      </w:r>
    </w:p>
  </w:footnote>
  <w:footnote w:id="25">
    <w:p w:rsidR="00052B8B" w:rsidRPr="00002CA2" w:rsidRDefault="00052B8B" w:rsidP="003A4602">
      <w:pPr>
        <w:pStyle w:val="FootnoteText"/>
        <w:spacing w:line="312" w:lineRule="auto"/>
        <w:rPr>
          <w:rFonts w:ascii="Arial" w:hAnsi="Arial" w:cs="Arial"/>
        </w:rPr>
      </w:pPr>
      <w:r w:rsidRPr="00002CA2">
        <w:rPr>
          <w:rStyle w:val="FootnoteReference"/>
          <w:rFonts w:ascii="Arial" w:hAnsi="Arial" w:cs="Arial"/>
        </w:rPr>
        <w:footnoteRef/>
      </w:r>
      <w:r w:rsidRPr="00002CA2">
        <w:rPr>
          <w:rFonts w:ascii="Arial" w:hAnsi="Arial" w:cs="Arial"/>
        </w:rPr>
        <w:t xml:space="preserve"> Hacker, above n 19, 2.</w:t>
      </w:r>
    </w:p>
  </w:footnote>
  <w:footnote w:id="26">
    <w:p w:rsidR="00052B8B" w:rsidRPr="007D41EE" w:rsidRDefault="00052B8B" w:rsidP="007D41EE">
      <w:pPr>
        <w:pStyle w:val="FootnoteText"/>
        <w:spacing w:line="312" w:lineRule="auto"/>
        <w:rPr>
          <w:rFonts w:ascii="Arial" w:hAnsi="Arial" w:cs="Arial"/>
        </w:rPr>
      </w:pPr>
      <w:r w:rsidRPr="007D41EE">
        <w:rPr>
          <w:rStyle w:val="FootnoteReference"/>
          <w:rFonts w:ascii="Arial" w:hAnsi="Arial" w:cs="Arial"/>
        </w:rPr>
        <w:footnoteRef/>
      </w:r>
      <w:r w:rsidRPr="007D41EE">
        <w:rPr>
          <w:rFonts w:ascii="Arial" w:hAnsi="Arial" w:cs="Arial"/>
        </w:rPr>
        <w:t xml:space="preserve"> Ibid.</w:t>
      </w:r>
    </w:p>
  </w:footnote>
  <w:footnote w:id="27">
    <w:p w:rsidR="00052B8B" w:rsidRPr="007D41EE" w:rsidRDefault="00052B8B" w:rsidP="007D41EE">
      <w:pPr>
        <w:pStyle w:val="FootnoteText"/>
        <w:spacing w:line="312" w:lineRule="auto"/>
        <w:rPr>
          <w:rFonts w:ascii="Arial" w:hAnsi="Arial" w:cs="Arial"/>
          <w:i/>
        </w:rPr>
      </w:pPr>
      <w:r w:rsidRPr="007D41EE">
        <w:rPr>
          <w:rStyle w:val="FootnoteReference"/>
          <w:rFonts w:ascii="Arial" w:hAnsi="Arial" w:cs="Arial"/>
        </w:rPr>
        <w:footnoteRef/>
      </w:r>
      <w:r w:rsidRPr="007D41EE">
        <w:rPr>
          <w:rFonts w:ascii="Arial" w:hAnsi="Arial" w:cs="Arial"/>
        </w:rPr>
        <w:t xml:space="preserve"> Lane, </w:t>
      </w:r>
      <w:r>
        <w:rPr>
          <w:rFonts w:ascii="Arial" w:hAnsi="Arial" w:cs="Arial"/>
        </w:rPr>
        <w:t>above n 4</w:t>
      </w:r>
      <w:r w:rsidRPr="007D41EE">
        <w:rPr>
          <w:rFonts w:ascii="Arial" w:hAnsi="Arial" w:cs="Arial"/>
        </w:rPr>
        <w:t>, 65.</w:t>
      </w:r>
    </w:p>
  </w:footnote>
  <w:footnote w:id="28">
    <w:p w:rsidR="00052B8B" w:rsidRPr="007D41EE" w:rsidRDefault="00052B8B" w:rsidP="007D41EE">
      <w:pPr>
        <w:pStyle w:val="FootnoteText"/>
        <w:tabs>
          <w:tab w:val="left" w:pos="1365"/>
        </w:tabs>
        <w:spacing w:line="312" w:lineRule="auto"/>
        <w:rPr>
          <w:rFonts w:ascii="Arial" w:hAnsi="Arial" w:cs="Arial"/>
        </w:rPr>
      </w:pPr>
      <w:r w:rsidRPr="007D41EE">
        <w:rPr>
          <w:rStyle w:val="FootnoteReference"/>
          <w:rFonts w:ascii="Arial" w:hAnsi="Arial" w:cs="Arial"/>
        </w:rPr>
        <w:footnoteRef/>
      </w:r>
      <w:r w:rsidRPr="007D41EE">
        <w:rPr>
          <w:rFonts w:ascii="Arial" w:hAnsi="Arial" w:cs="Arial"/>
        </w:rPr>
        <w:t xml:space="preserve"> Ibid.</w:t>
      </w:r>
      <w:r w:rsidRPr="007D41EE">
        <w:rPr>
          <w:rFonts w:ascii="Arial" w:hAnsi="Arial" w:cs="Arial"/>
        </w:rPr>
        <w:tab/>
      </w:r>
    </w:p>
  </w:footnote>
  <w:footnote w:id="29">
    <w:p w:rsidR="00052B8B" w:rsidRPr="007D41EE" w:rsidRDefault="00052B8B" w:rsidP="007D41EE">
      <w:pPr>
        <w:pStyle w:val="FootnoteText"/>
        <w:spacing w:line="312" w:lineRule="auto"/>
        <w:rPr>
          <w:rFonts w:ascii="Arial" w:hAnsi="Arial" w:cs="Arial"/>
        </w:rPr>
      </w:pPr>
      <w:r w:rsidRPr="007D41EE">
        <w:rPr>
          <w:rStyle w:val="FootnoteReference"/>
          <w:rFonts w:ascii="Arial" w:hAnsi="Arial" w:cs="Arial"/>
        </w:rPr>
        <w:footnoteRef/>
      </w:r>
      <w:r w:rsidRPr="007D41EE">
        <w:rPr>
          <w:rFonts w:ascii="Arial" w:hAnsi="Arial" w:cs="Arial"/>
        </w:rPr>
        <w:t xml:space="preserve"> Hacker, above n 19, 2.</w:t>
      </w:r>
    </w:p>
  </w:footnote>
  <w:footnote w:id="30">
    <w:p w:rsidR="00052B8B" w:rsidRPr="007D41EE" w:rsidRDefault="00052B8B" w:rsidP="007D41EE">
      <w:pPr>
        <w:pStyle w:val="FootnoteText"/>
        <w:spacing w:line="312" w:lineRule="auto"/>
        <w:rPr>
          <w:rFonts w:ascii="Arial" w:hAnsi="Arial" w:cs="Arial"/>
          <w:i/>
        </w:rPr>
      </w:pPr>
      <w:r w:rsidRPr="007D41EE">
        <w:rPr>
          <w:rStyle w:val="FootnoteReference"/>
          <w:rFonts w:ascii="Arial" w:hAnsi="Arial" w:cs="Arial"/>
        </w:rPr>
        <w:footnoteRef/>
      </w:r>
      <w:r w:rsidRPr="007D41EE">
        <w:rPr>
          <w:rFonts w:ascii="Arial" w:hAnsi="Arial" w:cs="Arial"/>
        </w:rPr>
        <w:t xml:space="preserve"> Herman Van Rompuy</w:t>
      </w:r>
      <w:r>
        <w:rPr>
          <w:rFonts w:ascii="Arial" w:hAnsi="Arial" w:cs="Arial"/>
        </w:rPr>
        <w:t xml:space="preserve"> et al</w:t>
      </w:r>
      <w:r w:rsidRPr="007D41EE">
        <w:rPr>
          <w:rFonts w:ascii="Arial" w:hAnsi="Arial" w:cs="Arial"/>
        </w:rPr>
        <w:t xml:space="preserve">, </w:t>
      </w:r>
      <w:r w:rsidRPr="007D41EE">
        <w:rPr>
          <w:rFonts w:ascii="Arial" w:hAnsi="Arial" w:cs="Arial"/>
          <w:i/>
        </w:rPr>
        <w:t>Towards a Genuine Economic and Monetary Union (</w:t>
      </w:r>
      <w:r w:rsidRPr="007D41EE">
        <w:rPr>
          <w:rFonts w:ascii="Arial" w:hAnsi="Arial" w:cs="Arial"/>
        </w:rPr>
        <w:t>26 June 2012).</w:t>
      </w:r>
      <w:r w:rsidRPr="007D41EE">
        <w:rPr>
          <w:rFonts w:ascii="Arial" w:hAnsi="Arial" w:cs="Arial"/>
          <w:i/>
        </w:rPr>
        <w:t xml:space="preserve"> </w:t>
      </w:r>
    </w:p>
  </w:footnote>
  <w:footnote w:id="31">
    <w:p w:rsidR="00052B8B" w:rsidRPr="007D41EE" w:rsidRDefault="00052B8B" w:rsidP="007D41EE">
      <w:pPr>
        <w:pStyle w:val="FootnoteText"/>
        <w:spacing w:line="312" w:lineRule="auto"/>
        <w:rPr>
          <w:rFonts w:ascii="Arial" w:hAnsi="Arial" w:cs="Arial"/>
        </w:rPr>
      </w:pPr>
      <w:r w:rsidRPr="007D41EE">
        <w:rPr>
          <w:rStyle w:val="FootnoteReference"/>
          <w:rFonts w:ascii="Arial" w:hAnsi="Arial" w:cs="Arial"/>
        </w:rPr>
        <w:footnoteRef/>
      </w:r>
      <w:r w:rsidRPr="007D41EE">
        <w:rPr>
          <w:rFonts w:ascii="Arial" w:hAnsi="Arial" w:cs="Arial"/>
        </w:rPr>
        <w:t xml:space="preserve"> V</w:t>
      </w:r>
      <w:r>
        <w:rPr>
          <w:rFonts w:ascii="Arial" w:hAnsi="Arial" w:cs="Arial"/>
        </w:rPr>
        <w:t>a</w:t>
      </w:r>
      <w:r w:rsidRPr="007D41EE">
        <w:rPr>
          <w:rFonts w:ascii="Arial" w:hAnsi="Arial" w:cs="Arial"/>
        </w:rPr>
        <w:t>n Rompuy</w:t>
      </w:r>
      <w:r>
        <w:rPr>
          <w:rFonts w:ascii="Arial" w:hAnsi="Arial" w:cs="Arial"/>
        </w:rPr>
        <w:t xml:space="preserve"> et al</w:t>
      </w:r>
      <w:r w:rsidRPr="007D41EE">
        <w:rPr>
          <w:rFonts w:ascii="Arial" w:hAnsi="Arial" w:cs="Arial"/>
        </w:rPr>
        <w:t xml:space="preserve">, above n </w:t>
      </w:r>
      <w:r>
        <w:rPr>
          <w:rFonts w:ascii="Arial" w:hAnsi="Arial" w:cs="Arial"/>
        </w:rPr>
        <w:t>30</w:t>
      </w:r>
      <w:r w:rsidRPr="007D41EE">
        <w:rPr>
          <w:rFonts w:ascii="Arial" w:hAnsi="Arial" w:cs="Arial"/>
        </w:rPr>
        <w:t>, 4-5; Hacker, above n 19, 3.</w:t>
      </w:r>
    </w:p>
  </w:footnote>
  <w:footnote w:id="32">
    <w:p w:rsidR="00052B8B" w:rsidRPr="007D41EE" w:rsidRDefault="00052B8B" w:rsidP="007D41EE">
      <w:pPr>
        <w:pStyle w:val="FootnoteText"/>
        <w:spacing w:line="312" w:lineRule="auto"/>
        <w:rPr>
          <w:rFonts w:ascii="Arial" w:hAnsi="Arial" w:cs="Arial"/>
        </w:rPr>
      </w:pPr>
      <w:r w:rsidRPr="007D41EE">
        <w:rPr>
          <w:rStyle w:val="FootnoteReference"/>
          <w:rFonts w:ascii="Arial" w:hAnsi="Arial" w:cs="Arial"/>
        </w:rPr>
        <w:footnoteRef/>
      </w:r>
      <w:r w:rsidRPr="007D41EE">
        <w:rPr>
          <w:rFonts w:ascii="Arial" w:hAnsi="Arial" w:cs="Arial"/>
        </w:rPr>
        <w:t xml:space="preserve"> V</w:t>
      </w:r>
      <w:r>
        <w:rPr>
          <w:rFonts w:ascii="Arial" w:hAnsi="Arial" w:cs="Arial"/>
        </w:rPr>
        <w:t>a</w:t>
      </w:r>
      <w:r w:rsidRPr="007D41EE">
        <w:rPr>
          <w:rFonts w:ascii="Arial" w:hAnsi="Arial" w:cs="Arial"/>
        </w:rPr>
        <w:t>n Rompuy</w:t>
      </w:r>
      <w:r>
        <w:rPr>
          <w:rFonts w:ascii="Arial" w:hAnsi="Arial" w:cs="Arial"/>
        </w:rPr>
        <w:t xml:space="preserve"> et al</w:t>
      </w:r>
      <w:r w:rsidRPr="007D41EE">
        <w:rPr>
          <w:rFonts w:ascii="Arial" w:hAnsi="Arial" w:cs="Arial"/>
        </w:rPr>
        <w:t xml:space="preserve">, above n </w:t>
      </w:r>
      <w:r>
        <w:rPr>
          <w:rFonts w:ascii="Arial" w:hAnsi="Arial" w:cs="Arial"/>
        </w:rPr>
        <w:t>30</w:t>
      </w:r>
      <w:r w:rsidRPr="007D41EE">
        <w:rPr>
          <w:rFonts w:ascii="Arial" w:hAnsi="Arial" w:cs="Arial"/>
        </w:rPr>
        <w:t>, 5-6; Hacker, above n 19, 3.</w:t>
      </w:r>
    </w:p>
  </w:footnote>
  <w:footnote w:id="33">
    <w:p w:rsidR="00052B8B" w:rsidRPr="007D41EE" w:rsidRDefault="00052B8B" w:rsidP="007D41EE">
      <w:pPr>
        <w:pStyle w:val="FootnoteText"/>
        <w:spacing w:line="312" w:lineRule="auto"/>
        <w:rPr>
          <w:rFonts w:ascii="Arial" w:hAnsi="Arial" w:cs="Arial"/>
        </w:rPr>
      </w:pPr>
      <w:r w:rsidRPr="007D41EE">
        <w:rPr>
          <w:rStyle w:val="FootnoteReference"/>
          <w:rFonts w:ascii="Arial" w:hAnsi="Arial" w:cs="Arial"/>
        </w:rPr>
        <w:footnoteRef/>
      </w:r>
      <w:r w:rsidRPr="007D41EE">
        <w:rPr>
          <w:rFonts w:ascii="Arial" w:hAnsi="Arial" w:cs="Arial"/>
        </w:rPr>
        <w:t xml:space="preserve"> Hacker, above n 19, 3.</w:t>
      </w:r>
    </w:p>
  </w:footnote>
  <w:footnote w:id="34">
    <w:p w:rsidR="00052B8B" w:rsidRPr="007D41EE" w:rsidRDefault="00052B8B" w:rsidP="007D41EE">
      <w:pPr>
        <w:pStyle w:val="FootnoteText"/>
        <w:spacing w:line="312" w:lineRule="auto"/>
        <w:rPr>
          <w:rFonts w:ascii="Arial" w:hAnsi="Arial" w:cs="Arial"/>
        </w:rPr>
      </w:pPr>
      <w:r w:rsidRPr="007D41EE">
        <w:rPr>
          <w:rStyle w:val="FootnoteReference"/>
          <w:rFonts w:ascii="Arial" w:hAnsi="Arial" w:cs="Arial"/>
        </w:rPr>
        <w:footnoteRef/>
      </w:r>
      <w:r w:rsidRPr="007D41EE">
        <w:rPr>
          <w:rFonts w:ascii="Arial" w:hAnsi="Arial" w:cs="Arial"/>
        </w:rPr>
        <w:t xml:space="preserve"> Herman Van Rompuy</w:t>
      </w:r>
      <w:r>
        <w:rPr>
          <w:rFonts w:ascii="Arial" w:hAnsi="Arial" w:cs="Arial"/>
        </w:rPr>
        <w:t xml:space="preserve"> et al</w:t>
      </w:r>
      <w:r w:rsidRPr="007D41EE">
        <w:rPr>
          <w:rFonts w:ascii="Arial" w:hAnsi="Arial" w:cs="Arial"/>
        </w:rPr>
        <w:t xml:space="preserve">, </w:t>
      </w:r>
      <w:r w:rsidRPr="007D41EE">
        <w:rPr>
          <w:rFonts w:ascii="Arial" w:hAnsi="Arial" w:cs="Arial"/>
          <w:i/>
        </w:rPr>
        <w:t xml:space="preserve">Towards a Genuine Economic and Monetary Union: Interim Report </w:t>
      </w:r>
      <w:r w:rsidRPr="007D41EE">
        <w:rPr>
          <w:rFonts w:ascii="Arial" w:hAnsi="Arial" w:cs="Arial"/>
        </w:rPr>
        <w:t>(12 October 2012).</w:t>
      </w:r>
    </w:p>
  </w:footnote>
  <w:footnote w:id="35">
    <w:p w:rsidR="00052B8B" w:rsidRPr="007D41EE" w:rsidRDefault="00052B8B" w:rsidP="007D41EE">
      <w:pPr>
        <w:pStyle w:val="FootnoteText"/>
        <w:spacing w:line="312" w:lineRule="auto"/>
        <w:rPr>
          <w:rFonts w:ascii="Arial" w:hAnsi="Arial" w:cs="Arial"/>
        </w:rPr>
      </w:pPr>
      <w:r w:rsidRPr="007D41EE">
        <w:rPr>
          <w:rStyle w:val="FootnoteReference"/>
          <w:rFonts w:ascii="Arial" w:hAnsi="Arial" w:cs="Arial"/>
        </w:rPr>
        <w:footnoteRef/>
      </w:r>
      <w:r w:rsidRPr="007D41EE">
        <w:rPr>
          <w:rFonts w:ascii="Arial" w:hAnsi="Arial" w:cs="Arial"/>
        </w:rPr>
        <w:t xml:space="preserve"> V</w:t>
      </w:r>
      <w:r>
        <w:rPr>
          <w:rFonts w:ascii="Arial" w:hAnsi="Arial" w:cs="Arial"/>
        </w:rPr>
        <w:t>a</w:t>
      </w:r>
      <w:r w:rsidRPr="007D41EE">
        <w:rPr>
          <w:rFonts w:ascii="Arial" w:hAnsi="Arial" w:cs="Arial"/>
        </w:rPr>
        <w:t>n Rompuy</w:t>
      </w:r>
      <w:r>
        <w:rPr>
          <w:rFonts w:ascii="Arial" w:hAnsi="Arial" w:cs="Arial"/>
        </w:rPr>
        <w:t xml:space="preserve"> et al</w:t>
      </w:r>
      <w:r w:rsidRPr="007D41EE">
        <w:rPr>
          <w:rFonts w:ascii="Arial" w:hAnsi="Arial" w:cs="Arial"/>
        </w:rPr>
        <w:t xml:space="preserve">, above n </w:t>
      </w:r>
      <w:r>
        <w:rPr>
          <w:rFonts w:ascii="Arial" w:hAnsi="Arial" w:cs="Arial"/>
        </w:rPr>
        <w:t>34</w:t>
      </w:r>
      <w:r w:rsidRPr="007D41EE">
        <w:rPr>
          <w:rFonts w:ascii="Arial" w:hAnsi="Arial" w:cs="Arial"/>
        </w:rPr>
        <w:t xml:space="preserve">, 4-5; Hacker, above n 19, </w:t>
      </w:r>
      <w:r>
        <w:rPr>
          <w:rFonts w:ascii="Arial" w:hAnsi="Arial" w:cs="Arial"/>
        </w:rPr>
        <w:t>4</w:t>
      </w:r>
      <w:r w:rsidRPr="007D41EE">
        <w:rPr>
          <w:rFonts w:ascii="Arial" w:hAnsi="Arial" w:cs="Arial"/>
        </w:rPr>
        <w:t>.</w:t>
      </w:r>
    </w:p>
  </w:footnote>
  <w:footnote w:id="36">
    <w:p w:rsidR="00052B8B" w:rsidRPr="00CA2053" w:rsidRDefault="00052B8B" w:rsidP="007D41EE">
      <w:pPr>
        <w:pStyle w:val="FootnoteText"/>
        <w:spacing w:line="312" w:lineRule="auto"/>
        <w:rPr>
          <w:rFonts w:ascii="Arial" w:hAnsi="Arial" w:cs="Arial"/>
        </w:rPr>
      </w:pPr>
      <w:r w:rsidRPr="007D41EE">
        <w:rPr>
          <w:rStyle w:val="FootnoteReference"/>
          <w:rFonts w:ascii="Arial" w:hAnsi="Arial" w:cs="Arial"/>
        </w:rPr>
        <w:footnoteRef/>
      </w:r>
      <w:r w:rsidRPr="007D41EE">
        <w:rPr>
          <w:rFonts w:ascii="Arial" w:hAnsi="Arial" w:cs="Arial"/>
        </w:rPr>
        <w:t xml:space="preserve"> V</w:t>
      </w:r>
      <w:r>
        <w:rPr>
          <w:rFonts w:ascii="Arial" w:hAnsi="Arial" w:cs="Arial"/>
        </w:rPr>
        <w:t>a</w:t>
      </w:r>
      <w:r w:rsidRPr="007D41EE">
        <w:rPr>
          <w:rFonts w:ascii="Arial" w:hAnsi="Arial" w:cs="Arial"/>
        </w:rPr>
        <w:t>n Rompuy</w:t>
      </w:r>
      <w:r>
        <w:rPr>
          <w:rFonts w:ascii="Arial" w:hAnsi="Arial" w:cs="Arial"/>
        </w:rPr>
        <w:t xml:space="preserve"> et al</w:t>
      </w:r>
      <w:r w:rsidRPr="007D41EE">
        <w:rPr>
          <w:rFonts w:ascii="Arial" w:hAnsi="Arial" w:cs="Arial"/>
        </w:rPr>
        <w:t xml:space="preserve">, above n </w:t>
      </w:r>
      <w:r>
        <w:rPr>
          <w:rFonts w:ascii="Arial" w:hAnsi="Arial" w:cs="Arial"/>
        </w:rPr>
        <w:t>34</w:t>
      </w:r>
      <w:r w:rsidRPr="007D41EE">
        <w:rPr>
          <w:rFonts w:ascii="Arial" w:hAnsi="Arial" w:cs="Arial"/>
        </w:rPr>
        <w:t xml:space="preserve">, </w:t>
      </w:r>
      <w:r>
        <w:rPr>
          <w:rFonts w:ascii="Arial" w:hAnsi="Arial" w:cs="Arial"/>
        </w:rPr>
        <w:t>4</w:t>
      </w:r>
      <w:r w:rsidRPr="007D41EE">
        <w:rPr>
          <w:rFonts w:ascii="Arial" w:hAnsi="Arial" w:cs="Arial"/>
        </w:rPr>
        <w:t xml:space="preserve">; Hacker, above n 19, </w:t>
      </w:r>
      <w:r>
        <w:rPr>
          <w:rFonts w:ascii="Arial" w:hAnsi="Arial" w:cs="Arial"/>
        </w:rPr>
        <w:t>4</w:t>
      </w:r>
      <w:r w:rsidRPr="007D41EE">
        <w:rPr>
          <w:rFonts w:ascii="Arial" w:hAnsi="Arial" w:cs="Arial"/>
        </w:rPr>
        <w:t>.</w:t>
      </w:r>
    </w:p>
  </w:footnote>
  <w:footnote w:id="37">
    <w:p w:rsidR="00052B8B" w:rsidRPr="008E0D0C" w:rsidRDefault="00052B8B" w:rsidP="00E24CFC">
      <w:pPr>
        <w:pStyle w:val="FootnoteText"/>
        <w:spacing w:line="312" w:lineRule="auto"/>
        <w:rPr>
          <w:rFonts w:ascii="Arial" w:hAnsi="Arial" w:cs="Arial"/>
        </w:rPr>
      </w:pPr>
      <w:r w:rsidRPr="008E0D0C">
        <w:rPr>
          <w:rStyle w:val="FootnoteReference"/>
          <w:rFonts w:ascii="Arial" w:hAnsi="Arial" w:cs="Arial"/>
        </w:rPr>
        <w:footnoteRef/>
      </w:r>
      <w:r w:rsidRPr="008E0D0C">
        <w:rPr>
          <w:rFonts w:ascii="Arial" w:hAnsi="Arial" w:cs="Arial"/>
        </w:rPr>
        <w:t xml:space="preserve"> European Commission, </w:t>
      </w:r>
      <w:r w:rsidRPr="008E0D0C">
        <w:rPr>
          <w:rFonts w:ascii="Arial" w:hAnsi="Arial" w:cs="Arial"/>
          <w:i/>
        </w:rPr>
        <w:t xml:space="preserve">A Blueprint for a Deep and Genuine Economic and Monetary Debate, Launching a European Debate </w:t>
      </w:r>
      <w:r w:rsidRPr="008E0D0C">
        <w:rPr>
          <w:rFonts w:ascii="Arial" w:hAnsi="Arial" w:cs="Arial"/>
        </w:rPr>
        <w:t>(28 November 2012).</w:t>
      </w:r>
    </w:p>
  </w:footnote>
  <w:footnote w:id="38">
    <w:p w:rsidR="00052B8B" w:rsidRPr="008E0D0C" w:rsidRDefault="00052B8B" w:rsidP="00E24CFC">
      <w:pPr>
        <w:pStyle w:val="FootnoteText"/>
        <w:spacing w:line="312" w:lineRule="auto"/>
        <w:rPr>
          <w:rFonts w:ascii="Arial" w:hAnsi="Arial" w:cs="Arial"/>
        </w:rPr>
      </w:pPr>
      <w:r w:rsidRPr="008E0D0C">
        <w:rPr>
          <w:rStyle w:val="FootnoteReference"/>
          <w:rFonts w:ascii="Arial" w:hAnsi="Arial" w:cs="Arial"/>
        </w:rPr>
        <w:footnoteRef/>
      </w:r>
      <w:r w:rsidRPr="008E0D0C">
        <w:rPr>
          <w:rFonts w:ascii="Arial" w:hAnsi="Arial" w:cs="Arial"/>
        </w:rPr>
        <w:t xml:space="preserve"> European Commission, above n 37, 12; Hacker, above n 19, 6.</w:t>
      </w:r>
    </w:p>
  </w:footnote>
  <w:footnote w:id="39">
    <w:p w:rsidR="00052B8B" w:rsidRPr="008E0D0C" w:rsidRDefault="00052B8B" w:rsidP="00E24CFC">
      <w:pPr>
        <w:pStyle w:val="FootnoteText"/>
        <w:spacing w:line="312" w:lineRule="auto"/>
        <w:rPr>
          <w:rFonts w:ascii="Arial" w:hAnsi="Arial" w:cs="Arial"/>
        </w:rPr>
      </w:pPr>
      <w:r w:rsidRPr="008E0D0C">
        <w:rPr>
          <w:rStyle w:val="FootnoteReference"/>
          <w:rFonts w:ascii="Arial" w:hAnsi="Arial" w:cs="Arial"/>
        </w:rPr>
        <w:footnoteRef/>
      </w:r>
      <w:r w:rsidRPr="008E0D0C">
        <w:rPr>
          <w:rFonts w:ascii="Arial" w:hAnsi="Arial" w:cs="Arial"/>
        </w:rPr>
        <w:t xml:space="preserve"> European Commission, above n 37</w:t>
      </w:r>
      <w:r w:rsidRPr="008E0D0C">
        <w:rPr>
          <w:rFonts w:ascii="Arial" w:hAnsi="Arial" w:cs="Arial"/>
          <w:i/>
        </w:rPr>
        <w:t>,</w:t>
      </w:r>
      <w:r w:rsidRPr="008E0D0C">
        <w:rPr>
          <w:rFonts w:ascii="Arial" w:hAnsi="Arial" w:cs="Arial"/>
        </w:rPr>
        <w:t xml:space="preserve"> 12; Hacker, above n 19, 6.</w:t>
      </w:r>
    </w:p>
  </w:footnote>
  <w:footnote w:id="40">
    <w:p w:rsidR="00052B8B" w:rsidRPr="008E0D0C" w:rsidRDefault="00052B8B" w:rsidP="00E24CFC">
      <w:pPr>
        <w:pStyle w:val="FootnoteText"/>
        <w:spacing w:line="312" w:lineRule="auto"/>
        <w:rPr>
          <w:rFonts w:ascii="Arial" w:hAnsi="Arial" w:cs="Arial"/>
        </w:rPr>
      </w:pPr>
      <w:r w:rsidRPr="008E0D0C">
        <w:rPr>
          <w:rStyle w:val="FootnoteReference"/>
          <w:rFonts w:ascii="Arial" w:hAnsi="Arial" w:cs="Arial"/>
        </w:rPr>
        <w:footnoteRef/>
      </w:r>
      <w:r w:rsidRPr="008E0D0C">
        <w:rPr>
          <w:rFonts w:ascii="Arial" w:hAnsi="Arial" w:cs="Arial"/>
        </w:rPr>
        <w:t xml:space="preserve"> European Commission, above n 37</w:t>
      </w:r>
      <w:r w:rsidRPr="008E0D0C">
        <w:rPr>
          <w:rFonts w:ascii="Arial" w:hAnsi="Arial" w:cs="Arial"/>
          <w:i/>
        </w:rPr>
        <w:t>,</w:t>
      </w:r>
      <w:r w:rsidRPr="008E0D0C">
        <w:rPr>
          <w:rFonts w:ascii="Arial" w:hAnsi="Arial" w:cs="Arial"/>
        </w:rPr>
        <w:t xml:space="preserve"> 12-13; Hacker, above n 19, 6.</w:t>
      </w:r>
    </w:p>
  </w:footnote>
  <w:footnote w:id="41">
    <w:p w:rsidR="00052B8B" w:rsidRPr="008E0D0C" w:rsidRDefault="00052B8B" w:rsidP="00E24CFC">
      <w:pPr>
        <w:pStyle w:val="FootnoteText"/>
        <w:spacing w:line="312" w:lineRule="auto"/>
        <w:rPr>
          <w:rFonts w:ascii="Arial" w:hAnsi="Arial" w:cs="Arial"/>
        </w:rPr>
      </w:pPr>
      <w:r w:rsidRPr="008E0D0C">
        <w:rPr>
          <w:rStyle w:val="FootnoteReference"/>
          <w:rFonts w:ascii="Arial" w:hAnsi="Arial" w:cs="Arial"/>
        </w:rPr>
        <w:footnoteRef/>
      </w:r>
      <w:r w:rsidRPr="008E0D0C">
        <w:rPr>
          <w:rFonts w:ascii="Arial" w:hAnsi="Arial" w:cs="Arial"/>
        </w:rPr>
        <w:t xml:space="preserve"> Hacker, above n 19, 6.</w:t>
      </w:r>
    </w:p>
  </w:footnote>
  <w:footnote w:id="42">
    <w:p w:rsidR="00052B8B" w:rsidRPr="008E0D0C" w:rsidRDefault="00052B8B" w:rsidP="00E24CFC">
      <w:pPr>
        <w:pStyle w:val="FootnoteText"/>
        <w:spacing w:line="312" w:lineRule="auto"/>
        <w:rPr>
          <w:rFonts w:ascii="Arial" w:hAnsi="Arial" w:cs="Arial"/>
        </w:rPr>
      </w:pPr>
      <w:r w:rsidRPr="008E0D0C">
        <w:rPr>
          <w:rStyle w:val="FootnoteReference"/>
          <w:rFonts w:ascii="Arial" w:hAnsi="Arial" w:cs="Arial"/>
        </w:rPr>
        <w:footnoteRef/>
      </w:r>
      <w:r w:rsidRPr="008E0D0C">
        <w:rPr>
          <w:rFonts w:ascii="Arial" w:hAnsi="Arial" w:cs="Arial"/>
        </w:rPr>
        <w:t xml:space="preserve"> Van Rompuy et al, above n 30, 2.</w:t>
      </w:r>
    </w:p>
  </w:footnote>
  <w:footnote w:id="43">
    <w:p w:rsidR="00052B8B" w:rsidRPr="008E0D0C" w:rsidRDefault="00052B8B" w:rsidP="00E24CFC">
      <w:pPr>
        <w:pStyle w:val="FootnoteText"/>
        <w:spacing w:line="312" w:lineRule="auto"/>
        <w:rPr>
          <w:rFonts w:ascii="Arial" w:hAnsi="Arial" w:cs="Arial"/>
        </w:rPr>
      </w:pPr>
      <w:r w:rsidRPr="008E0D0C">
        <w:rPr>
          <w:rStyle w:val="FootnoteReference"/>
          <w:rFonts w:ascii="Arial" w:hAnsi="Arial" w:cs="Arial"/>
        </w:rPr>
        <w:footnoteRef/>
      </w:r>
      <w:r w:rsidRPr="008E0D0C">
        <w:rPr>
          <w:rFonts w:ascii="Arial" w:hAnsi="Arial" w:cs="Arial"/>
        </w:rPr>
        <w:t xml:space="preserve"> Ibid 5-8.</w:t>
      </w:r>
    </w:p>
  </w:footnote>
  <w:footnote w:id="44">
    <w:p w:rsidR="00052B8B" w:rsidRPr="008E0D0C" w:rsidRDefault="00052B8B" w:rsidP="00E24CFC">
      <w:pPr>
        <w:pStyle w:val="FootnoteText"/>
        <w:spacing w:line="312" w:lineRule="auto"/>
        <w:rPr>
          <w:rFonts w:ascii="Arial" w:hAnsi="Arial" w:cs="Arial"/>
        </w:rPr>
      </w:pPr>
      <w:r w:rsidRPr="008E0D0C">
        <w:rPr>
          <w:rStyle w:val="FootnoteReference"/>
          <w:rFonts w:ascii="Arial" w:hAnsi="Arial" w:cs="Arial"/>
        </w:rPr>
        <w:footnoteRef/>
      </w:r>
      <w:r w:rsidRPr="008E0D0C">
        <w:rPr>
          <w:rFonts w:ascii="Arial" w:hAnsi="Arial" w:cs="Arial"/>
        </w:rPr>
        <w:t xml:space="preserve"> Ibid 8-12.</w:t>
      </w:r>
    </w:p>
  </w:footnote>
  <w:footnote w:id="45">
    <w:p w:rsidR="00052B8B" w:rsidRPr="008E0D0C" w:rsidRDefault="00052B8B" w:rsidP="00E24CFC">
      <w:pPr>
        <w:pStyle w:val="FootnoteText"/>
        <w:spacing w:line="312" w:lineRule="auto"/>
        <w:rPr>
          <w:rFonts w:ascii="Arial" w:hAnsi="Arial" w:cs="Arial"/>
        </w:rPr>
      </w:pPr>
      <w:r w:rsidRPr="008E0D0C">
        <w:rPr>
          <w:rStyle w:val="FootnoteReference"/>
          <w:rFonts w:ascii="Arial" w:hAnsi="Arial" w:cs="Arial"/>
        </w:rPr>
        <w:footnoteRef/>
      </w:r>
      <w:r w:rsidRPr="008E0D0C">
        <w:rPr>
          <w:rFonts w:ascii="Arial" w:hAnsi="Arial" w:cs="Arial"/>
        </w:rPr>
        <w:t xml:space="preserve"> Ibid 13-16.</w:t>
      </w:r>
    </w:p>
  </w:footnote>
  <w:footnote w:id="46">
    <w:p w:rsidR="00052B8B" w:rsidRPr="008E0D0C" w:rsidRDefault="00052B8B" w:rsidP="00E24CFC">
      <w:pPr>
        <w:pStyle w:val="FootnoteText"/>
        <w:spacing w:line="312" w:lineRule="auto"/>
        <w:rPr>
          <w:rFonts w:ascii="Arial" w:hAnsi="Arial" w:cs="Arial"/>
        </w:rPr>
      </w:pPr>
      <w:r w:rsidRPr="008E0D0C">
        <w:rPr>
          <w:rStyle w:val="FootnoteReference"/>
          <w:rFonts w:ascii="Arial" w:hAnsi="Arial" w:cs="Arial"/>
        </w:rPr>
        <w:footnoteRef/>
      </w:r>
      <w:r w:rsidRPr="008E0D0C">
        <w:rPr>
          <w:rFonts w:ascii="Arial" w:hAnsi="Arial" w:cs="Arial"/>
        </w:rPr>
        <w:t xml:space="preserve"> Ibid 16-17.</w:t>
      </w:r>
    </w:p>
  </w:footnote>
  <w:footnote w:id="47">
    <w:p w:rsidR="00052B8B" w:rsidRPr="00E44B0C" w:rsidRDefault="00052B8B" w:rsidP="00776787">
      <w:pPr>
        <w:pStyle w:val="FootnoteText"/>
        <w:spacing w:line="300" w:lineRule="auto"/>
        <w:rPr>
          <w:rFonts w:ascii="Arial" w:hAnsi="Arial" w:cs="Arial"/>
        </w:rPr>
      </w:pPr>
      <w:r w:rsidRPr="008E0D0C">
        <w:rPr>
          <w:rStyle w:val="FootnoteReference"/>
          <w:rFonts w:ascii="Arial" w:hAnsi="Arial" w:cs="Arial"/>
        </w:rPr>
        <w:footnoteRef/>
      </w:r>
      <w:r w:rsidRPr="008E0D0C">
        <w:rPr>
          <w:rFonts w:ascii="Arial" w:hAnsi="Arial" w:cs="Arial"/>
        </w:rPr>
        <w:t xml:space="preserve"> Iain Begg, </w:t>
      </w:r>
      <w:r w:rsidRPr="008E0D0C">
        <w:rPr>
          <w:rFonts w:ascii="Arial" w:hAnsi="Arial" w:cs="Arial"/>
          <w:i/>
        </w:rPr>
        <w:t>What does the Five Presidents’ Report mean for the Future of the Euro?</w:t>
      </w:r>
      <w:r w:rsidRPr="008E0D0C">
        <w:rPr>
          <w:rFonts w:ascii="Arial" w:hAnsi="Arial" w:cs="Arial"/>
        </w:rPr>
        <w:t xml:space="preserve"> The London School of Political Sciences &lt;</w:t>
      </w:r>
      <w:hyperlink r:id="rId2" w:history="1">
        <w:r w:rsidRPr="008E0D0C">
          <w:rPr>
            <w:rStyle w:val="Hyperlink"/>
            <w:rFonts w:ascii="Arial" w:hAnsi="Arial" w:cs="Arial"/>
          </w:rPr>
          <w:t>http://blogs.lse.ac.uk/europpblog/2015/06/23/what-does-the-five-presidents-report-mean-for-the-future-of-the-euro/</w:t>
        </w:r>
      </w:hyperlink>
      <w:r w:rsidRPr="008E0D0C">
        <w:rPr>
          <w:rFonts w:ascii="Arial" w:hAnsi="Arial" w:cs="Arial"/>
        </w:rPr>
        <w:t>&gt;.</w:t>
      </w:r>
    </w:p>
  </w:footnote>
  <w:footnote w:id="48">
    <w:p w:rsidR="00052B8B" w:rsidRPr="00E44B0C" w:rsidRDefault="00052B8B" w:rsidP="00776787">
      <w:pPr>
        <w:pStyle w:val="FootnoteText"/>
        <w:spacing w:line="300" w:lineRule="auto"/>
        <w:rPr>
          <w:rFonts w:ascii="Arial" w:hAnsi="Arial" w:cs="Arial"/>
        </w:rPr>
      </w:pPr>
      <w:r w:rsidRPr="00E44B0C">
        <w:rPr>
          <w:rStyle w:val="FootnoteReference"/>
          <w:rFonts w:ascii="Arial" w:hAnsi="Arial" w:cs="Arial"/>
        </w:rPr>
        <w:footnoteRef/>
      </w:r>
      <w:r w:rsidRPr="00E44B0C">
        <w:rPr>
          <w:rFonts w:ascii="Arial" w:hAnsi="Arial" w:cs="Arial"/>
        </w:rPr>
        <w:t xml:space="preserve"> </w:t>
      </w:r>
      <w:r>
        <w:rPr>
          <w:rFonts w:ascii="Arial" w:hAnsi="Arial" w:cs="Arial"/>
        </w:rPr>
        <w:t xml:space="preserve">Ibid. </w:t>
      </w:r>
    </w:p>
  </w:footnote>
  <w:footnote w:id="49">
    <w:p w:rsidR="00052B8B" w:rsidRPr="00E44B0C" w:rsidRDefault="00052B8B" w:rsidP="00E44B0C">
      <w:pPr>
        <w:pStyle w:val="FootnoteText"/>
        <w:spacing w:line="312" w:lineRule="auto"/>
        <w:rPr>
          <w:rFonts w:ascii="Arial" w:hAnsi="Arial" w:cs="Arial"/>
        </w:rPr>
      </w:pPr>
      <w:r w:rsidRPr="00E44B0C">
        <w:rPr>
          <w:rStyle w:val="FootnoteReference"/>
          <w:rFonts w:ascii="Arial" w:hAnsi="Arial" w:cs="Arial"/>
        </w:rPr>
        <w:footnoteRef/>
      </w:r>
      <w:r w:rsidRPr="00E44B0C">
        <w:rPr>
          <w:rFonts w:ascii="Arial" w:hAnsi="Arial" w:cs="Arial"/>
        </w:rPr>
        <w:t xml:space="preserve"> </w:t>
      </w:r>
      <w:r>
        <w:rPr>
          <w:rFonts w:ascii="Arial" w:hAnsi="Arial" w:cs="Arial"/>
        </w:rPr>
        <w:t>Hacker, above n 19, 7</w:t>
      </w:r>
      <w:r w:rsidRPr="008E0D0C">
        <w:rPr>
          <w:rFonts w:ascii="Arial" w:hAnsi="Arial" w:cs="Arial"/>
        </w:rPr>
        <w:t>.</w:t>
      </w:r>
    </w:p>
  </w:footnote>
  <w:footnote w:id="50">
    <w:p w:rsidR="00052B8B" w:rsidRPr="00E44B0C" w:rsidRDefault="00052B8B" w:rsidP="00E44B0C">
      <w:pPr>
        <w:pStyle w:val="FootnoteText"/>
        <w:spacing w:line="312" w:lineRule="auto"/>
        <w:rPr>
          <w:rFonts w:ascii="Arial" w:hAnsi="Arial" w:cs="Arial"/>
        </w:rPr>
      </w:pPr>
      <w:r w:rsidRPr="00E44B0C">
        <w:rPr>
          <w:rStyle w:val="FootnoteReference"/>
          <w:rFonts w:ascii="Arial" w:hAnsi="Arial" w:cs="Arial"/>
        </w:rPr>
        <w:footnoteRef/>
      </w:r>
      <w:r>
        <w:rPr>
          <w:rFonts w:ascii="Arial" w:hAnsi="Arial" w:cs="Arial"/>
        </w:rPr>
        <w:t xml:space="preserve"> Ibid</w:t>
      </w:r>
      <w:r w:rsidRPr="00E44B0C">
        <w:rPr>
          <w:rFonts w:ascii="Arial" w:hAnsi="Arial" w:cs="Arial"/>
        </w:rPr>
        <w:t>.</w:t>
      </w:r>
    </w:p>
  </w:footnote>
  <w:footnote w:id="51">
    <w:p w:rsidR="00052B8B" w:rsidRPr="00E44B0C" w:rsidRDefault="00052B8B" w:rsidP="00E44B0C">
      <w:pPr>
        <w:pStyle w:val="FootnoteText"/>
        <w:spacing w:line="312" w:lineRule="auto"/>
        <w:rPr>
          <w:rFonts w:ascii="Arial" w:hAnsi="Arial" w:cs="Arial"/>
        </w:rPr>
      </w:pPr>
      <w:r w:rsidRPr="00E44B0C">
        <w:rPr>
          <w:rStyle w:val="FootnoteReference"/>
          <w:rFonts w:ascii="Arial" w:hAnsi="Arial" w:cs="Arial"/>
        </w:rPr>
        <w:footnoteRef/>
      </w:r>
      <w:r>
        <w:rPr>
          <w:rFonts w:ascii="Arial" w:hAnsi="Arial" w:cs="Arial"/>
        </w:rPr>
        <w:t xml:space="preserve"> </w:t>
      </w:r>
      <w:r w:rsidRPr="00E44B0C">
        <w:rPr>
          <w:rFonts w:ascii="Arial" w:hAnsi="Arial" w:cs="Arial"/>
        </w:rPr>
        <w:t>La</w:t>
      </w:r>
      <w:r>
        <w:rPr>
          <w:rFonts w:ascii="Arial" w:hAnsi="Arial" w:cs="Arial"/>
        </w:rPr>
        <w:t>ne, above n 27</w:t>
      </w:r>
      <w:r w:rsidRPr="00E44B0C">
        <w:rPr>
          <w:rFonts w:ascii="Arial" w:hAnsi="Arial" w:cs="Arial"/>
        </w:rPr>
        <w:t>, 68.</w:t>
      </w:r>
    </w:p>
  </w:footnote>
  <w:footnote w:id="52">
    <w:p w:rsidR="00052B8B" w:rsidRPr="00E44B0C" w:rsidRDefault="00052B8B" w:rsidP="00E44B0C">
      <w:pPr>
        <w:pStyle w:val="FootnoteText"/>
        <w:spacing w:line="312" w:lineRule="auto"/>
        <w:rPr>
          <w:rFonts w:ascii="Arial" w:hAnsi="Arial" w:cs="Arial"/>
        </w:rPr>
      </w:pPr>
      <w:r w:rsidRPr="00E44B0C">
        <w:rPr>
          <w:rStyle w:val="FootnoteReference"/>
          <w:rFonts w:ascii="Arial" w:hAnsi="Arial" w:cs="Arial"/>
        </w:rPr>
        <w:footnoteRef/>
      </w:r>
      <w:r w:rsidRPr="00E44B0C">
        <w:rPr>
          <w:rFonts w:ascii="Arial" w:hAnsi="Arial" w:cs="Arial"/>
        </w:rPr>
        <w:t xml:space="preserve"> Juncker et al, above n 1, 4.</w:t>
      </w:r>
    </w:p>
  </w:footnote>
  <w:footnote w:id="53">
    <w:p w:rsidR="00052B8B" w:rsidRPr="00E44B0C" w:rsidRDefault="00052B8B" w:rsidP="00E44B0C">
      <w:pPr>
        <w:pStyle w:val="FootnoteText"/>
        <w:spacing w:line="312" w:lineRule="auto"/>
        <w:rPr>
          <w:rFonts w:ascii="Arial" w:hAnsi="Arial" w:cs="Arial"/>
        </w:rPr>
      </w:pPr>
      <w:r w:rsidRPr="00E44B0C">
        <w:rPr>
          <w:rStyle w:val="FootnoteReference"/>
          <w:rFonts w:ascii="Arial" w:hAnsi="Arial" w:cs="Arial"/>
        </w:rPr>
        <w:footnoteRef/>
      </w:r>
      <w:r>
        <w:rPr>
          <w:rFonts w:ascii="Arial" w:hAnsi="Arial" w:cs="Arial"/>
        </w:rPr>
        <w:t xml:space="preserve"> Ibid</w:t>
      </w:r>
      <w:r w:rsidRPr="00E44B0C">
        <w:rPr>
          <w:rFonts w:ascii="Arial" w:hAnsi="Arial" w:cs="Arial"/>
        </w:rPr>
        <w:t>.</w:t>
      </w:r>
    </w:p>
  </w:footnote>
  <w:footnote w:id="54">
    <w:p w:rsidR="00052B8B" w:rsidRPr="005631CC" w:rsidRDefault="00052B8B" w:rsidP="005631CC">
      <w:pPr>
        <w:pStyle w:val="FootnoteText"/>
        <w:spacing w:line="312" w:lineRule="auto"/>
        <w:rPr>
          <w:rFonts w:ascii="Arial" w:hAnsi="Arial" w:cs="Arial"/>
        </w:rPr>
      </w:pPr>
      <w:r w:rsidRPr="005631CC">
        <w:rPr>
          <w:rStyle w:val="FootnoteReference"/>
          <w:rFonts w:ascii="Arial" w:hAnsi="Arial" w:cs="Arial"/>
        </w:rPr>
        <w:footnoteRef/>
      </w:r>
      <w:r w:rsidRPr="005631CC">
        <w:rPr>
          <w:rFonts w:ascii="Arial" w:hAnsi="Arial" w:cs="Arial"/>
        </w:rPr>
        <w:t xml:space="preserve"> Ibid 5.</w:t>
      </w:r>
    </w:p>
  </w:footnote>
  <w:footnote w:id="55">
    <w:p w:rsidR="00052B8B" w:rsidRPr="00582F76" w:rsidRDefault="00052B8B" w:rsidP="00582F76">
      <w:pPr>
        <w:pStyle w:val="FootnoteText"/>
        <w:spacing w:line="312" w:lineRule="auto"/>
        <w:rPr>
          <w:rFonts w:ascii="Arial" w:hAnsi="Arial" w:cs="Arial"/>
        </w:rPr>
      </w:pPr>
      <w:r w:rsidRPr="00582F76">
        <w:rPr>
          <w:rStyle w:val="FootnoteReference"/>
          <w:rFonts w:ascii="Arial" w:hAnsi="Arial" w:cs="Arial"/>
        </w:rPr>
        <w:footnoteRef/>
      </w:r>
      <w:r>
        <w:rPr>
          <w:rFonts w:ascii="Arial" w:hAnsi="Arial" w:cs="Arial"/>
        </w:rPr>
        <w:t xml:space="preserve"> Ibid</w:t>
      </w:r>
      <w:r w:rsidRPr="00582F76">
        <w:rPr>
          <w:rFonts w:ascii="Arial" w:hAnsi="Arial" w:cs="Arial"/>
        </w:rPr>
        <w:t>.</w:t>
      </w:r>
    </w:p>
  </w:footnote>
  <w:footnote w:id="56">
    <w:p w:rsidR="00052B8B" w:rsidRPr="00582F76" w:rsidRDefault="00052B8B" w:rsidP="00A6186B">
      <w:pPr>
        <w:pStyle w:val="FootnoteText"/>
        <w:spacing w:line="312" w:lineRule="auto"/>
        <w:rPr>
          <w:rFonts w:ascii="Arial" w:hAnsi="Arial" w:cs="Arial"/>
        </w:rPr>
      </w:pPr>
      <w:r w:rsidRPr="00582F76">
        <w:rPr>
          <w:rStyle w:val="FootnoteReference"/>
          <w:rFonts w:ascii="Arial" w:hAnsi="Arial" w:cs="Arial"/>
        </w:rPr>
        <w:footnoteRef/>
      </w:r>
      <w:r>
        <w:rPr>
          <w:rFonts w:ascii="Arial" w:hAnsi="Arial" w:cs="Arial"/>
        </w:rPr>
        <w:t xml:space="preserve"> Ibid</w:t>
      </w:r>
      <w:r w:rsidRPr="00582F76">
        <w:rPr>
          <w:rFonts w:ascii="Arial" w:hAnsi="Arial" w:cs="Arial"/>
        </w:rPr>
        <w:t>.</w:t>
      </w:r>
    </w:p>
  </w:footnote>
  <w:footnote w:id="57">
    <w:p w:rsidR="00052B8B" w:rsidRPr="00582F76" w:rsidRDefault="00052B8B" w:rsidP="00A6186B">
      <w:pPr>
        <w:pStyle w:val="FootnoteText"/>
        <w:spacing w:line="312" w:lineRule="auto"/>
        <w:rPr>
          <w:rFonts w:ascii="Arial" w:hAnsi="Arial" w:cs="Arial"/>
        </w:rPr>
      </w:pPr>
      <w:r w:rsidRPr="00582F76">
        <w:rPr>
          <w:rStyle w:val="FootnoteReference"/>
          <w:rFonts w:ascii="Arial" w:hAnsi="Arial" w:cs="Arial"/>
        </w:rPr>
        <w:footnoteRef/>
      </w:r>
      <w:r>
        <w:rPr>
          <w:rFonts w:ascii="Arial" w:hAnsi="Arial" w:cs="Arial"/>
        </w:rPr>
        <w:t xml:space="preserve"> Ibid</w:t>
      </w:r>
      <w:r w:rsidRPr="00582F76">
        <w:rPr>
          <w:rFonts w:ascii="Arial" w:hAnsi="Arial" w:cs="Arial"/>
        </w:rPr>
        <w:t>.</w:t>
      </w:r>
    </w:p>
  </w:footnote>
  <w:footnote w:id="58">
    <w:p w:rsidR="00052B8B" w:rsidRPr="00582F76" w:rsidRDefault="00052B8B" w:rsidP="00A6186B">
      <w:pPr>
        <w:pStyle w:val="FootnoteText"/>
        <w:spacing w:line="312" w:lineRule="auto"/>
        <w:rPr>
          <w:rFonts w:ascii="Arial" w:hAnsi="Arial" w:cs="Arial"/>
        </w:rPr>
      </w:pPr>
      <w:r w:rsidRPr="00582F76">
        <w:rPr>
          <w:rStyle w:val="FootnoteReference"/>
          <w:rFonts w:ascii="Arial" w:hAnsi="Arial" w:cs="Arial"/>
        </w:rPr>
        <w:footnoteRef/>
      </w:r>
      <w:r>
        <w:rPr>
          <w:rFonts w:ascii="Arial" w:hAnsi="Arial" w:cs="Arial"/>
        </w:rPr>
        <w:t xml:space="preserve"> Ibid</w:t>
      </w:r>
      <w:r w:rsidRPr="00582F76">
        <w:rPr>
          <w:rFonts w:ascii="Arial" w:hAnsi="Arial" w:cs="Arial"/>
        </w:rPr>
        <w:t>.</w:t>
      </w:r>
    </w:p>
  </w:footnote>
  <w:footnote w:id="59">
    <w:p w:rsidR="00052B8B" w:rsidRPr="00582F76" w:rsidRDefault="00052B8B" w:rsidP="00A6186B">
      <w:pPr>
        <w:pStyle w:val="FootnoteText"/>
        <w:spacing w:line="312" w:lineRule="auto"/>
        <w:rPr>
          <w:rFonts w:ascii="Arial" w:hAnsi="Arial" w:cs="Arial"/>
        </w:rPr>
      </w:pPr>
      <w:r w:rsidRPr="00582F76">
        <w:rPr>
          <w:rStyle w:val="FootnoteReference"/>
          <w:rFonts w:ascii="Arial" w:hAnsi="Arial" w:cs="Arial"/>
        </w:rPr>
        <w:footnoteRef/>
      </w:r>
      <w:r>
        <w:rPr>
          <w:rFonts w:ascii="Arial" w:hAnsi="Arial" w:cs="Arial"/>
        </w:rPr>
        <w:t xml:space="preserve"> Ibid</w:t>
      </w:r>
      <w:r w:rsidRPr="00582F76">
        <w:rPr>
          <w:rFonts w:ascii="Arial" w:hAnsi="Arial" w:cs="Arial"/>
        </w:rPr>
        <w:t>.</w:t>
      </w:r>
    </w:p>
  </w:footnote>
  <w:footnote w:id="60">
    <w:p w:rsidR="00052B8B" w:rsidRPr="00582F76" w:rsidRDefault="00052B8B" w:rsidP="00A6186B">
      <w:pPr>
        <w:pStyle w:val="FootnoteText"/>
        <w:spacing w:line="312" w:lineRule="auto"/>
        <w:rPr>
          <w:rFonts w:ascii="Arial" w:hAnsi="Arial" w:cs="Arial"/>
        </w:rPr>
      </w:pPr>
      <w:r w:rsidRPr="00582F76">
        <w:rPr>
          <w:rStyle w:val="FootnoteReference"/>
          <w:rFonts w:ascii="Arial" w:hAnsi="Arial" w:cs="Arial"/>
        </w:rPr>
        <w:footnoteRef/>
      </w:r>
      <w:r w:rsidRPr="00582F76">
        <w:rPr>
          <w:rFonts w:ascii="Arial" w:hAnsi="Arial" w:cs="Arial"/>
        </w:rPr>
        <w:t xml:space="preserve"> Ibid 11</w:t>
      </w:r>
      <w:r>
        <w:rPr>
          <w:rFonts w:ascii="Arial" w:hAnsi="Arial" w:cs="Arial"/>
        </w:rPr>
        <w:t>.</w:t>
      </w:r>
    </w:p>
  </w:footnote>
  <w:footnote w:id="61">
    <w:p w:rsidR="00052B8B" w:rsidRPr="00CE3F94" w:rsidRDefault="00052B8B" w:rsidP="00A6186B">
      <w:pPr>
        <w:pStyle w:val="FootnoteText"/>
        <w:spacing w:line="312" w:lineRule="auto"/>
        <w:rPr>
          <w:rFonts w:ascii="Arial" w:hAnsi="Arial" w:cs="Arial"/>
        </w:rPr>
      </w:pPr>
      <w:r w:rsidRPr="00CE3F94">
        <w:rPr>
          <w:rStyle w:val="FootnoteReference"/>
          <w:rFonts w:ascii="Arial" w:hAnsi="Arial" w:cs="Arial"/>
        </w:rPr>
        <w:footnoteRef/>
      </w:r>
      <w:r w:rsidRPr="00CE3F94">
        <w:rPr>
          <w:rFonts w:ascii="Arial" w:hAnsi="Arial" w:cs="Arial"/>
        </w:rPr>
        <w:t xml:space="preserve"> European Commission, </w:t>
      </w:r>
      <w:r w:rsidRPr="00CE3F94">
        <w:rPr>
          <w:rFonts w:ascii="Arial" w:hAnsi="Arial" w:cs="Arial"/>
          <w:i/>
        </w:rPr>
        <w:t xml:space="preserve">Towards a European Deposit Insurance Scheme </w:t>
      </w:r>
      <w:r w:rsidRPr="00CE3F94">
        <w:rPr>
          <w:rFonts w:ascii="Arial" w:hAnsi="Arial" w:cs="Arial"/>
        </w:rPr>
        <w:t>(9 November 2015</w:t>
      </w:r>
      <w:r>
        <w:rPr>
          <w:rFonts w:ascii="Arial" w:hAnsi="Arial" w:cs="Arial"/>
        </w:rPr>
        <w:t>)</w:t>
      </w:r>
      <w:r w:rsidRPr="00CE3F94">
        <w:rPr>
          <w:rFonts w:ascii="Arial" w:hAnsi="Arial" w:cs="Arial"/>
        </w:rPr>
        <w:t xml:space="preserve"> 1 &lt;</w:t>
      </w:r>
      <w:r w:rsidRPr="00857FA4">
        <w:rPr>
          <w:rStyle w:val="Hyperlink"/>
          <w:rFonts w:ascii="Arial" w:hAnsi="Arial" w:cs="Arial"/>
        </w:rPr>
        <w:t>http://ec.europa.eu/epsc/pdf/publications/5p_note_edis.pdf</w:t>
      </w:r>
      <w:r w:rsidRPr="00CE3F94">
        <w:rPr>
          <w:rFonts w:ascii="Arial" w:hAnsi="Arial" w:cs="Arial"/>
        </w:rPr>
        <w:t>&gt;.</w:t>
      </w:r>
    </w:p>
  </w:footnote>
  <w:footnote w:id="62">
    <w:p w:rsidR="00052B8B" w:rsidRPr="00CE3F94" w:rsidRDefault="00052B8B" w:rsidP="00A6186B">
      <w:pPr>
        <w:pStyle w:val="FootnoteText"/>
        <w:spacing w:line="312" w:lineRule="auto"/>
        <w:rPr>
          <w:rFonts w:ascii="Arial" w:hAnsi="Arial" w:cs="Arial"/>
        </w:rPr>
      </w:pPr>
      <w:r w:rsidRPr="00CE3F94">
        <w:rPr>
          <w:rStyle w:val="FootnoteReference"/>
          <w:rFonts w:ascii="Arial" w:hAnsi="Arial" w:cs="Arial"/>
        </w:rPr>
        <w:footnoteRef/>
      </w:r>
      <w:r w:rsidRPr="00CE3F94">
        <w:rPr>
          <w:rFonts w:ascii="Arial" w:hAnsi="Arial" w:cs="Arial"/>
        </w:rPr>
        <w:t xml:space="preserve"> </w:t>
      </w:r>
      <w:r>
        <w:rPr>
          <w:rFonts w:ascii="Arial" w:hAnsi="Arial" w:cs="Arial"/>
        </w:rPr>
        <w:t>Ibid.</w:t>
      </w:r>
    </w:p>
  </w:footnote>
  <w:footnote w:id="63">
    <w:p w:rsidR="00052B8B" w:rsidRPr="00CE3F94" w:rsidRDefault="00052B8B" w:rsidP="00A6186B">
      <w:pPr>
        <w:pStyle w:val="FootnoteText"/>
        <w:spacing w:line="312" w:lineRule="auto"/>
        <w:rPr>
          <w:rFonts w:ascii="Arial" w:hAnsi="Arial" w:cs="Arial"/>
        </w:rPr>
      </w:pPr>
      <w:r w:rsidRPr="00CE3F94">
        <w:rPr>
          <w:rStyle w:val="FootnoteReference"/>
          <w:rFonts w:ascii="Arial" w:hAnsi="Arial" w:cs="Arial"/>
        </w:rPr>
        <w:footnoteRef/>
      </w:r>
      <w:r w:rsidRPr="00CE3F94">
        <w:rPr>
          <w:rFonts w:ascii="Arial" w:hAnsi="Arial" w:cs="Arial"/>
        </w:rPr>
        <w:t xml:space="preserve"> </w:t>
      </w:r>
      <w:r>
        <w:rPr>
          <w:rFonts w:ascii="Arial" w:hAnsi="Arial" w:cs="Arial"/>
        </w:rPr>
        <w:t>Ibid.</w:t>
      </w:r>
    </w:p>
  </w:footnote>
  <w:footnote w:id="64">
    <w:p w:rsidR="00052B8B" w:rsidRPr="00D12D6E" w:rsidRDefault="00052B8B" w:rsidP="00A6186B">
      <w:pPr>
        <w:pStyle w:val="FootnoteText"/>
        <w:spacing w:line="312" w:lineRule="auto"/>
        <w:rPr>
          <w:rFonts w:ascii="Arial" w:hAnsi="Arial" w:cs="Arial"/>
        </w:rPr>
      </w:pPr>
      <w:r w:rsidRPr="00D12D6E">
        <w:rPr>
          <w:rStyle w:val="FootnoteReference"/>
          <w:rFonts w:ascii="Arial" w:hAnsi="Arial" w:cs="Arial"/>
        </w:rPr>
        <w:footnoteRef/>
      </w:r>
      <w:r w:rsidRPr="00D12D6E">
        <w:rPr>
          <w:rFonts w:ascii="Arial" w:hAnsi="Arial" w:cs="Arial"/>
        </w:rPr>
        <w:t xml:space="preserve"> Goyal et al, </w:t>
      </w:r>
      <w:r w:rsidRPr="00D12D6E">
        <w:rPr>
          <w:rFonts w:ascii="Arial" w:hAnsi="Arial" w:cs="Arial"/>
          <w:i/>
        </w:rPr>
        <w:t xml:space="preserve">A Banking Union for the Euro Area </w:t>
      </w:r>
      <w:r w:rsidRPr="00D12D6E">
        <w:rPr>
          <w:rFonts w:ascii="Arial" w:hAnsi="Arial" w:cs="Arial"/>
        </w:rPr>
        <w:t xml:space="preserve">(February 2013) International Monetary Fund Staff Discussion Note, 19 &lt; </w:t>
      </w:r>
      <w:r w:rsidRPr="00857FA4">
        <w:rPr>
          <w:rStyle w:val="Hyperlink"/>
          <w:rFonts w:ascii="Arial" w:hAnsi="Arial" w:cs="Arial"/>
        </w:rPr>
        <w:t>https://www.imf.org/external/pubs/ft/sdn/2013/sdn1301.pdf</w:t>
      </w:r>
      <w:r w:rsidRPr="00D12D6E">
        <w:rPr>
          <w:rFonts w:ascii="Arial" w:hAnsi="Arial" w:cs="Arial"/>
        </w:rPr>
        <w:t>&gt;.</w:t>
      </w:r>
    </w:p>
  </w:footnote>
  <w:footnote w:id="65">
    <w:p w:rsidR="00052B8B" w:rsidRPr="00CE3F94" w:rsidRDefault="00052B8B" w:rsidP="00A6186B">
      <w:pPr>
        <w:pStyle w:val="FootnoteText"/>
        <w:spacing w:line="312" w:lineRule="auto"/>
        <w:rPr>
          <w:rFonts w:ascii="Arial" w:hAnsi="Arial" w:cs="Arial"/>
        </w:rPr>
      </w:pPr>
      <w:r w:rsidRPr="00CE3F94">
        <w:rPr>
          <w:rStyle w:val="FootnoteReference"/>
          <w:rFonts w:ascii="Arial" w:hAnsi="Arial" w:cs="Arial"/>
        </w:rPr>
        <w:footnoteRef/>
      </w:r>
      <w:r w:rsidRPr="00CE3F94">
        <w:rPr>
          <w:rFonts w:ascii="Arial" w:hAnsi="Arial" w:cs="Arial"/>
        </w:rPr>
        <w:t xml:space="preserve"> </w:t>
      </w:r>
      <w:r>
        <w:rPr>
          <w:rFonts w:ascii="Arial" w:hAnsi="Arial" w:cs="Arial"/>
        </w:rPr>
        <w:t>European Commission, above n 61, 1.</w:t>
      </w:r>
    </w:p>
  </w:footnote>
  <w:footnote w:id="66">
    <w:p w:rsidR="00052B8B" w:rsidRPr="00CE3F94" w:rsidRDefault="00052B8B" w:rsidP="00A6186B">
      <w:pPr>
        <w:pStyle w:val="FootnoteText"/>
        <w:spacing w:line="312" w:lineRule="auto"/>
        <w:rPr>
          <w:rFonts w:ascii="Arial" w:hAnsi="Arial" w:cs="Arial"/>
        </w:rPr>
      </w:pPr>
      <w:r w:rsidRPr="00CE3F94">
        <w:rPr>
          <w:rStyle w:val="FootnoteReference"/>
          <w:rFonts w:ascii="Arial" w:hAnsi="Arial" w:cs="Arial"/>
        </w:rPr>
        <w:footnoteRef/>
      </w:r>
      <w:r w:rsidRPr="00CE3F94">
        <w:rPr>
          <w:rFonts w:ascii="Arial" w:hAnsi="Arial" w:cs="Arial"/>
        </w:rPr>
        <w:t xml:space="preserve"> </w:t>
      </w:r>
      <w:r>
        <w:rPr>
          <w:rFonts w:ascii="Arial" w:hAnsi="Arial" w:cs="Arial"/>
        </w:rPr>
        <w:t>Ibid.</w:t>
      </w:r>
    </w:p>
  </w:footnote>
  <w:footnote w:id="67">
    <w:p w:rsidR="00052B8B" w:rsidRPr="0004038F" w:rsidRDefault="00052B8B" w:rsidP="00A6186B">
      <w:pPr>
        <w:pStyle w:val="FootnoteText"/>
        <w:spacing w:line="312" w:lineRule="auto"/>
        <w:rPr>
          <w:rFonts w:ascii="Arial" w:hAnsi="Arial" w:cs="Arial"/>
        </w:rPr>
      </w:pPr>
      <w:r w:rsidRPr="00CE3F94">
        <w:rPr>
          <w:rStyle w:val="FootnoteReference"/>
          <w:rFonts w:ascii="Arial" w:hAnsi="Arial" w:cs="Arial"/>
        </w:rPr>
        <w:footnoteRef/>
      </w:r>
      <w:r w:rsidRPr="00CE3F94">
        <w:rPr>
          <w:rFonts w:ascii="Arial" w:hAnsi="Arial" w:cs="Arial"/>
        </w:rPr>
        <w:t xml:space="preserve"> </w:t>
      </w:r>
      <w:r w:rsidRPr="0004038F">
        <w:rPr>
          <w:rFonts w:ascii="Arial" w:hAnsi="Arial" w:cs="Arial"/>
          <w:i/>
        </w:rPr>
        <w:t xml:space="preserve">Directive 2014/49/EU of the European Parliament and of the Council </w:t>
      </w:r>
      <w:r>
        <w:rPr>
          <w:rFonts w:ascii="Arial" w:hAnsi="Arial" w:cs="Arial"/>
          <w:i/>
        </w:rPr>
        <w:t>o</w:t>
      </w:r>
      <w:r w:rsidRPr="0004038F">
        <w:rPr>
          <w:rFonts w:ascii="Arial" w:hAnsi="Arial" w:cs="Arial"/>
          <w:i/>
        </w:rPr>
        <w:t>f 16 April 2014 on Deposit Guarantee Schemes</w:t>
      </w:r>
      <w:r>
        <w:rPr>
          <w:rFonts w:ascii="Arial" w:hAnsi="Arial" w:cs="Arial"/>
          <w:i/>
        </w:rPr>
        <w:t xml:space="preserve"> </w:t>
      </w:r>
      <w:r>
        <w:rPr>
          <w:rFonts w:ascii="Arial" w:hAnsi="Arial" w:cs="Arial"/>
        </w:rPr>
        <w:t>[2014] OJ L 173/49.</w:t>
      </w:r>
    </w:p>
  </w:footnote>
  <w:footnote w:id="68">
    <w:p w:rsidR="00052B8B" w:rsidRPr="00CE3F94" w:rsidRDefault="00052B8B" w:rsidP="00A6186B">
      <w:pPr>
        <w:pStyle w:val="FootnoteText"/>
        <w:spacing w:line="312" w:lineRule="auto"/>
        <w:rPr>
          <w:rFonts w:ascii="Arial" w:hAnsi="Arial" w:cs="Arial"/>
        </w:rPr>
      </w:pPr>
      <w:r w:rsidRPr="00CE3F94">
        <w:rPr>
          <w:rStyle w:val="FootnoteReference"/>
          <w:rFonts w:ascii="Arial" w:hAnsi="Arial" w:cs="Arial"/>
        </w:rPr>
        <w:footnoteRef/>
      </w:r>
      <w:r w:rsidRPr="00CE3F94">
        <w:rPr>
          <w:rFonts w:ascii="Arial" w:hAnsi="Arial" w:cs="Arial"/>
        </w:rPr>
        <w:t xml:space="preserve"> European Commission, </w:t>
      </w:r>
      <w:r w:rsidRPr="00CE3F94">
        <w:rPr>
          <w:rFonts w:ascii="Arial" w:hAnsi="Arial" w:cs="Arial"/>
          <w:i/>
        </w:rPr>
        <w:t xml:space="preserve">A European Deposit Insurance Scheme (EDIS) – Frequently Asked Questions, </w:t>
      </w:r>
      <w:r w:rsidRPr="00CE3F94">
        <w:rPr>
          <w:rFonts w:ascii="Arial" w:hAnsi="Arial" w:cs="Arial"/>
        </w:rPr>
        <w:t xml:space="preserve">3 (24 November 2015) &lt; </w:t>
      </w:r>
      <w:r w:rsidRPr="00857FA4">
        <w:rPr>
          <w:rStyle w:val="Hyperlink"/>
          <w:rFonts w:ascii="Arial" w:hAnsi="Arial" w:cs="Arial"/>
        </w:rPr>
        <w:t>http://europa.eu/rapid/press-release_MEMO-15-6153_en.htm</w:t>
      </w:r>
      <w:r w:rsidRPr="00CE3F94">
        <w:rPr>
          <w:rFonts w:ascii="Arial" w:hAnsi="Arial" w:cs="Arial"/>
        </w:rPr>
        <w:t>&gt;.</w:t>
      </w:r>
    </w:p>
  </w:footnote>
  <w:footnote w:id="69">
    <w:p w:rsidR="00052B8B" w:rsidRPr="004F5814" w:rsidRDefault="00052B8B" w:rsidP="00A6186B">
      <w:pPr>
        <w:pStyle w:val="FootnoteText"/>
        <w:spacing w:line="312" w:lineRule="auto"/>
        <w:rPr>
          <w:rFonts w:ascii="Arial" w:hAnsi="Arial" w:cs="Arial"/>
        </w:rPr>
      </w:pPr>
      <w:r w:rsidRPr="004F5814">
        <w:rPr>
          <w:rStyle w:val="FootnoteReference"/>
          <w:rFonts w:ascii="Arial" w:hAnsi="Arial" w:cs="Arial"/>
        </w:rPr>
        <w:footnoteRef/>
      </w:r>
      <w:r w:rsidRPr="004F5814">
        <w:rPr>
          <w:rFonts w:ascii="Arial" w:hAnsi="Arial" w:cs="Arial"/>
        </w:rPr>
        <w:t xml:space="preserve"> Christian Odenhall, </w:t>
      </w:r>
      <w:r w:rsidRPr="004F5814">
        <w:rPr>
          <w:rFonts w:ascii="Arial" w:hAnsi="Arial" w:cs="Arial"/>
          <w:i/>
        </w:rPr>
        <w:t>The Eurozone’s ‘Five Presidents’ Report’: An Assessment</w:t>
      </w:r>
      <w:r w:rsidRPr="004F5814">
        <w:rPr>
          <w:rFonts w:ascii="Arial" w:hAnsi="Arial" w:cs="Arial"/>
        </w:rPr>
        <w:t xml:space="preserve"> (22 June 2015) Centre for European Reform &lt; </w:t>
      </w:r>
      <w:r w:rsidRPr="00014E7A">
        <w:rPr>
          <w:rStyle w:val="Hyperlink"/>
          <w:rFonts w:ascii="Arial" w:hAnsi="Arial" w:cs="Arial"/>
        </w:rPr>
        <w:t>https://www.cer.org.uk/insights/eurozones-five-presidents-report-assesment</w:t>
      </w:r>
      <w:r w:rsidRPr="004F5814">
        <w:rPr>
          <w:rFonts w:ascii="Arial" w:hAnsi="Arial" w:cs="Arial"/>
        </w:rPr>
        <w:t>&gt;.</w:t>
      </w:r>
    </w:p>
  </w:footnote>
  <w:footnote w:id="70">
    <w:p w:rsidR="00052B8B" w:rsidRDefault="00052B8B" w:rsidP="00A6186B">
      <w:pPr>
        <w:pStyle w:val="FootnoteText"/>
        <w:spacing w:line="312" w:lineRule="auto"/>
      </w:pPr>
      <w:r w:rsidRPr="004F5814">
        <w:rPr>
          <w:rStyle w:val="FootnoteReference"/>
          <w:rFonts w:ascii="Arial" w:hAnsi="Arial" w:cs="Arial"/>
        </w:rPr>
        <w:footnoteRef/>
      </w:r>
      <w:r w:rsidRPr="004F5814">
        <w:rPr>
          <w:rFonts w:ascii="Arial" w:hAnsi="Arial" w:cs="Arial"/>
        </w:rPr>
        <w:t xml:space="preserve"> </w:t>
      </w:r>
      <w:r>
        <w:rPr>
          <w:rFonts w:ascii="Arial" w:hAnsi="Arial" w:cs="Arial"/>
        </w:rPr>
        <w:t>Ibid</w:t>
      </w:r>
    </w:p>
  </w:footnote>
  <w:footnote w:id="71">
    <w:p w:rsidR="00052B8B" w:rsidRPr="00C52690" w:rsidRDefault="00052B8B" w:rsidP="00A6186B">
      <w:pPr>
        <w:pStyle w:val="FootnoteText"/>
        <w:spacing w:line="312" w:lineRule="auto"/>
        <w:rPr>
          <w:rFonts w:ascii="Arial" w:hAnsi="Arial" w:cs="Arial"/>
        </w:rPr>
      </w:pPr>
      <w:r w:rsidRPr="00C52690">
        <w:rPr>
          <w:rStyle w:val="FootnoteReference"/>
          <w:rFonts w:ascii="Arial" w:hAnsi="Arial" w:cs="Arial"/>
        </w:rPr>
        <w:footnoteRef/>
      </w:r>
      <w:r w:rsidRPr="00C52690">
        <w:rPr>
          <w:rFonts w:ascii="Arial" w:hAnsi="Arial" w:cs="Arial"/>
        </w:rPr>
        <w:t xml:space="preserve"> </w:t>
      </w:r>
      <w:r>
        <w:rPr>
          <w:rFonts w:ascii="Arial" w:hAnsi="Arial" w:cs="Arial"/>
        </w:rPr>
        <w:t>Ibid</w:t>
      </w:r>
    </w:p>
  </w:footnote>
  <w:footnote w:id="72">
    <w:p w:rsidR="00052B8B" w:rsidRPr="00C52690" w:rsidRDefault="00052B8B" w:rsidP="00A6186B">
      <w:pPr>
        <w:pStyle w:val="FootnoteText"/>
        <w:spacing w:line="312" w:lineRule="auto"/>
        <w:rPr>
          <w:rFonts w:ascii="Arial" w:hAnsi="Arial" w:cs="Arial"/>
        </w:rPr>
      </w:pPr>
      <w:r w:rsidRPr="00C52690">
        <w:rPr>
          <w:rStyle w:val="FootnoteReference"/>
          <w:rFonts w:ascii="Arial" w:hAnsi="Arial" w:cs="Arial"/>
        </w:rPr>
        <w:footnoteRef/>
      </w:r>
      <w:r w:rsidRPr="00C52690">
        <w:rPr>
          <w:rFonts w:ascii="Arial" w:hAnsi="Arial" w:cs="Arial"/>
        </w:rPr>
        <w:t xml:space="preserve"> </w:t>
      </w:r>
      <w:r>
        <w:rPr>
          <w:rFonts w:ascii="Arial" w:hAnsi="Arial" w:cs="Arial"/>
        </w:rPr>
        <w:t>Ibid</w:t>
      </w:r>
    </w:p>
  </w:footnote>
  <w:footnote w:id="73">
    <w:p w:rsidR="00052B8B" w:rsidRPr="007369D4" w:rsidRDefault="00052B8B" w:rsidP="00A6186B">
      <w:pPr>
        <w:pStyle w:val="FootnoteText"/>
        <w:spacing w:line="312" w:lineRule="auto"/>
        <w:ind w:right="-142"/>
        <w:rPr>
          <w:rFonts w:ascii="Arial" w:hAnsi="Arial" w:cs="Arial"/>
        </w:rPr>
      </w:pPr>
      <w:r w:rsidRPr="00D7468E">
        <w:rPr>
          <w:rStyle w:val="FootnoteReference"/>
          <w:rFonts w:ascii="Arial" w:hAnsi="Arial" w:cs="Arial"/>
        </w:rPr>
        <w:footnoteRef/>
      </w:r>
      <w:r w:rsidRPr="00D7468E">
        <w:rPr>
          <w:rFonts w:ascii="Arial" w:hAnsi="Arial" w:cs="Arial"/>
        </w:rPr>
        <w:t xml:space="preserve"> </w:t>
      </w:r>
      <w:r w:rsidRPr="007369D4">
        <w:rPr>
          <w:rFonts w:ascii="Arial" w:hAnsi="Arial" w:cs="Arial"/>
        </w:rPr>
        <w:t xml:space="preserve">European Parliament, </w:t>
      </w:r>
      <w:r w:rsidRPr="007369D4">
        <w:rPr>
          <w:rFonts w:ascii="Arial" w:hAnsi="Arial" w:cs="Arial"/>
          <w:i/>
        </w:rPr>
        <w:t xml:space="preserve">European Deposit Insurance Scheme: Completing the Banking Union </w:t>
      </w:r>
      <w:r w:rsidRPr="007369D4">
        <w:rPr>
          <w:rFonts w:ascii="Arial" w:hAnsi="Arial" w:cs="Arial"/>
        </w:rPr>
        <w:t>(14 March 2016), 4 &lt;</w:t>
      </w:r>
      <w:hyperlink r:id="rId3" w:history="1">
        <w:r w:rsidRPr="007369D4">
          <w:rPr>
            <w:rStyle w:val="Hyperlink"/>
            <w:rFonts w:ascii="Arial" w:hAnsi="Arial" w:cs="Arial"/>
          </w:rPr>
          <w:t>http://www.europarl.europa.eu/thinktank/en/document.html?reference=EPRS_BRI(2016)579090</w:t>
        </w:r>
      </w:hyperlink>
      <w:r w:rsidRPr="007369D4">
        <w:rPr>
          <w:rFonts w:ascii="Arial" w:hAnsi="Arial" w:cs="Arial"/>
        </w:rPr>
        <w:t>&gt;.</w:t>
      </w:r>
    </w:p>
  </w:footnote>
  <w:footnote w:id="74">
    <w:p w:rsidR="00052B8B" w:rsidRPr="007369D4" w:rsidRDefault="00052B8B" w:rsidP="00A6186B">
      <w:pPr>
        <w:pStyle w:val="FootnoteText"/>
        <w:spacing w:line="312" w:lineRule="auto"/>
        <w:rPr>
          <w:rFonts w:ascii="Arial" w:hAnsi="Arial" w:cs="Arial"/>
        </w:rPr>
      </w:pPr>
      <w:r w:rsidRPr="007369D4">
        <w:rPr>
          <w:rStyle w:val="FootnoteReference"/>
          <w:rFonts w:ascii="Arial" w:hAnsi="Arial" w:cs="Arial"/>
        </w:rPr>
        <w:footnoteRef/>
      </w:r>
      <w:r w:rsidRPr="007369D4">
        <w:rPr>
          <w:rFonts w:ascii="Arial" w:hAnsi="Arial" w:cs="Arial"/>
        </w:rPr>
        <w:t xml:space="preserve"> Ibid.</w:t>
      </w:r>
    </w:p>
  </w:footnote>
  <w:footnote w:id="75">
    <w:p w:rsidR="00052B8B" w:rsidRPr="007369D4" w:rsidRDefault="00052B8B" w:rsidP="00A6186B">
      <w:pPr>
        <w:pStyle w:val="FootnoteText"/>
        <w:spacing w:line="312" w:lineRule="auto"/>
        <w:ind w:right="-142"/>
        <w:rPr>
          <w:rFonts w:ascii="Arial" w:hAnsi="Arial" w:cs="Arial"/>
        </w:rPr>
      </w:pPr>
      <w:r w:rsidRPr="007369D4">
        <w:rPr>
          <w:rStyle w:val="FootnoteReference"/>
          <w:rFonts w:ascii="Arial" w:hAnsi="Arial" w:cs="Arial"/>
        </w:rPr>
        <w:footnoteRef/>
      </w:r>
      <w:r w:rsidRPr="007369D4">
        <w:rPr>
          <w:rFonts w:ascii="Arial" w:hAnsi="Arial" w:cs="Arial"/>
        </w:rPr>
        <w:t xml:space="preserve"> Ibid 5,6. </w:t>
      </w:r>
    </w:p>
  </w:footnote>
  <w:footnote w:id="76">
    <w:p w:rsidR="00052B8B" w:rsidRPr="007369D4" w:rsidRDefault="00052B8B" w:rsidP="00A6186B">
      <w:pPr>
        <w:pStyle w:val="FootnoteText"/>
        <w:spacing w:line="312" w:lineRule="auto"/>
        <w:ind w:right="-142"/>
        <w:rPr>
          <w:rFonts w:ascii="Arial" w:hAnsi="Arial" w:cs="Arial"/>
        </w:rPr>
      </w:pPr>
      <w:r w:rsidRPr="007369D4">
        <w:rPr>
          <w:rStyle w:val="FootnoteReference"/>
          <w:rFonts w:ascii="Arial" w:hAnsi="Arial" w:cs="Arial"/>
        </w:rPr>
        <w:footnoteRef/>
      </w:r>
      <w:r w:rsidRPr="007369D4">
        <w:rPr>
          <w:rFonts w:ascii="Arial" w:hAnsi="Arial" w:cs="Arial"/>
        </w:rPr>
        <w:t xml:space="preserve"> Ibid.</w:t>
      </w:r>
    </w:p>
  </w:footnote>
  <w:footnote w:id="77">
    <w:p w:rsidR="00052B8B" w:rsidRPr="007369D4" w:rsidRDefault="00052B8B" w:rsidP="00A6186B">
      <w:pPr>
        <w:pStyle w:val="FootnoteText"/>
        <w:spacing w:line="312" w:lineRule="auto"/>
        <w:ind w:right="-284"/>
        <w:rPr>
          <w:rFonts w:ascii="Arial" w:hAnsi="Arial" w:cs="Arial"/>
        </w:rPr>
      </w:pPr>
      <w:r w:rsidRPr="007369D4">
        <w:rPr>
          <w:rStyle w:val="FootnoteReference"/>
          <w:rFonts w:ascii="Arial" w:hAnsi="Arial" w:cs="Arial"/>
        </w:rPr>
        <w:footnoteRef/>
      </w:r>
      <w:r w:rsidRPr="007369D4">
        <w:rPr>
          <w:rFonts w:ascii="Arial" w:hAnsi="Arial" w:cs="Arial"/>
        </w:rPr>
        <w:t xml:space="preserve"> Ibid 6.</w:t>
      </w:r>
    </w:p>
  </w:footnote>
  <w:footnote w:id="78">
    <w:p w:rsidR="00052B8B" w:rsidRPr="007369D4" w:rsidRDefault="00052B8B" w:rsidP="00A6186B">
      <w:pPr>
        <w:pStyle w:val="FootnoteText"/>
        <w:spacing w:line="312" w:lineRule="auto"/>
        <w:ind w:right="-284"/>
        <w:rPr>
          <w:rFonts w:ascii="Arial" w:hAnsi="Arial" w:cs="Arial"/>
          <w:i/>
        </w:rPr>
      </w:pPr>
      <w:r w:rsidRPr="007369D4">
        <w:rPr>
          <w:rStyle w:val="FootnoteReference"/>
          <w:rFonts w:ascii="Arial" w:hAnsi="Arial" w:cs="Arial"/>
        </w:rPr>
        <w:footnoteRef/>
      </w:r>
      <w:r w:rsidRPr="007369D4">
        <w:rPr>
          <w:rFonts w:ascii="Arial" w:hAnsi="Arial" w:cs="Arial"/>
        </w:rPr>
        <w:t xml:space="preserve"> Ludger Schuknecht, ‘</w:t>
      </w:r>
      <w:r>
        <w:rPr>
          <w:rFonts w:ascii="Arial" w:hAnsi="Arial" w:cs="Arial"/>
        </w:rPr>
        <w:t xml:space="preserve">An </w:t>
      </w:r>
      <w:r w:rsidRPr="007369D4">
        <w:rPr>
          <w:rFonts w:ascii="Arial" w:hAnsi="Arial" w:cs="Arial"/>
        </w:rPr>
        <w:t xml:space="preserve">Insurance Scheme That Only Ensures Problems’ </w:t>
      </w:r>
      <w:r w:rsidRPr="007369D4">
        <w:rPr>
          <w:rFonts w:ascii="Arial" w:hAnsi="Arial" w:cs="Arial"/>
          <w:i/>
        </w:rPr>
        <w:t xml:space="preserve">Frankfurter Allgemeine </w:t>
      </w:r>
      <w:r w:rsidRPr="007369D4">
        <w:rPr>
          <w:rFonts w:ascii="Arial" w:hAnsi="Arial" w:cs="Arial"/>
        </w:rPr>
        <w:t xml:space="preserve">(online) 8 February 2016 &lt; </w:t>
      </w:r>
      <w:r w:rsidRPr="007369D4">
        <w:rPr>
          <w:rStyle w:val="Hyperlink"/>
          <w:rFonts w:ascii="Arial" w:hAnsi="Arial" w:cs="Arial"/>
        </w:rPr>
        <w:t>http://blogs.faz.net/fazit/2016/02/08/an-insurance-scheme-that-only-ensures-problems-7298/</w:t>
      </w:r>
      <w:r w:rsidRPr="007369D4">
        <w:rPr>
          <w:rFonts w:ascii="Arial" w:hAnsi="Arial" w:cs="Arial"/>
        </w:rPr>
        <w:t>&gt;.</w:t>
      </w:r>
    </w:p>
  </w:footnote>
  <w:footnote w:id="79">
    <w:p w:rsidR="00052B8B" w:rsidRPr="007369D4" w:rsidRDefault="00052B8B" w:rsidP="00A6186B">
      <w:pPr>
        <w:pStyle w:val="FootnoteText"/>
        <w:spacing w:line="312" w:lineRule="auto"/>
        <w:ind w:right="-284"/>
        <w:rPr>
          <w:rFonts w:ascii="Arial" w:hAnsi="Arial" w:cs="Arial"/>
        </w:rPr>
      </w:pPr>
      <w:r w:rsidRPr="007369D4">
        <w:rPr>
          <w:rStyle w:val="FootnoteReference"/>
          <w:rFonts w:ascii="Arial" w:hAnsi="Arial" w:cs="Arial"/>
        </w:rPr>
        <w:footnoteRef/>
      </w:r>
      <w:r w:rsidRPr="007369D4">
        <w:rPr>
          <w:rFonts w:ascii="Arial" w:hAnsi="Arial" w:cs="Arial"/>
        </w:rPr>
        <w:t xml:space="preserve"> Ibid.</w:t>
      </w:r>
    </w:p>
  </w:footnote>
  <w:footnote w:id="80">
    <w:p w:rsidR="00052B8B" w:rsidRPr="007369D4" w:rsidRDefault="00052B8B" w:rsidP="00A6186B">
      <w:pPr>
        <w:pStyle w:val="FootnoteText"/>
        <w:spacing w:line="312" w:lineRule="auto"/>
        <w:ind w:right="-284"/>
        <w:rPr>
          <w:rFonts w:ascii="Arial" w:hAnsi="Arial" w:cs="Arial"/>
        </w:rPr>
      </w:pPr>
      <w:r w:rsidRPr="007369D4">
        <w:rPr>
          <w:rStyle w:val="FootnoteReference"/>
          <w:rFonts w:ascii="Arial" w:hAnsi="Arial" w:cs="Arial"/>
        </w:rPr>
        <w:footnoteRef/>
      </w:r>
      <w:r w:rsidRPr="007369D4">
        <w:rPr>
          <w:rFonts w:ascii="Arial" w:hAnsi="Arial" w:cs="Arial"/>
        </w:rPr>
        <w:t xml:space="preserve"> Ibid.</w:t>
      </w:r>
    </w:p>
  </w:footnote>
  <w:footnote w:id="81">
    <w:p w:rsidR="00052B8B" w:rsidRPr="007369D4" w:rsidRDefault="00052B8B" w:rsidP="00A6186B">
      <w:pPr>
        <w:pStyle w:val="FootnoteText"/>
        <w:spacing w:line="312" w:lineRule="auto"/>
        <w:ind w:right="-284"/>
        <w:rPr>
          <w:rFonts w:ascii="Arial" w:hAnsi="Arial" w:cs="Arial"/>
        </w:rPr>
      </w:pPr>
      <w:r w:rsidRPr="007369D4">
        <w:rPr>
          <w:rStyle w:val="FootnoteReference"/>
          <w:rFonts w:ascii="Arial" w:hAnsi="Arial" w:cs="Arial"/>
        </w:rPr>
        <w:footnoteRef/>
      </w:r>
      <w:r w:rsidRPr="007369D4">
        <w:rPr>
          <w:rFonts w:ascii="Arial" w:hAnsi="Arial" w:cs="Arial"/>
        </w:rPr>
        <w:t xml:space="preserve"> Ibid.</w:t>
      </w:r>
    </w:p>
  </w:footnote>
  <w:footnote w:id="82">
    <w:p w:rsidR="00052B8B" w:rsidRPr="007369D4" w:rsidRDefault="00052B8B" w:rsidP="00A6186B">
      <w:pPr>
        <w:pStyle w:val="FootnoteText"/>
        <w:spacing w:line="312" w:lineRule="auto"/>
        <w:ind w:right="-284"/>
        <w:rPr>
          <w:rFonts w:ascii="Arial" w:hAnsi="Arial" w:cs="Arial"/>
        </w:rPr>
      </w:pPr>
      <w:r w:rsidRPr="007369D4">
        <w:rPr>
          <w:rStyle w:val="FootnoteReference"/>
          <w:rFonts w:ascii="Arial" w:hAnsi="Arial" w:cs="Arial"/>
        </w:rPr>
        <w:footnoteRef/>
      </w:r>
      <w:r w:rsidRPr="007369D4">
        <w:rPr>
          <w:rFonts w:ascii="Arial" w:hAnsi="Arial" w:cs="Arial"/>
        </w:rPr>
        <w:t xml:space="preserve"> Ibid.</w:t>
      </w:r>
    </w:p>
  </w:footnote>
  <w:footnote w:id="83">
    <w:p w:rsidR="00052B8B" w:rsidRDefault="00052B8B" w:rsidP="00A6186B">
      <w:pPr>
        <w:pStyle w:val="FootnoteText"/>
        <w:spacing w:line="312" w:lineRule="auto"/>
      </w:pPr>
      <w:r w:rsidRPr="007369D4">
        <w:rPr>
          <w:rStyle w:val="FootnoteReference"/>
          <w:rFonts w:ascii="Arial" w:hAnsi="Arial" w:cs="Arial"/>
        </w:rPr>
        <w:footnoteRef/>
      </w:r>
      <w:r w:rsidRPr="007369D4">
        <w:rPr>
          <w:rFonts w:ascii="Arial" w:hAnsi="Arial" w:cs="Arial"/>
        </w:rPr>
        <w:t xml:space="preserve"> </w:t>
      </w:r>
      <w:r w:rsidRPr="007369D4">
        <w:rPr>
          <w:rFonts w:ascii="Arial" w:hAnsi="Arial" w:cs="Arial"/>
          <w:i/>
        </w:rPr>
        <w:t xml:space="preserve">Treaty on the Functioning of the European Union, </w:t>
      </w:r>
      <w:r w:rsidRPr="007369D4">
        <w:rPr>
          <w:rFonts w:ascii="Arial" w:hAnsi="Arial" w:cs="Arial"/>
        </w:rPr>
        <w:t>opened for signature 13 December 2007 (entered into force 1 December 2009)</w:t>
      </w:r>
      <w:r w:rsidRPr="007369D4">
        <w:rPr>
          <w:rFonts w:ascii="Arial" w:hAnsi="Arial" w:cs="Arial"/>
          <w:i/>
        </w:rPr>
        <w:t xml:space="preserve"> </w:t>
      </w:r>
      <w:r w:rsidRPr="007369D4">
        <w:rPr>
          <w:rFonts w:ascii="Arial" w:hAnsi="Arial" w:cs="Arial"/>
        </w:rPr>
        <w:t>art 114.</w:t>
      </w:r>
    </w:p>
  </w:footnote>
  <w:footnote w:id="84">
    <w:p w:rsidR="00052B8B" w:rsidRPr="00D7468E" w:rsidRDefault="00052B8B" w:rsidP="00A6186B">
      <w:pPr>
        <w:pStyle w:val="FootnoteText"/>
        <w:spacing w:line="312" w:lineRule="auto"/>
        <w:ind w:right="-284"/>
        <w:rPr>
          <w:rFonts w:ascii="Arial" w:hAnsi="Arial" w:cs="Arial"/>
        </w:rPr>
      </w:pPr>
      <w:r w:rsidRPr="00D7468E">
        <w:rPr>
          <w:rStyle w:val="FootnoteReference"/>
          <w:rFonts w:ascii="Arial" w:hAnsi="Arial" w:cs="Arial"/>
        </w:rPr>
        <w:footnoteRef/>
      </w:r>
      <w:r w:rsidRPr="00D7468E">
        <w:rPr>
          <w:rFonts w:ascii="Arial" w:hAnsi="Arial" w:cs="Arial"/>
        </w:rPr>
        <w:t xml:space="preserve"> </w:t>
      </w:r>
      <w:r>
        <w:rPr>
          <w:rFonts w:ascii="Arial" w:hAnsi="Arial" w:cs="Arial"/>
        </w:rPr>
        <w:t>Schuknecht, above n 78.</w:t>
      </w:r>
    </w:p>
  </w:footnote>
  <w:footnote w:id="85">
    <w:p w:rsidR="00052B8B" w:rsidRPr="00D12D6E" w:rsidRDefault="00052B8B" w:rsidP="00A6186B">
      <w:pPr>
        <w:pStyle w:val="FootnoteText"/>
        <w:spacing w:line="312" w:lineRule="auto"/>
        <w:ind w:right="-284"/>
        <w:rPr>
          <w:rFonts w:ascii="Arial" w:hAnsi="Arial" w:cs="Arial"/>
        </w:rPr>
      </w:pPr>
      <w:r w:rsidRPr="00D12D6E">
        <w:rPr>
          <w:rStyle w:val="FootnoteReference"/>
          <w:rFonts w:ascii="Arial" w:hAnsi="Arial" w:cs="Arial"/>
        </w:rPr>
        <w:footnoteRef/>
      </w:r>
      <w:r w:rsidRPr="00D12D6E">
        <w:rPr>
          <w:rFonts w:ascii="Arial" w:hAnsi="Arial" w:cs="Arial"/>
        </w:rPr>
        <w:t xml:space="preserve"> Ibid.</w:t>
      </w:r>
    </w:p>
  </w:footnote>
  <w:footnote w:id="86">
    <w:p w:rsidR="00052B8B" w:rsidRPr="00D12D6E" w:rsidRDefault="00052B8B" w:rsidP="00A6186B">
      <w:pPr>
        <w:pStyle w:val="FootnoteText"/>
        <w:spacing w:line="312" w:lineRule="auto"/>
        <w:rPr>
          <w:rFonts w:ascii="Arial" w:hAnsi="Arial" w:cs="Arial"/>
        </w:rPr>
      </w:pPr>
      <w:r w:rsidRPr="00D12D6E">
        <w:rPr>
          <w:rStyle w:val="FootnoteReference"/>
          <w:rFonts w:ascii="Arial" w:hAnsi="Arial" w:cs="Arial"/>
        </w:rPr>
        <w:footnoteRef/>
      </w:r>
      <w:r w:rsidRPr="00D12D6E">
        <w:rPr>
          <w:rFonts w:ascii="Arial" w:hAnsi="Arial" w:cs="Arial"/>
        </w:rPr>
        <w:t xml:space="preserve"> </w:t>
      </w:r>
      <w:r w:rsidRPr="00D12D6E">
        <w:rPr>
          <w:rFonts w:ascii="Arial" w:hAnsi="Arial" w:cs="Arial"/>
          <w:i/>
        </w:rPr>
        <w:t xml:space="preserve">Treaty on European Union, </w:t>
      </w:r>
      <w:r w:rsidRPr="00D12D6E">
        <w:rPr>
          <w:rFonts w:ascii="Arial" w:hAnsi="Arial" w:cs="Arial"/>
        </w:rPr>
        <w:t>opened for signature 7 February 1992 (entered into force 1 November 1993)</w:t>
      </w:r>
      <w:r w:rsidRPr="00D12D6E">
        <w:rPr>
          <w:rFonts w:ascii="Arial" w:hAnsi="Arial" w:cs="Arial"/>
          <w:i/>
        </w:rPr>
        <w:t xml:space="preserve"> </w:t>
      </w:r>
      <w:r w:rsidRPr="00D12D6E">
        <w:rPr>
          <w:rFonts w:ascii="Arial" w:hAnsi="Arial" w:cs="Arial"/>
        </w:rPr>
        <w:t>art 5.</w:t>
      </w:r>
    </w:p>
  </w:footnote>
  <w:footnote w:id="87">
    <w:p w:rsidR="00052B8B" w:rsidRPr="00D12D6E" w:rsidRDefault="00052B8B" w:rsidP="00A6186B">
      <w:pPr>
        <w:pStyle w:val="FootnoteText"/>
        <w:spacing w:line="312" w:lineRule="auto"/>
        <w:rPr>
          <w:rFonts w:ascii="Arial" w:hAnsi="Arial" w:cs="Arial"/>
        </w:rPr>
      </w:pPr>
      <w:r w:rsidRPr="00D12D6E">
        <w:rPr>
          <w:rStyle w:val="FootnoteReference"/>
          <w:rFonts w:ascii="Arial" w:hAnsi="Arial" w:cs="Arial"/>
        </w:rPr>
        <w:footnoteRef/>
      </w:r>
      <w:r w:rsidRPr="00D12D6E">
        <w:rPr>
          <w:rFonts w:ascii="Arial" w:hAnsi="Arial" w:cs="Arial"/>
        </w:rPr>
        <w:t xml:space="preserve"> Ibid.</w:t>
      </w:r>
    </w:p>
  </w:footnote>
  <w:footnote w:id="88">
    <w:p w:rsidR="00052B8B" w:rsidRPr="00D12D6E" w:rsidRDefault="00052B8B" w:rsidP="00136365">
      <w:pPr>
        <w:pStyle w:val="FootnoteText"/>
        <w:spacing w:line="312" w:lineRule="auto"/>
        <w:rPr>
          <w:rFonts w:ascii="Arial" w:hAnsi="Arial" w:cs="Arial"/>
        </w:rPr>
      </w:pPr>
      <w:r w:rsidRPr="00D12D6E">
        <w:rPr>
          <w:rStyle w:val="FootnoteReference"/>
          <w:rFonts w:ascii="Arial" w:hAnsi="Arial" w:cs="Arial"/>
        </w:rPr>
        <w:footnoteRef/>
      </w:r>
      <w:r w:rsidRPr="00D12D6E">
        <w:rPr>
          <w:rFonts w:ascii="Arial" w:hAnsi="Arial" w:cs="Arial"/>
        </w:rPr>
        <w:t xml:space="preserve"> Nicolas Veron, </w:t>
      </w:r>
      <w:r w:rsidRPr="00D12D6E">
        <w:rPr>
          <w:rFonts w:ascii="Arial" w:hAnsi="Arial" w:cs="Arial"/>
          <w:i/>
        </w:rPr>
        <w:t xml:space="preserve">European Deposit Insurance: A Response to Ludger Schuknect </w:t>
      </w:r>
      <w:r w:rsidRPr="00D12D6E">
        <w:rPr>
          <w:rFonts w:ascii="Arial" w:hAnsi="Arial" w:cs="Arial"/>
        </w:rPr>
        <w:t>(16 February 2016) Bruegel &lt;</w:t>
      </w:r>
      <w:r w:rsidRPr="000F3928">
        <w:rPr>
          <w:rStyle w:val="Hyperlink"/>
          <w:rFonts w:ascii="Arial" w:hAnsi="Arial" w:cs="Arial"/>
        </w:rPr>
        <w:t>http://bruegel.org/2016/02/european-deposit-insurance-a-response-to-ludger-schuknecht/</w:t>
      </w:r>
      <w:r w:rsidRPr="00D12D6E">
        <w:rPr>
          <w:rFonts w:ascii="Arial" w:hAnsi="Arial" w:cs="Arial"/>
        </w:rPr>
        <w:t>&gt;.</w:t>
      </w:r>
    </w:p>
  </w:footnote>
  <w:footnote w:id="89">
    <w:p w:rsidR="00052B8B" w:rsidRPr="00D12D6E" w:rsidRDefault="00052B8B" w:rsidP="00136365">
      <w:pPr>
        <w:pStyle w:val="FootnoteText"/>
        <w:tabs>
          <w:tab w:val="left" w:pos="0"/>
        </w:tabs>
        <w:spacing w:line="312" w:lineRule="auto"/>
        <w:rPr>
          <w:rFonts w:ascii="Arial" w:hAnsi="Arial" w:cs="Arial"/>
        </w:rPr>
      </w:pPr>
      <w:r w:rsidRPr="00D12D6E">
        <w:rPr>
          <w:rStyle w:val="FootnoteReference"/>
          <w:rFonts w:ascii="Arial" w:hAnsi="Arial" w:cs="Arial"/>
        </w:rPr>
        <w:footnoteRef/>
      </w:r>
      <w:r w:rsidRPr="00D12D6E">
        <w:rPr>
          <w:rFonts w:ascii="Arial" w:hAnsi="Arial" w:cs="Arial"/>
        </w:rPr>
        <w:t xml:space="preserve"> </w:t>
      </w:r>
      <w:r>
        <w:rPr>
          <w:rFonts w:ascii="Arial" w:hAnsi="Arial" w:cs="Arial"/>
        </w:rPr>
        <w:t>Ibid.</w:t>
      </w:r>
    </w:p>
  </w:footnote>
  <w:footnote w:id="90">
    <w:p w:rsidR="00052B8B" w:rsidRPr="00D12D6E" w:rsidRDefault="00052B8B" w:rsidP="00136365">
      <w:pPr>
        <w:pStyle w:val="FootnoteText"/>
        <w:spacing w:line="312" w:lineRule="auto"/>
        <w:rPr>
          <w:rFonts w:ascii="Arial" w:hAnsi="Arial" w:cs="Arial"/>
        </w:rPr>
      </w:pPr>
      <w:r w:rsidRPr="00D12D6E">
        <w:rPr>
          <w:rStyle w:val="FootnoteReference"/>
          <w:rFonts w:ascii="Arial" w:hAnsi="Arial" w:cs="Arial"/>
        </w:rPr>
        <w:footnoteRef/>
      </w:r>
      <w:r w:rsidRPr="00D12D6E">
        <w:rPr>
          <w:rFonts w:ascii="Arial" w:hAnsi="Arial" w:cs="Arial"/>
        </w:rPr>
        <w:t xml:space="preserve"> </w:t>
      </w:r>
      <w:r>
        <w:rPr>
          <w:rFonts w:ascii="Arial" w:hAnsi="Arial" w:cs="Arial"/>
        </w:rPr>
        <w:t>Ibid.</w:t>
      </w:r>
      <w:r w:rsidRPr="00D12D6E">
        <w:rPr>
          <w:rFonts w:ascii="Arial" w:hAnsi="Arial" w:cs="Arial"/>
        </w:rPr>
        <w:tab/>
      </w:r>
    </w:p>
  </w:footnote>
  <w:footnote w:id="91">
    <w:p w:rsidR="00052B8B" w:rsidRPr="0060082E" w:rsidRDefault="00052B8B" w:rsidP="00414242">
      <w:pPr>
        <w:pStyle w:val="FootnoteText"/>
        <w:spacing w:line="312" w:lineRule="auto"/>
        <w:rPr>
          <w:rFonts w:ascii="Arial" w:hAnsi="Arial" w:cs="Arial"/>
        </w:rPr>
      </w:pPr>
      <w:r w:rsidRPr="0060082E">
        <w:rPr>
          <w:rStyle w:val="FootnoteReference"/>
          <w:rFonts w:ascii="Arial" w:hAnsi="Arial" w:cs="Arial"/>
        </w:rPr>
        <w:footnoteRef/>
      </w:r>
      <w:r w:rsidRPr="0060082E">
        <w:rPr>
          <w:rFonts w:ascii="Arial" w:hAnsi="Arial" w:cs="Arial"/>
        </w:rPr>
        <w:t xml:space="preserve"> Goyal et al, above n 64, 19.</w:t>
      </w:r>
    </w:p>
  </w:footnote>
  <w:footnote w:id="92">
    <w:p w:rsidR="00052B8B" w:rsidRPr="0060082E" w:rsidRDefault="00052B8B" w:rsidP="00414242">
      <w:pPr>
        <w:pStyle w:val="FootnoteText"/>
        <w:spacing w:line="312" w:lineRule="auto"/>
        <w:rPr>
          <w:rFonts w:ascii="Arial" w:hAnsi="Arial" w:cs="Arial"/>
        </w:rPr>
      </w:pPr>
      <w:r w:rsidRPr="0060082E">
        <w:rPr>
          <w:rStyle w:val="FootnoteReference"/>
          <w:rFonts w:ascii="Arial" w:hAnsi="Arial" w:cs="Arial"/>
        </w:rPr>
        <w:footnoteRef/>
      </w:r>
      <w:r w:rsidRPr="0060082E">
        <w:rPr>
          <w:rFonts w:ascii="Arial" w:hAnsi="Arial" w:cs="Arial"/>
        </w:rPr>
        <w:t xml:space="preserve"> Odenhall, above n 69.</w:t>
      </w:r>
    </w:p>
  </w:footnote>
  <w:footnote w:id="93">
    <w:p w:rsidR="00052B8B" w:rsidRPr="0060082E" w:rsidRDefault="00052B8B" w:rsidP="00414242">
      <w:pPr>
        <w:pStyle w:val="FootnoteText"/>
        <w:spacing w:line="312" w:lineRule="auto"/>
        <w:rPr>
          <w:rFonts w:ascii="Arial" w:hAnsi="Arial" w:cs="Arial"/>
        </w:rPr>
      </w:pPr>
      <w:r w:rsidRPr="0060082E">
        <w:rPr>
          <w:rStyle w:val="FootnoteReference"/>
          <w:rFonts w:ascii="Arial" w:hAnsi="Arial" w:cs="Arial"/>
        </w:rPr>
        <w:footnoteRef/>
      </w:r>
      <w:r w:rsidRPr="0060082E">
        <w:rPr>
          <w:rFonts w:ascii="Arial" w:hAnsi="Arial" w:cs="Arial"/>
        </w:rPr>
        <w:t xml:space="preserve"> Juncker et al, above n 1, 14.</w:t>
      </w:r>
    </w:p>
  </w:footnote>
  <w:footnote w:id="94">
    <w:p w:rsidR="00052B8B" w:rsidRPr="0060082E" w:rsidRDefault="00052B8B" w:rsidP="00414242">
      <w:pPr>
        <w:pStyle w:val="FootnoteText"/>
        <w:spacing w:line="312" w:lineRule="auto"/>
        <w:rPr>
          <w:rFonts w:ascii="Arial" w:hAnsi="Arial" w:cs="Arial"/>
        </w:rPr>
      </w:pPr>
      <w:r w:rsidRPr="0060082E">
        <w:rPr>
          <w:rStyle w:val="FootnoteReference"/>
          <w:rFonts w:ascii="Arial" w:hAnsi="Arial" w:cs="Arial"/>
        </w:rPr>
        <w:footnoteRef/>
      </w:r>
      <w:r w:rsidRPr="0060082E">
        <w:rPr>
          <w:rFonts w:ascii="Arial" w:hAnsi="Arial" w:cs="Arial"/>
        </w:rPr>
        <w:t xml:space="preserve"> European Commission, </w:t>
      </w:r>
      <w:r w:rsidRPr="0060082E">
        <w:rPr>
          <w:rFonts w:ascii="Arial" w:hAnsi="Arial" w:cs="Arial"/>
          <w:i/>
        </w:rPr>
        <w:t>Completing Europe’s Economic and Monetary Union: An Advisory European Fiscal Board</w:t>
      </w:r>
      <w:r>
        <w:rPr>
          <w:rFonts w:ascii="Arial" w:hAnsi="Arial" w:cs="Arial"/>
        </w:rPr>
        <w:t>, 1</w:t>
      </w:r>
      <w:r w:rsidRPr="0060082E">
        <w:rPr>
          <w:rFonts w:ascii="Arial" w:hAnsi="Arial" w:cs="Arial"/>
          <w:i/>
        </w:rPr>
        <w:t xml:space="preserve"> &lt;</w:t>
      </w:r>
      <w:hyperlink r:id="rId4" w:history="1">
        <w:r w:rsidRPr="0060082E">
          <w:rPr>
            <w:rStyle w:val="Hyperlink"/>
            <w:rFonts w:ascii="Arial" w:hAnsi="Arial" w:cs="Arial"/>
          </w:rPr>
          <w:t>https://ec.europa.eu/priorities/sites/beta-political/files/factsheet-efb_en.pdf</w:t>
        </w:r>
      </w:hyperlink>
      <w:r w:rsidRPr="0060082E">
        <w:rPr>
          <w:rFonts w:ascii="Arial" w:hAnsi="Arial" w:cs="Arial"/>
        </w:rPr>
        <w:t>&gt;.</w:t>
      </w:r>
    </w:p>
  </w:footnote>
  <w:footnote w:id="95">
    <w:p w:rsidR="00052B8B" w:rsidRPr="0060082E" w:rsidRDefault="00052B8B" w:rsidP="00414242">
      <w:pPr>
        <w:pStyle w:val="FootnoteText"/>
        <w:spacing w:line="312" w:lineRule="auto"/>
        <w:rPr>
          <w:rFonts w:ascii="Arial" w:hAnsi="Arial" w:cs="Arial"/>
        </w:rPr>
      </w:pPr>
      <w:r w:rsidRPr="0060082E">
        <w:rPr>
          <w:rStyle w:val="FootnoteReference"/>
          <w:rFonts w:ascii="Arial" w:hAnsi="Arial" w:cs="Arial"/>
        </w:rPr>
        <w:footnoteRef/>
      </w:r>
      <w:r w:rsidRPr="0060082E">
        <w:rPr>
          <w:rFonts w:ascii="Arial" w:hAnsi="Arial" w:cs="Arial"/>
        </w:rPr>
        <w:t xml:space="preserve"> Ibid.</w:t>
      </w:r>
    </w:p>
  </w:footnote>
  <w:footnote w:id="96">
    <w:p w:rsidR="00052B8B" w:rsidRPr="0060082E" w:rsidRDefault="00052B8B" w:rsidP="00414242">
      <w:pPr>
        <w:pStyle w:val="FootnoteText"/>
        <w:spacing w:line="312" w:lineRule="auto"/>
        <w:rPr>
          <w:rFonts w:ascii="Arial" w:hAnsi="Arial" w:cs="Arial"/>
        </w:rPr>
      </w:pPr>
      <w:r w:rsidRPr="0060082E">
        <w:rPr>
          <w:rStyle w:val="FootnoteReference"/>
          <w:rFonts w:ascii="Arial" w:hAnsi="Arial" w:cs="Arial"/>
        </w:rPr>
        <w:footnoteRef/>
      </w:r>
      <w:r w:rsidRPr="0060082E">
        <w:rPr>
          <w:rFonts w:ascii="Arial" w:hAnsi="Arial" w:cs="Arial"/>
        </w:rPr>
        <w:t xml:space="preserve"> Ibid</w:t>
      </w:r>
    </w:p>
  </w:footnote>
  <w:footnote w:id="97">
    <w:p w:rsidR="00052B8B" w:rsidRPr="0060082E" w:rsidRDefault="00052B8B" w:rsidP="00414242">
      <w:pPr>
        <w:pStyle w:val="FootnoteText"/>
        <w:spacing w:line="312" w:lineRule="auto"/>
        <w:rPr>
          <w:rFonts w:ascii="Arial" w:hAnsi="Arial" w:cs="Arial"/>
        </w:rPr>
      </w:pPr>
      <w:r w:rsidRPr="0060082E">
        <w:rPr>
          <w:rStyle w:val="FootnoteReference"/>
          <w:rFonts w:ascii="Arial" w:hAnsi="Arial" w:cs="Arial"/>
        </w:rPr>
        <w:footnoteRef/>
      </w:r>
      <w:r w:rsidRPr="0060082E">
        <w:rPr>
          <w:rFonts w:ascii="Arial" w:hAnsi="Arial" w:cs="Arial"/>
        </w:rPr>
        <w:t xml:space="preserve"> Gregory Claeys et al, </w:t>
      </w:r>
      <w:r w:rsidRPr="0060082E">
        <w:rPr>
          <w:rFonts w:ascii="Arial" w:hAnsi="Arial" w:cs="Arial"/>
          <w:i/>
        </w:rPr>
        <w:t xml:space="preserve">A Proposal to Revive the European Fiscal Framework </w:t>
      </w:r>
      <w:r w:rsidRPr="0060082E">
        <w:rPr>
          <w:rFonts w:ascii="Arial" w:hAnsi="Arial" w:cs="Arial"/>
        </w:rPr>
        <w:t>(March 2016) Bruegel, 16 &lt;</w:t>
      </w:r>
      <w:hyperlink r:id="rId5" w:history="1">
        <w:r w:rsidRPr="0060082E">
          <w:rPr>
            <w:rStyle w:val="Hyperlink"/>
            <w:rFonts w:ascii="Arial" w:hAnsi="Arial" w:cs="Arial"/>
          </w:rPr>
          <w:t>http://bruegel.org/2016/03/a-proposal-to-revive-the-european-fiscal-framework/</w:t>
        </w:r>
      </w:hyperlink>
      <w:r w:rsidRPr="0060082E">
        <w:rPr>
          <w:rFonts w:ascii="Arial" w:hAnsi="Arial" w:cs="Arial"/>
        </w:rPr>
        <w:t>&gt;.</w:t>
      </w:r>
    </w:p>
  </w:footnote>
  <w:footnote w:id="98">
    <w:p w:rsidR="00052B8B" w:rsidRPr="0060082E" w:rsidRDefault="00052B8B" w:rsidP="00414242">
      <w:pPr>
        <w:pStyle w:val="FootnoteText"/>
        <w:spacing w:line="312" w:lineRule="auto"/>
        <w:rPr>
          <w:rFonts w:ascii="Arial" w:hAnsi="Arial" w:cs="Arial"/>
        </w:rPr>
      </w:pPr>
      <w:r w:rsidRPr="0060082E">
        <w:rPr>
          <w:rStyle w:val="FootnoteReference"/>
          <w:rFonts w:ascii="Arial" w:hAnsi="Arial" w:cs="Arial"/>
        </w:rPr>
        <w:footnoteRef/>
      </w:r>
      <w:r w:rsidRPr="0060082E">
        <w:rPr>
          <w:rFonts w:ascii="Arial" w:hAnsi="Arial" w:cs="Arial"/>
        </w:rPr>
        <w:t xml:space="preserve"> Francesca Barbiero and Zsolt Darvas, </w:t>
      </w:r>
      <w:r w:rsidRPr="0060082E">
        <w:rPr>
          <w:rFonts w:ascii="Arial" w:hAnsi="Arial" w:cs="Arial"/>
          <w:i/>
        </w:rPr>
        <w:t xml:space="preserve">In Sickness and in Health: Protecting and Supporting Public Investment in Europe </w:t>
      </w:r>
      <w:r>
        <w:rPr>
          <w:rFonts w:ascii="Arial" w:hAnsi="Arial" w:cs="Arial"/>
        </w:rPr>
        <w:t>Bruegel &lt;</w:t>
      </w:r>
      <w:r w:rsidRPr="006F57DF">
        <w:rPr>
          <w:rStyle w:val="Hyperlink"/>
          <w:rFonts w:ascii="Arial" w:hAnsi="Arial" w:cs="Arial"/>
        </w:rPr>
        <w:t>http://bruegel.org/2014/02/in-sickness-and-in-health-protecting-and-supporting-public-investment-in-europe/</w:t>
      </w:r>
      <w:r w:rsidRPr="0060082E">
        <w:rPr>
          <w:rFonts w:ascii="Arial" w:hAnsi="Arial" w:cs="Arial"/>
        </w:rPr>
        <w:t>&gt;</w:t>
      </w:r>
      <w:r>
        <w:rPr>
          <w:rFonts w:ascii="Arial" w:hAnsi="Arial" w:cs="Arial"/>
        </w:rPr>
        <w:t>.</w:t>
      </w:r>
    </w:p>
  </w:footnote>
  <w:footnote w:id="99">
    <w:p w:rsidR="00052B8B" w:rsidRPr="0060082E" w:rsidRDefault="00052B8B" w:rsidP="00414242">
      <w:pPr>
        <w:pStyle w:val="FootnoteText"/>
        <w:spacing w:line="312" w:lineRule="auto"/>
        <w:rPr>
          <w:rFonts w:ascii="Arial" w:hAnsi="Arial" w:cs="Arial"/>
        </w:rPr>
      </w:pPr>
      <w:r w:rsidRPr="0060082E">
        <w:rPr>
          <w:rStyle w:val="FootnoteReference"/>
          <w:rFonts w:ascii="Arial" w:hAnsi="Arial" w:cs="Arial"/>
        </w:rPr>
        <w:footnoteRef/>
      </w:r>
      <w:r w:rsidRPr="0060082E">
        <w:rPr>
          <w:rFonts w:ascii="Arial" w:hAnsi="Arial" w:cs="Arial"/>
        </w:rPr>
        <w:t xml:space="preserve"> Claeys et al, </w:t>
      </w:r>
      <w:r w:rsidRPr="00414242">
        <w:rPr>
          <w:rFonts w:ascii="Arial" w:hAnsi="Arial" w:cs="Arial"/>
        </w:rPr>
        <w:t>above n 97,</w:t>
      </w:r>
      <w:r w:rsidRPr="0060082E">
        <w:rPr>
          <w:rFonts w:ascii="Arial" w:hAnsi="Arial" w:cs="Arial"/>
        </w:rPr>
        <w:t xml:space="preserve"> 16</w:t>
      </w:r>
      <w:r>
        <w:rPr>
          <w:rFonts w:ascii="Arial" w:hAnsi="Arial" w:cs="Arial"/>
        </w:rPr>
        <w:t>.</w:t>
      </w:r>
      <w:r w:rsidRPr="0060082E">
        <w:rPr>
          <w:rFonts w:ascii="Arial" w:hAnsi="Arial" w:cs="Arial"/>
        </w:rPr>
        <w:t xml:space="preserve"> </w:t>
      </w:r>
    </w:p>
  </w:footnote>
  <w:footnote w:id="100">
    <w:p w:rsidR="00052B8B" w:rsidRPr="0059707D" w:rsidRDefault="00052B8B" w:rsidP="00414242">
      <w:pPr>
        <w:pStyle w:val="FootnoteText"/>
        <w:spacing w:line="312" w:lineRule="auto"/>
        <w:rPr>
          <w:rFonts w:ascii="Arial" w:hAnsi="Arial" w:cs="Arial"/>
        </w:rPr>
      </w:pPr>
      <w:r w:rsidRPr="0060082E">
        <w:rPr>
          <w:rStyle w:val="FootnoteReference"/>
          <w:rFonts w:ascii="Arial" w:hAnsi="Arial" w:cs="Arial"/>
        </w:rPr>
        <w:footnoteRef/>
      </w:r>
      <w:r w:rsidRPr="0060082E">
        <w:rPr>
          <w:rFonts w:ascii="Arial" w:hAnsi="Arial" w:cs="Arial"/>
        </w:rPr>
        <w:t xml:space="preserve"> Ibid.</w:t>
      </w:r>
    </w:p>
  </w:footnote>
  <w:footnote w:id="101">
    <w:p w:rsidR="00052B8B" w:rsidRPr="00065EBF" w:rsidRDefault="00052B8B" w:rsidP="00065EBF">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European Commission, </w:t>
      </w:r>
      <w:r w:rsidRPr="00CC5380">
        <w:rPr>
          <w:rFonts w:ascii="Arial" w:hAnsi="Arial" w:cs="Arial"/>
        </w:rPr>
        <w:t>above n 94, 1.</w:t>
      </w:r>
    </w:p>
  </w:footnote>
  <w:footnote w:id="102">
    <w:p w:rsidR="00052B8B" w:rsidRPr="00065EBF" w:rsidRDefault="00052B8B" w:rsidP="00065EBF">
      <w:pPr>
        <w:pStyle w:val="FootnoteText"/>
        <w:spacing w:line="300" w:lineRule="auto"/>
        <w:rPr>
          <w:rFonts w:ascii="Arial" w:hAnsi="Arial" w:cs="Arial"/>
        </w:rPr>
      </w:pPr>
      <w:r w:rsidRPr="00065EBF">
        <w:rPr>
          <w:rStyle w:val="FootnoteReference"/>
          <w:rFonts w:ascii="Arial" w:hAnsi="Arial" w:cs="Arial"/>
        </w:rPr>
        <w:footnoteRef/>
      </w:r>
      <w:r>
        <w:rPr>
          <w:rFonts w:ascii="Arial" w:hAnsi="Arial" w:cs="Arial"/>
        </w:rPr>
        <w:t xml:space="preserve"> Ibid, 2.</w:t>
      </w:r>
    </w:p>
  </w:footnote>
  <w:footnote w:id="103">
    <w:p w:rsidR="00052B8B" w:rsidRPr="00065EBF" w:rsidRDefault="00052B8B" w:rsidP="00065EBF">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Ibid.</w:t>
      </w:r>
    </w:p>
  </w:footnote>
  <w:footnote w:id="104">
    <w:p w:rsidR="00052B8B" w:rsidRPr="00065EBF" w:rsidRDefault="00052B8B" w:rsidP="00065EBF">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Ibid.</w:t>
      </w:r>
    </w:p>
  </w:footnote>
  <w:footnote w:id="105">
    <w:p w:rsidR="00052B8B" w:rsidRPr="00065EBF" w:rsidRDefault="00052B8B" w:rsidP="00065EBF">
      <w:pPr>
        <w:pStyle w:val="FootnoteText"/>
        <w:spacing w:line="300" w:lineRule="auto"/>
        <w:ind w:right="-426"/>
        <w:rPr>
          <w:rFonts w:ascii="Arial" w:hAnsi="Arial" w:cs="Arial"/>
        </w:rPr>
      </w:pPr>
      <w:r w:rsidRPr="00065EBF">
        <w:rPr>
          <w:rStyle w:val="FootnoteReference"/>
          <w:rFonts w:ascii="Arial" w:hAnsi="Arial" w:cs="Arial"/>
        </w:rPr>
        <w:footnoteRef/>
      </w:r>
      <w:r w:rsidRPr="00065EBF">
        <w:rPr>
          <w:rFonts w:ascii="Arial" w:hAnsi="Arial" w:cs="Arial"/>
        </w:rPr>
        <w:t xml:space="preserve"> Gabriele Steinhauser, ‘Not All on Board with the European Fiscal Board’ </w:t>
      </w:r>
      <w:r w:rsidRPr="00065EBF">
        <w:rPr>
          <w:rFonts w:ascii="Arial" w:hAnsi="Arial" w:cs="Arial"/>
          <w:i/>
        </w:rPr>
        <w:t xml:space="preserve">The Wall Street Journal </w:t>
      </w:r>
      <w:r w:rsidRPr="00065EBF">
        <w:rPr>
          <w:rFonts w:ascii="Arial" w:hAnsi="Arial" w:cs="Arial"/>
        </w:rPr>
        <w:t>(online) 13 November 2015 &lt;</w:t>
      </w:r>
      <w:r w:rsidRPr="00065EBF">
        <w:rPr>
          <w:rStyle w:val="Hyperlink"/>
          <w:rFonts w:ascii="Arial" w:hAnsi="Arial" w:cs="Arial"/>
        </w:rPr>
        <w:t>http://blogs.wsj.com/brussels/2015/11/13/not-all-on-board-with-the-european-fiscal-board/</w:t>
      </w:r>
      <w:r w:rsidRPr="00065EBF">
        <w:rPr>
          <w:rFonts w:ascii="Arial" w:hAnsi="Arial" w:cs="Arial"/>
        </w:rPr>
        <w:t>&gt;.</w:t>
      </w:r>
    </w:p>
  </w:footnote>
  <w:footnote w:id="106">
    <w:p w:rsidR="00052B8B" w:rsidRPr="00065EBF" w:rsidRDefault="00052B8B" w:rsidP="00065EBF">
      <w:pPr>
        <w:pStyle w:val="FootnoteText"/>
        <w:spacing w:line="300" w:lineRule="auto"/>
        <w:ind w:right="-142"/>
        <w:rPr>
          <w:rFonts w:ascii="Arial" w:hAnsi="Arial" w:cs="Arial"/>
        </w:rPr>
      </w:pPr>
      <w:r w:rsidRPr="00065EBF">
        <w:rPr>
          <w:rStyle w:val="FootnoteReference"/>
          <w:rFonts w:ascii="Arial" w:hAnsi="Arial" w:cs="Arial"/>
        </w:rPr>
        <w:footnoteRef/>
      </w:r>
      <w:r w:rsidRPr="00065EBF">
        <w:rPr>
          <w:rFonts w:ascii="Arial" w:hAnsi="Arial" w:cs="Arial"/>
        </w:rPr>
        <w:t xml:space="preserve"> Ibid.</w:t>
      </w:r>
    </w:p>
  </w:footnote>
  <w:footnote w:id="107">
    <w:p w:rsidR="00052B8B" w:rsidRPr="00065EBF" w:rsidRDefault="00052B8B" w:rsidP="00065EBF">
      <w:pPr>
        <w:pStyle w:val="FootnoteText"/>
        <w:spacing w:line="300" w:lineRule="auto"/>
        <w:ind w:right="-284"/>
        <w:rPr>
          <w:rFonts w:ascii="Arial" w:hAnsi="Arial" w:cs="Arial"/>
        </w:rPr>
      </w:pPr>
      <w:r w:rsidRPr="00065EBF">
        <w:rPr>
          <w:rStyle w:val="FootnoteReference"/>
          <w:rFonts w:ascii="Arial" w:hAnsi="Arial" w:cs="Arial"/>
        </w:rPr>
        <w:footnoteRef/>
      </w:r>
      <w:r w:rsidRPr="00065EBF">
        <w:rPr>
          <w:rFonts w:ascii="Arial" w:hAnsi="Arial" w:cs="Arial"/>
        </w:rPr>
        <w:t xml:space="preserve"> Ibid.</w:t>
      </w:r>
    </w:p>
  </w:footnote>
  <w:footnote w:id="108">
    <w:p w:rsidR="00052B8B" w:rsidRPr="00373797" w:rsidRDefault="00052B8B" w:rsidP="009919DD">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Ashoka Mody, </w:t>
      </w:r>
      <w:r w:rsidRPr="00065EBF">
        <w:rPr>
          <w:rFonts w:ascii="Arial" w:hAnsi="Arial" w:cs="Arial"/>
          <w:i/>
        </w:rPr>
        <w:t>Are the Eurozone’s Fiscal Rules Dying?</w:t>
      </w:r>
      <w:r w:rsidRPr="00065EBF">
        <w:rPr>
          <w:rFonts w:ascii="Arial" w:hAnsi="Arial" w:cs="Arial"/>
        </w:rPr>
        <w:t xml:space="preserve"> (29 October 2014) Bruegel &lt;</w:t>
      </w:r>
      <w:r w:rsidRPr="00CC5380">
        <w:rPr>
          <w:rStyle w:val="Hyperlink"/>
          <w:rFonts w:ascii="Arial" w:hAnsi="Arial" w:cs="Arial"/>
        </w:rPr>
        <w:t>http://bruegel.org/2014/10/are-the-eurozones-fiscal-rules-dying/</w:t>
      </w:r>
      <w:r w:rsidRPr="00065EBF">
        <w:rPr>
          <w:rFonts w:ascii="Arial" w:hAnsi="Arial" w:cs="Arial"/>
        </w:rPr>
        <w:t>&gt;.</w:t>
      </w:r>
    </w:p>
  </w:footnote>
  <w:footnote w:id="109">
    <w:p w:rsidR="00052B8B" w:rsidRPr="00065EBF" w:rsidRDefault="00052B8B" w:rsidP="00065EBF">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Claeys et al, above n </w:t>
      </w:r>
      <w:r>
        <w:rPr>
          <w:rFonts w:ascii="Arial" w:hAnsi="Arial" w:cs="Arial"/>
        </w:rPr>
        <w:t>97</w:t>
      </w:r>
      <w:r w:rsidRPr="00065EBF">
        <w:rPr>
          <w:rFonts w:ascii="Arial" w:hAnsi="Arial" w:cs="Arial"/>
        </w:rPr>
        <w:t>, 1</w:t>
      </w:r>
      <w:r>
        <w:rPr>
          <w:rFonts w:ascii="Arial" w:hAnsi="Arial" w:cs="Arial"/>
        </w:rPr>
        <w:t>5</w:t>
      </w:r>
      <w:r w:rsidRPr="00065EBF">
        <w:rPr>
          <w:rFonts w:ascii="Arial" w:hAnsi="Arial" w:cs="Arial"/>
        </w:rPr>
        <w:t>.</w:t>
      </w:r>
    </w:p>
  </w:footnote>
  <w:footnote w:id="110">
    <w:p w:rsidR="00052B8B" w:rsidRPr="00065EBF" w:rsidRDefault="00052B8B" w:rsidP="00065EBF">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w:t>
      </w:r>
      <w:r w:rsidRPr="00065EBF">
        <w:rPr>
          <w:rFonts w:ascii="Arial" w:hAnsi="Arial" w:cs="Arial"/>
          <w:i/>
        </w:rPr>
        <w:t xml:space="preserve">Commission Decision (EU) 2015/1937 of 21 October 2015 on Establishing an Independent Advisory European Fiscal Board </w:t>
      </w:r>
      <w:r w:rsidRPr="00065EBF">
        <w:rPr>
          <w:rFonts w:ascii="Arial" w:hAnsi="Arial" w:cs="Arial"/>
        </w:rPr>
        <w:t>[2015] OJ L 282/37 art 4.</w:t>
      </w:r>
    </w:p>
  </w:footnote>
  <w:footnote w:id="111">
    <w:p w:rsidR="00052B8B" w:rsidRPr="00065EBF" w:rsidRDefault="00052B8B" w:rsidP="00065EBF">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Claeys et al, above n </w:t>
      </w:r>
      <w:r>
        <w:rPr>
          <w:rFonts w:ascii="Arial" w:hAnsi="Arial" w:cs="Arial"/>
        </w:rPr>
        <w:t>97</w:t>
      </w:r>
      <w:r w:rsidRPr="00065EBF">
        <w:rPr>
          <w:rFonts w:ascii="Arial" w:hAnsi="Arial" w:cs="Arial"/>
        </w:rPr>
        <w:t>, 16.</w:t>
      </w:r>
    </w:p>
  </w:footnote>
  <w:footnote w:id="112">
    <w:p w:rsidR="00052B8B" w:rsidRPr="00065EBF" w:rsidRDefault="00052B8B" w:rsidP="00B44EE9">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w:t>
      </w:r>
      <w:r>
        <w:rPr>
          <w:rFonts w:ascii="Arial" w:hAnsi="Arial" w:cs="Arial"/>
        </w:rPr>
        <w:t>Ibid</w:t>
      </w:r>
      <w:r w:rsidRPr="00065EBF">
        <w:rPr>
          <w:rFonts w:ascii="Arial" w:hAnsi="Arial" w:cs="Arial"/>
        </w:rPr>
        <w:t>.</w:t>
      </w:r>
    </w:p>
  </w:footnote>
  <w:footnote w:id="113">
    <w:p w:rsidR="00052B8B" w:rsidRPr="00065EBF" w:rsidRDefault="00052B8B" w:rsidP="00B44EE9">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w:t>
      </w:r>
      <w:r w:rsidRPr="00065EBF">
        <w:rPr>
          <w:rFonts w:ascii="Arial" w:hAnsi="Arial" w:cs="Arial"/>
          <w:i/>
        </w:rPr>
        <w:t xml:space="preserve">Commission Decision (EU) 2015/1937 of 21 October 2015 on Establishing an Independent Advisory European Fiscal Board </w:t>
      </w:r>
      <w:r w:rsidRPr="00065EBF">
        <w:rPr>
          <w:rFonts w:ascii="Arial" w:hAnsi="Arial" w:cs="Arial"/>
        </w:rPr>
        <w:t>[2015] OJ L 282/37</w:t>
      </w:r>
      <w:r>
        <w:rPr>
          <w:rFonts w:ascii="Arial" w:hAnsi="Arial" w:cs="Arial"/>
        </w:rPr>
        <w:t xml:space="preserve"> art 6.</w:t>
      </w:r>
    </w:p>
  </w:footnote>
  <w:footnote w:id="114">
    <w:p w:rsidR="00052B8B" w:rsidRPr="00065EBF" w:rsidRDefault="00052B8B" w:rsidP="00B44EE9">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Juncker et al, above n 1, 18.</w:t>
      </w:r>
    </w:p>
  </w:footnote>
  <w:footnote w:id="115">
    <w:p w:rsidR="00052B8B" w:rsidRPr="00065EBF" w:rsidRDefault="00052B8B" w:rsidP="00B44EE9">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w:t>
      </w:r>
      <w:r>
        <w:rPr>
          <w:rFonts w:ascii="Arial" w:hAnsi="Arial" w:cs="Arial"/>
        </w:rPr>
        <w:t>Ibid.</w:t>
      </w:r>
    </w:p>
  </w:footnote>
  <w:footnote w:id="116">
    <w:p w:rsidR="00052B8B" w:rsidRPr="00065EBF" w:rsidRDefault="00052B8B" w:rsidP="00B44EE9">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w:t>
      </w:r>
      <w:r>
        <w:rPr>
          <w:rFonts w:ascii="Arial" w:hAnsi="Arial" w:cs="Arial"/>
        </w:rPr>
        <w:t>Ibid.</w:t>
      </w:r>
    </w:p>
  </w:footnote>
  <w:footnote w:id="117">
    <w:p w:rsidR="00052B8B" w:rsidRPr="00065EBF" w:rsidRDefault="00052B8B" w:rsidP="00B44EE9">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w:t>
      </w:r>
      <w:r>
        <w:rPr>
          <w:rFonts w:ascii="Arial" w:hAnsi="Arial" w:cs="Arial"/>
        </w:rPr>
        <w:t>Ibid</w:t>
      </w:r>
      <w:r w:rsidRPr="00065EBF">
        <w:rPr>
          <w:rFonts w:ascii="Arial" w:hAnsi="Arial" w:cs="Arial"/>
        </w:rPr>
        <w:t>.</w:t>
      </w:r>
    </w:p>
  </w:footnote>
  <w:footnote w:id="118">
    <w:p w:rsidR="00052B8B" w:rsidRPr="00065EBF" w:rsidRDefault="00052B8B" w:rsidP="00B44EE9">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Mehreen Kahn, ‘Franco-German Central Bankers Call for Creation of Eurozone Treasury’, </w:t>
      </w:r>
      <w:r w:rsidRPr="00065EBF">
        <w:rPr>
          <w:rFonts w:ascii="Arial" w:hAnsi="Arial" w:cs="Arial"/>
          <w:i/>
        </w:rPr>
        <w:t xml:space="preserve">The Telegraph </w:t>
      </w:r>
      <w:r w:rsidRPr="00065EBF">
        <w:rPr>
          <w:rFonts w:ascii="Arial" w:hAnsi="Arial" w:cs="Arial"/>
        </w:rPr>
        <w:t xml:space="preserve">(online) 8 February 2016 &lt; </w:t>
      </w:r>
      <w:r w:rsidRPr="00170AEF">
        <w:rPr>
          <w:rStyle w:val="Hyperlink"/>
          <w:rFonts w:ascii="Arial" w:hAnsi="Arial" w:cs="Arial"/>
        </w:rPr>
        <w:t>http://www.telegraph.co.uk/finance/economics/12146298/Franco-German-central-bankers-call-for-creation-of-eurozone-treasury.html</w:t>
      </w:r>
      <w:r w:rsidRPr="00065EBF">
        <w:rPr>
          <w:rFonts w:ascii="Arial" w:hAnsi="Arial" w:cs="Arial"/>
        </w:rPr>
        <w:t>&gt;.</w:t>
      </w:r>
    </w:p>
  </w:footnote>
  <w:footnote w:id="119">
    <w:p w:rsidR="00052B8B" w:rsidRPr="00065EBF" w:rsidRDefault="00052B8B" w:rsidP="00B44EE9">
      <w:pPr>
        <w:pStyle w:val="FootnoteText"/>
        <w:spacing w:line="300" w:lineRule="auto"/>
        <w:rPr>
          <w:rFonts w:ascii="Arial" w:hAnsi="Arial" w:cs="Arial"/>
        </w:rPr>
      </w:pPr>
      <w:r w:rsidRPr="00065EBF">
        <w:rPr>
          <w:rStyle w:val="FootnoteReference"/>
          <w:rFonts w:ascii="Arial" w:hAnsi="Arial" w:cs="Arial"/>
        </w:rPr>
        <w:footnoteRef/>
      </w:r>
      <w:r w:rsidRPr="00065EBF">
        <w:rPr>
          <w:rFonts w:ascii="Arial" w:hAnsi="Arial" w:cs="Arial"/>
        </w:rPr>
        <w:t xml:space="preserve"> </w:t>
      </w:r>
      <w:r>
        <w:rPr>
          <w:rFonts w:ascii="Arial" w:hAnsi="Arial" w:cs="Arial"/>
        </w:rPr>
        <w:t>Ibid.</w:t>
      </w:r>
    </w:p>
  </w:footnote>
  <w:footnote w:id="120">
    <w:p w:rsidR="00052B8B" w:rsidRPr="00EB291F" w:rsidRDefault="00052B8B" w:rsidP="00B44EE9">
      <w:pPr>
        <w:pStyle w:val="FootnoteText"/>
        <w:spacing w:line="300" w:lineRule="auto"/>
        <w:rPr>
          <w:rFonts w:ascii="Arial" w:hAnsi="Arial" w:cs="Arial"/>
        </w:rPr>
      </w:pPr>
      <w:r w:rsidRPr="00EB291F">
        <w:rPr>
          <w:rStyle w:val="FootnoteReference"/>
          <w:rFonts w:ascii="Arial" w:hAnsi="Arial" w:cs="Arial"/>
        </w:rPr>
        <w:footnoteRef/>
      </w:r>
      <w:r w:rsidRPr="00EB291F">
        <w:rPr>
          <w:rFonts w:ascii="Arial" w:hAnsi="Arial" w:cs="Arial"/>
        </w:rPr>
        <w:t xml:space="preserve"> </w:t>
      </w:r>
      <w:r>
        <w:rPr>
          <w:rFonts w:ascii="Arial" w:hAnsi="Arial" w:cs="Arial"/>
        </w:rPr>
        <w:t>Ibid.</w:t>
      </w:r>
    </w:p>
  </w:footnote>
  <w:footnote w:id="121">
    <w:p w:rsidR="00052B8B" w:rsidRPr="00B44EE9" w:rsidRDefault="00052B8B" w:rsidP="00B44EE9">
      <w:pPr>
        <w:pStyle w:val="FootnoteText"/>
        <w:spacing w:line="300" w:lineRule="auto"/>
        <w:rPr>
          <w:rFonts w:ascii="Arial" w:hAnsi="Arial" w:cs="Arial"/>
        </w:rPr>
      </w:pPr>
      <w:r w:rsidRPr="00B44EE9">
        <w:rPr>
          <w:rStyle w:val="FootnoteReference"/>
          <w:rFonts w:ascii="Arial" w:hAnsi="Arial" w:cs="Arial"/>
        </w:rPr>
        <w:footnoteRef/>
      </w:r>
      <w:r w:rsidRPr="00B44EE9">
        <w:rPr>
          <w:rFonts w:ascii="Arial" w:hAnsi="Arial" w:cs="Arial"/>
        </w:rPr>
        <w:t xml:space="preserve"> Ibid.</w:t>
      </w:r>
    </w:p>
  </w:footnote>
  <w:footnote w:id="122">
    <w:p w:rsidR="00052B8B" w:rsidRPr="002F641B" w:rsidRDefault="00052B8B" w:rsidP="002F641B">
      <w:pPr>
        <w:pStyle w:val="FootnoteText"/>
        <w:spacing w:line="312" w:lineRule="auto"/>
        <w:rPr>
          <w:rFonts w:ascii="Arial" w:hAnsi="Arial" w:cs="Arial"/>
        </w:rPr>
      </w:pPr>
      <w:r w:rsidRPr="002F641B">
        <w:rPr>
          <w:rStyle w:val="FootnoteReference"/>
          <w:rFonts w:ascii="Arial" w:hAnsi="Arial" w:cs="Arial"/>
        </w:rPr>
        <w:footnoteRef/>
      </w:r>
      <w:r w:rsidRPr="002F641B">
        <w:rPr>
          <w:rFonts w:ascii="Arial" w:hAnsi="Arial" w:cs="Arial"/>
        </w:rPr>
        <w:t xml:space="preserve"> Ibid.</w:t>
      </w:r>
    </w:p>
  </w:footnote>
  <w:footnote w:id="123">
    <w:p w:rsidR="00052B8B" w:rsidRPr="002F641B" w:rsidRDefault="00052B8B" w:rsidP="002F641B">
      <w:pPr>
        <w:pStyle w:val="FootnoteText"/>
        <w:spacing w:line="312" w:lineRule="auto"/>
        <w:rPr>
          <w:rFonts w:ascii="Arial" w:hAnsi="Arial" w:cs="Arial"/>
        </w:rPr>
      </w:pPr>
      <w:r w:rsidRPr="002F641B">
        <w:rPr>
          <w:rStyle w:val="FootnoteReference"/>
          <w:rFonts w:ascii="Arial" w:hAnsi="Arial" w:cs="Arial"/>
        </w:rPr>
        <w:footnoteRef/>
      </w:r>
      <w:r w:rsidRPr="002F641B">
        <w:rPr>
          <w:rFonts w:ascii="Arial" w:hAnsi="Arial" w:cs="Arial"/>
        </w:rPr>
        <w:t xml:space="preserve"> Ibid.</w:t>
      </w:r>
    </w:p>
  </w:footnote>
  <w:footnote w:id="124">
    <w:p w:rsidR="00052B8B" w:rsidRPr="002F641B" w:rsidRDefault="00052B8B" w:rsidP="002F641B">
      <w:pPr>
        <w:pStyle w:val="FootnoteText"/>
        <w:spacing w:line="312" w:lineRule="auto"/>
        <w:rPr>
          <w:rFonts w:ascii="Arial" w:hAnsi="Arial" w:cs="Arial"/>
        </w:rPr>
      </w:pPr>
      <w:r w:rsidRPr="002F641B">
        <w:rPr>
          <w:rStyle w:val="FootnoteReference"/>
          <w:rFonts w:ascii="Arial" w:hAnsi="Arial" w:cs="Arial"/>
        </w:rPr>
        <w:footnoteRef/>
      </w:r>
      <w:r w:rsidRPr="002F641B">
        <w:rPr>
          <w:rFonts w:ascii="Arial" w:hAnsi="Arial" w:cs="Arial"/>
        </w:rPr>
        <w:t xml:space="preserve"> </w:t>
      </w:r>
      <w:r>
        <w:rPr>
          <w:rFonts w:ascii="Arial" w:hAnsi="Arial" w:cs="Arial"/>
        </w:rPr>
        <w:t>Ibid.</w:t>
      </w:r>
    </w:p>
  </w:footnote>
  <w:footnote w:id="125">
    <w:p w:rsidR="00052B8B" w:rsidRPr="002F641B" w:rsidRDefault="00052B8B" w:rsidP="002F641B">
      <w:pPr>
        <w:pStyle w:val="FootnoteText"/>
        <w:spacing w:line="312" w:lineRule="auto"/>
        <w:rPr>
          <w:rFonts w:ascii="Arial" w:hAnsi="Arial" w:cs="Arial"/>
        </w:rPr>
      </w:pPr>
      <w:r w:rsidRPr="002F641B">
        <w:rPr>
          <w:rStyle w:val="FootnoteReference"/>
          <w:rFonts w:ascii="Arial" w:hAnsi="Arial" w:cs="Arial"/>
        </w:rPr>
        <w:footnoteRef/>
      </w:r>
      <w:r w:rsidRPr="002F641B">
        <w:rPr>
          <w:rFonts w:ascii="Arial" w:hAnsi="Arial" w:cs="Arial"/>
        </w:rPr>
        <w:t xml:space="preserve"> </w:t>
      </w:r>
      <w:r>
        <w:rPr>
          <w:rFonts w:ascii="Arial" w:hAnsi="Arial" w:cs="Arial"/>
        </w:rPr>
        <w:t>Ibid.</w:t>
      </w:r>
    </w:p>
  </w:footnote>
  <w:footnote w:id="126">
    <w:p w:rsidR="00052B8B" w:rsidRPr="002F641B" w:rsidRDefault="00052B8B" w:rsidP="002F641B">
      <w:pPr>
        <w:pStyle w:val="FootnoteText"/>
        <w:spacing w:line="312" w:lineRule="auto"/>
        <w:rPr>
          <w:rFonts w:ascii="Arial" w:hAnsi="Arial" w:cs="Arial"/>
        </w:rPr>
      </w:pPr>
      <w:r w:rsidRPr="002F641B">
        <w:rPr>
          <w:rStyle w:val="FootnoteReference"/>
          <w:rFonts w:ascii="Arial" w:hAnsi="Arial" w:cs="Arial"/>
        </w:rPr>
        <w:footnoteRef/>
      </w:r>
      <w:r w:rsidRPr="002F641B">
        <w:rPr>
          <w:rFonts w:ascii="Arial" w:hAnsi="Arial" w:cs="Arial"/>
        </w:rPr>
        <w:t xml:space="preserve"> Ferdiando Giugilano and Sarah Gordon, ‘Macron Calls for Radical Reform to Save Euro’, </w:t>
      </w:r>
      <w:r w:rsidRPr="002F641B">
        <w:rPr>
          <w:rFonts w:ascii="Arial" w:hAnsi="Arial" w:cs="Arial"/>
          <w:i/>
        </w:rPr>
        <w:t xml:space="preserve">Financial Times </w:t>
      </w:r>
      <w:r w:rsidRPr="002F641B">
        <w:rPr>
          <w:rFonts w:ascii="Arial" w:hAnsi="Arial" w:cs="Arial"/>
        </w:rPr>
        <w:t xml:space="preserve">(online) 24 September 2015 &lt; </w:t>
      </w:r>
      <w:r w:rsidRPr="002D33DB">
        <w:rPr>
          <w:rStyle w:val="Hyperlink"/>
          <w:rFonts w:ascii="Arial" w:hAnsi="Arial" w:cs="Arial"/>
        </w:rPr>
        <w:t>https://next.ft.com/content/6d327720-62c5-11e5-a28b-50226830d644</w:t>
      </w:r>
      <w:r w:rsidRPr="002F641B">
        <w:rPr>
          <w:rFonts w:ascii="Arial" w:hAnsi="Arial" w:cs="Arial"/>
        </w:rPr>
        <w:t>&gt;.</w:t>
      </w:r>
    </w:p>
  </w:footnote>
  <w:footnote w:id="127">
    <w:p w:rsidR="00052B8B" w:rsidRPr="002F641B" w:rsidRDefault="00052B8B" w:rsidP="002F641B">
      <w:pPr>
        <w:pStyle w:val="FootnoteText"/>
        <w:spacing w:line="312" w:lineRule="auto"/>
        <w:rPr>
          <w:rFonts w:ascii="Arial" w:hAnsi="Arial" w:cs="Arial"/>
        </w:rPr>
      </w:pPr>
      <w:r w:rsidRPr="002F641B">
        <w:rPr>
          <w:rStyle w:val="FootnoteReference"/>
          <w:rFonts w:ascii="Arial" w:hAnsi="Arial" w:cs="Arial"/>
        </w:rPr>
        <w:footnoteRef/>
      </w:r>
      <w:r w:rsidRPr="002F641B">
        <w:rPr>
          <w:rFonts w:ascii="Arial" w:hAnsi="Arial" w:cs="Arial"/>
        </w:rPr>
        <w:t xml:space="preserve"> </w:t>
      </w:r>
      <w:r>
        <w:rPr>
          <w:rFonts w:ascii="Arial" w:hAnsi="Arial" w:cs="Arial"/>
        </w:rPr>
        <w:t>Ibid.</w:t>
      </w:r>
    </w:p>
  </w:footnote>
  <w:footnote w:id="128">
    <w:p w:rsidR="00052B8B" w:rsidRPr="002F641B" w:rsidRDefault="00052B8B" w:rsidP="002F641B">
      <w:pPr>
        <w:pStyle w:val="FootnoteText"/>
        <w:spacing w:line="312" w:lineRule="auto"/>
        <w:rPr>
          <w:rFonts w:ascii="Arial" w:hAnsi="Arial" w:cs="Arial"/>
        </w:rPr>
      </w:pPr>
      <w:r w:rsidRPr="002F641B">
        <w:rPr>
          <w:rStyle w:val="FootnoteReference"/>
          <w:rFonts w:ascii="Arial" w:hAnsi="Arial" w:cs="Arial"/>
        </w:rPr>
        <w:footnoteRef/>
      </w:r>
      <w:r w:rsidRPr="002F641B">
        <w:rPr>
          <w:rFonts w:ascii="Arial" w:hAnsi="Arial" w:cs="Arial"/>
        </w:rPr>
        <w:t xml:space="preserve"> </w:t>
      </w:r>
      <w:r>
        <w:rPr>
          <w:rFonts w:ascii="Arial" w:hAnsi="Arial" w:cs="Arial"/>
        </w:rPr>
        <w:t>Ibid.</w:t>
      </w:r>
    </w:p>
  </w:footnote>
  <w:footnote w:id="129">
    <w:p w:rsidR="00052B8B" w:rsidRPr="002F641B" w:rsidRDefault="00052B8B" w:rsidP="002F641B">
      <w:pPr>
        <w:pStyle w:val="FootnoteText"/>
        <w:spacing w:line="312" w:lineRule="auto"/>
        <w:rPr>
          <w:rFonts w:ascii="Arial" w:hAnsi="Arial" w:cs="Arial"/>
        </w:rPr>
      </w:pPr>
      <w:r w:rsidRPr="002F641B">
        <w:rPr>
          <w:rStyle w:val="FootnoteReference"/>
          <w:rFonts w:ascii="Arial" w:hAnsi="Arial" w:cs="Arial"/>
        </w:rPr>
        <w:footnoteRef/>
      </w:r>
      <w:r w:rsidRPr="002F641B">
        <w:rPr>
          <w:rFonts w:ascii="Arial" w:hAnsi="Arial" w:cs="Arial"/>
        </w:rPr>
        <w:t xml:space="preserve"> </w:t>
      </w:r>
      <w:r>
        <w:rPr>
          <w:rFonts w:ascii="Arial" w:hAnsi="Arial" w:cs="Arial"/>
        </w:rPr>
        <w:t>Ibid.</w:t>
      </w:r>
    </w:p>
  </w:footnote>
  <w:footnote w:id="130">
    <w:p w:rsidR="00052B8B" w:rsidRPr="002F641B" w:rsidRDefault="00052B8B" w:rsidP="002F641B">
      <w:pPr>
        <w:pStyle w:val="FootnoteText"/>
        <w:spacing w:line="312" w:lineRule="auto"/>
        <w:rPr>
          <w:rFonts w:ascii="Arial" w:hAnsi="Arial" w:cs="Arial"/>
        </w:rPr>
      </w:pPr>
      <w:r w:rsidRPr="002F641B">
        <w:rPr>
          <w:rStyle w:val="FootnoteReference"/>
          <w:rFonts w:ascii="Arial" w:hAnsi="Arial" w:cs="Arial"/>
        </w:rPr>
        <w:footnoteRef/>
      </w:r>
      <w:r w:rsidRPr="002F641B">
        <w:rPr>
          <w:rFonts w:ascii="Arial" w:hAnsi="Arial" w:cs="Arial"/>
        </w:rPr>
        <w:t xml:space="preserve"> </w:t>
      </w:r>
      <w:r>
        <w:rPr>
          <w:rFonts w:ascii="Arial" w:hAnsi="Arial" w:cs="Arial"/>
        </w:rPr>
        <w:t>Ibid.</w:t>
      </w:r>
    </w:p>
  </w:footnote>
  <w:footnote w:id="131">
    <w:p w:rsidR="00052B8B" w:rsidRPr="008C2B32" w:rsidRDefault="00052B8B" w:rsidP="008C2B32">
      <w:pPr>
        <w:pStyle w:val="FootnoteText"/>
        <w:spacing w:line="312" w:lineRule="auto"/>
        <w:rPr>
          <w:rFonts w:ascii="Arial" w:hAnsi="Arial" w:cs="Arial"/>
        </w:rPr>
      </w:pPr>
      <w:r w:rsidRPr="008C2B32">
        <w:rPr>
          <w:rStyle w:val="FootnoteReference"/>
          <w:rFonts w:ascii="Arial" w:hAnsi="Arial" w:cs="Arial"/>
        </w:rPr>
        <w:footnoteRef/>
      </w:r>
      <w:r w:rsidRPr="008C2B32">
        <w:rPr>
          <w:rFonts w:ascii="Arial" w:hAnsi="Arial" w:cs="Arial"/>
        </w:rPr>
        <w:t xml:space="preserve"> Juncker et al, above n 1, 18.</w:t>
      </w:r>
    </w:p>
  </w:footnote>
  <w:footnote w:id="132">
    <w:p w:rsidR="00052B8B" w:rsidRPr="008C2B32" w:rsidRDefault="00052B8B" w:rsidP="008C2B32">
      <w:pPr>
        <w:pStyle w:val="FootnoteText"/>
        <w:spacing w:line="312" w:lineRule="auto"/>
        <w:rPr>
          <w:rFonts w:ascii="Arial" w:hAnsi="Arial" w:cs="Arial"/>
        </w:rPr>
      </w:pPr>
      <w:r w:rsidRPr="008C2B32">
        <w:rPr>
          <w:rStyle w:val="FootnoteReference"/>
          <w:rFonts w:ascii="Arial" w:hAnsi="Arial" w:cs="Arial"/>
        </w:rPr>
        <w:footnoteRef/>
      </w:r>
      <w:r w:rsidRPr="008C2B32">
        <w:rPr>
          <w:rFonts w:ascii="Arial" w:hAnsi="Arial" w:cs="Arial"/>
        </w:rPr>
        <w:t xml:space="preserve"> Ibid 14.</w:t>
      </w:r>
    </w:p>
  </w:footnote>
  <w:footnote w:id="133">
    <w:p w:rsidR="00052B8B" w:rsidRPr="008C2B32" w:rsidRDefault="00052B8B" w:rsidP="008C2B32">
      <w:pPr>
        <w:pStyle w:val="FootnoteText"/>
        <w:spacing w:line="312" w:lineRule="auto"/>
        <w:rPr>
          <w:rFonts w:ascii="Arial" w:hAnsi="Arial" w:cs="Arial"/>
        </w:rPr>
      </w:pPr>
      <w:r w:rsidRPr="008C2B32">
        <w:rPr>
          <w:rStyle w:val="FootnoteReference"/>
          <w:rFonts w:ascii="Arial" w:hAnsi="Arial" w:cs="Arial"/>
        </w:rPr>
        <w:footnoteRef/>
      </w:r>
      <w:r w:rsidRPr="008C2B32">
        <w:rPr>
          <w:rFonts w:ascii="Arial" w:hAnsi="Arial" w:cs="Arial"/>
        </w:rPr>
        <w:t xml:space="preserve"> Begg, above n 47.</w:t>
      </w:r>
    </w:p>
  </w:footnote>
  <w:footnote w:id="134">
    <w:p w:rsidR="00052B8B" w:rsidRPr="008C2B32" w:rsidRDefault="00052B8B" w:rsidP="008C2B32">
      <w:pPr>
        <w:pStyle w:val="FootnoteText"/>
        <w:spacing w:line="312" w:lineRule="auto"/>
        <w:rPr>
          <w:rFonts w:ascii="Arial" w:hAnsi="Arial" w:cs="Arial"/>
        </w:rPr>
      </w:pPr>
      <w:r w:rsidRPr="008C2B32">
        <w:rPr>
          <w:rStyle w:val="FootnoteReference"/>
          <w:rFonts w:ascii="Arial" w:hAnsi="Arial" w:cs="Arial"/>
        </w:rPr>
        <w:footnoteRef/>
      </w:r>
      <w:r w:rsidRPr="008C2B32">
        <w:rPr>
          <w:rFonts w:ascii="Arial" w:hAnsi="Arial" w:cs="Arial"/>
        </w:rPr>
        <w:t xml:space="preserve"> Guntram Wolff, </w:t>
      </w:r>
      <w:r w:rsidRPr="008C2B32">
        <w:rPr>
          <w:rFonts w:ascii="Arial" w:hAnsi="Arial" w:cs="Arial"/>
          <w:i/>
        </w:rPr>
        <w:t xml:space="preserve">Euro Area Governance: An Assessment of the “Five Presidents” Report </w:t>
      </w:r>
      <w:r w:rsidRPr="008C2B32">
        <w:rPr>
          <w:rFonts w:ascii="Arial" w:hAnsi="Arial" w:cs="Arial"/>
        </w:rPr>
        <w:t>(24 June 2015) Bruegel &lt;</w:t>
      </w:r>
      <w:hyperlink r:id="rId6" w:history="1">
        <w:r w:rsidRPr="008C2B32">
          <w:rPr>
            <w:rStyle w:val="Hyperlink"/>
            <w:rFonts w:ascii="Arial" w:hAnsi="Arial" w:cs="Arial"/>
          </w:rPr>
          <w:t>http://bruegel.org/2015/06/euro-area-governance-an-assessment-of-the-five-presidents-report/</w:t>
        </w:r>
      </w:hyperlink>
      <w:r w:rsidRPr="008C2B32">
        <w:rPr>
          <w:rFonts w:ascii="Arial" w:hAnsi="Arial" w:cs="Arial"/>
        </w:rPr>
        <w:t>&gt;.</w:t>
      </w:r>
    </w:p>
  </w:footnote>
  <w:footnote w:id="135">
    <w:p w:rsidR="00052B8B" w:rsidRPr="002D7FAF" w:rsidRDefault="00052B8B" w:rsidP="008C2B32">
      <w:pPr>
        <w:pStyle w:val="FootnoteText"/>
        <w:spacing w:line="312" w:lineRule="auto"/>
        <w:rPr>
          <w:rFonts w:ascii="Arial" w:hAnsi="Arial" w:cs="Arial"/>
        </w:rPr>
      </w:pPr>
      <w:r w:rsidRPr="008C2B32">
        <w:rPr>
          <w:rStyle w:val="FootnoteReference"/>
          <w:rFonts w:ascii="Arial" w:hAnsi="Arial" w:cs="Arial"/>
        </w:rPr>
        <w:footnoteRef/>
      </w:r>
      <w:r w:rsidRPr="008C2B32">
        <w:rPr>
          <w:rFonts w:ascii="Arial" w:hAnsi="Arial" w:cs="Arial"/>
        </w:rPr>
        <w:t xml:space="preserve"> European Commission, above n 37.</w:t>
      </w:r>
      <w:r>
        <w:rPr>
          <w:rFonts w:ascii="Arial" w:hAnsi="Arial" w:cs="Arial"/>
        </w:rPr>
        <w:t xml:space="preserve"> </w:t>
      </w:r>
    </w:p>
  </w:footnote>
  <w:footnote w:id="136">
    <w:p w:rsidR="00052B8B" w:rsidRPr="008C69C7" w:rsidRDefault="00052B8B" w:rsidP="00613AE2">
      <w:pPr>
        <w:pStyle w:val="FootnoteText"/>
        <w:spacing w:line="312" w:lineRule="auto"/>
        <w:rPr>
          <w:rFonts w:ascii="Arial" w:hAnsi="Arial" w:cs="Arial"/>
        </w:rPr>
      </w:pPr>
      <w:r w:rsidRPr="008C69C7">
        <w:rPr>
          <w:rStyle w:val="FootnoteReference"/>
          <w:rFonts w:ascii="Arial" w:hAnsi="Arial" w:cs="Arial"/>
        </w:rPr>
        <w:footnoteRef/>
      </w:r>
      <w:r w:rsidRPr="008C69C7">
        <w:rPr>
          <w:rFonts w:ascii="Arial" w:hAnsi="Arial" w:cs="Arial"/>
        </w:rPr>
        <w:t xml:space="preserve"> </w:t>
      </w:r>
      <w:r w:rsidRPr="006235FD">
        <w:rPr>
          <w:rFonts w:ascii="Arial" w:hAnsi="Arial" w:cs="Arial"/>
        </w:rPr>
        <w:t xml:space="preserve">Odenhall, </w:t>
      </w:r>
      <w:r w:rsidRPr="0083724E">
        <w:rPr>
          <w:rFonts w:ascii="Arial" w:hAnsi="Arial" w:cs="Arial"/>
        </w:rPr>
        <w:t>above n 69.</w:t>
      </w:r>
    </w:p>
  </w:footnote>
  <w:footnote w:id="137">
    <w:p w:rsidR="00052B8B" w:rsidRPr="008C69C7" w:rsidRDefault="00052B8B" w:rsidP="00613AE2">
      <w:pPr>
        <w:pStyle w:val="FootnoteText"/>
        <w:spacing w:line="312" w:lineRule="auto"/>
        <w:rPr>
          <w:rFonts w:ascii="Arial" w:hAnsi="Arial" w:cs="Arial"/>
        </w:rPr>
      </w:pPr>
      <w:r w:rsidRPr="008C69C7">
        <w:rPr>
          <w:rStyle w:val="FootnoteReference"/>
          <w:rFonts w:ascii="Arial" w:hAnsi="Arial" w:cs="Arial"/>
        </w:rPr>
        <w:footnoteRef/>
      </w:r>
      <w:r w:rsidRPr="008C69C7">
        <w:rPr>
          <w:rFonts w:ascii="Arial" w:hAnsi="Arial" w:cs="Arial"/>
        </w:rPr>
        <w:t xml:space="preserve"> </w:t>
      </w:r>
      <w:r>
        <w:rPr>
          <w:rFonts w:ascii="Arial" w:hAnsi="Arial" w:cs="Arial"/>
        </w:rPr>
        <w:t>Ibid</w:t>
      </w:r>
      <w:r w:rsidRPr="008C69C7">
        <w:rPr>
          <w:rFonts w:ascii="Arial" w:hAnsi="Arial" w:cs="Arial"/>
        </w:rPr>
        <w:t>.</w:t>
      </w:r>
    </w:p>
  </w:footnote>
  <w:footnote w:id="138">
    <w:p w:rsidR="00052B8B" w:rsidRPr="008C69C7" w:rsidRDefault="00052B8B" w:rsidP="00613AE2">
      <w:pPr>
        <w:pStyle w:val="FootnoteText"/>
        <w:spacing w:line="312" w:lineRule="auto"/>
        <w:rPr>
          <w:rFonts w:ascii="Arial" w:hAnsi="Arial" w:cs="Arial"/>
        </w:rPr>
      </w:pPr>
      <w:r w:rsidRPr="008C69C7">
        <w:rPr>
          <w:rStyle w:val="FootnoteReference"/>
          <w:rFonts w:ascii="Arial" w:hAnsi="Arial" w:cs="Arial"/>
        </w:rPr>
        <w:footnoteRef/>
      </w:r>
      <w:r w:rsidRPr="008C69C7">
        <w:rPr>
          <w:rFonts w:ascii="Arial" w:hAnsi="Arial" w:cs="Arial"/>
        </w:rPr>
        <w:t xml:space="preserve"> </w:t>
      </w:r>
      <w:r>
        <w:rPr>
          <w:rFonts w:ascii="Arial" w:hAnsi="Arial" w:cs="Arial"/>
        </w:rPr>
        <w:t>Ibid</w:t>
      </w:r>
      <w:r w:rsidRPr="008C69C7">
        <w:rPr>
          <w:rFonts w:ascii="Arial" w:hAnsi="Arial" w:cs="Arial"/>
        </w:rPr>
        <w:t>.</w:t>
      </w:r>
    </w:p>
  </w:footnote>
  <w:footnote w:id="139">
    <w:p w:rsidR="00052B8B" w:rsidRDefault="00052B8B" w:rsidP="009C30FA">
      <w:pPr>
        <w:pStyle w:val="FootnoteText"/>
        <w:spacing w:line="300" w:lineRule="auto"/>
      </w:pPr>
      <w:r w:rsidRPr="008C69C7">
        <w:rPr>
          <w:rStyle w:val="FootnoteReference"/>
          <w:rFonts w:ascii="Arial" w:hAnsi="Arial" w:cs="Arial"/>
        </w:rPr>
        <w:footnoteRef/>
      </w:r>
      <w:r w:rsidRPr="008C69C7">
        <w:rPr>
          <w:rFonts w:ascii="Arial" w:hAnsi="Arial" w:cs="Arial"/>
        </w:rPr>
        <w:t xml:space="preserve"> </w:t>
      </w:r>
      <w:r w:rsidRPr="006235FD">
        <w:rPr>
          <w:rFonts w:ascii="Arial" w:hAnsi="Arial" w:cs="Arial"/>
        </w:rPr>
        <w:t xml:space="preserve">Odenhall, </w:t>
      </w:r>
      <w:r w:rsidRPr="0083724E">
        <w:rPr>
          <w:rFonts w:ascii="Arial" w:hAnsi="Arial" w:cs="Arial"/>
        </w:rPr>
        <w:t>above n 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25A2"/>
    <w:multiLevelType w:val="hybridMultilevel"/>
    <w:tmpl w:val="6428BD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32C5A57"/>
    <w:multiLevelType w:val="hybridMultilevel"/>
    <w:tmpl w:val="22081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E70F28"/>
    <w:multiLevelType w:val="hybridMultilevel"/>
    <w:tmpl w:val="6DDAA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877679D"/>
    <w:multiLevelType w:val="hybridMultilevel"/>
    <w:tmpl w:val="F612A8AA"/>
    <w:lvl w:ilvl="0" w:tplc="37005846">
      <w:start w:val="1"/>
      <w:numFmt w:val="decimal"/>
      <w:lvlText w:val="%1."/>
      <w:lvlJc w:val="left"/>
      <w:pPr>
        <w:ind w:left="64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A0D3C57"/>
    <w:multiLevelType w:val="hybridMultilevel"/>
    <w:tmpl w:val="29A05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A749F1"/>
    <w:multiLevelType w:val="hybridMultilevel"/>
    <w:tmpl w:val="AB9874AE"/>
    <w:lvl w:ilvl="0" w:tplc="0C090001">
      <w:start w:val="1"/>
      <w:numFmt w:val="bullet"/>
      <w:lvlText w:val=""/>
      <w:lvlJc w:val="left"/>
      <w:pPr>
        <w:ind w:left="644"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F236549"/>
    <w:multiLevelType w:val="hybridMultilevel"/>
    <w:tmpl w:val="DA86C536"/>
    <w:lvl w:ilvl="0" w:tplc="0C090001">
      <w:start w:val="1"/>
      <w:numFmt w:val="bullet"/>
      <w:lvlText w:val=""/>
      <w:lvlJc w:val="left"/>
      <w:pPr>
        <w:ind w:left="4311" w:hanging="360"/>
      </w:pPr>
      <w:rPr>
        <w:rFonts w:ascii="Symbol" w:hAnsi="Symbol" w:hint="default"/>
      </w:rPr>
    </w:lvl>
    <w:lvl w:ilvl="1" w:tplc="0C090003" w:tentative="1">
      <w:start w:val="1"/>
      <w:numFmt w:val="bullet"/>
      <w:lvlText w:val="o"/>
      <w:lvlJc w:val="left"/>
      <w:pPr>
        <w:ind w:left="5031" w:hanging="360"/>
      </w:pPr>
      <w:rPr>
        <w:rFonts w:ascii="Courier New" w:hAnsi="Courier New" w:cs="Courier New" w:hint="default"/>
      </w:rPr>
    </w:lvl>
    <w:lvl w:ilvl="2" w:tplc="0C090005" w:tentative="1">
      <w:start w:val="1"/>
      <w:numFmt w:val="bullet"/>
      <w:lvlText w:val=""/>
      <w:lvlJc w:val="left"/>
      <w:pPr>
        <w:ind w:left="5751" w:hanging="360"/>
      </w:pPr>
      <w:rPr>
        <w:rFonts w:ascii="Wingdings" w:hAnsi="Wingdings" w:hint="default"/>
      </w:rPr>
    </w:lvl>
    <w:lvl w:ilvl="3" w:tplc="0C090001" w:tentative="1">
      <w:start w:val="1"/>
      <w:numFmt w:val="bullet"/>
      <w:lvlText w:val=""/>
      <w:lvlJc w:val="left"/>
      <w:pPr>
        <w:ind w:left="6471" w:hanging="360"/>
      </w:pPr>
      <w:rPr>
        <w:rFonts w:ascii="Symbol" w:hAnsi="Symbol" w:hint="default"/>
      </w:rPr>
    </w:lvl>
    <w:lvl w:ilvl="4" w:tplc="0C090003" w:tentative="1">
      <w:start w:val="1"/>
      <w:numFmt w:val="bullet"/>
      <w:lvlText w:val="o"/>
      <w:lvlJc w:val="left"/>
      <w:pPr>
        <w:ind w:left="7191" w:hanging="360"/>
      </w:pPr>
      <w:rPr>
        <w:rFonts w:ascii="Courier New" w:hAnsi="Courier New" w:cs="Courier New" w:hint="default"/>
      </w:rPr>
    </w:lvl>
    <w:lvl w:ilvl="5" w:tplc="0C090005" w:tentative="1">
      <w:start w:val="1"/>
      <w:numFmt w:val="bullet"/>
      <w:lvlText w:val=""/>
      <w:lvlJc w:val="left"/>
      <w:pPr>
        <w:ind w:left="7911" w:hanging="360"/>
      </w:pPr>
      <w:rPr>
        <w:rFonts w:ascii="Wingdings" w:hAnsi="Wingdings" w:hint="default"/>
      </w:rPr>
    </w:lvl>
    <w:lvl w:ilvl="6" w:tplc="0C090001" w:tentative="1">
      <w:start w:val="1"/>
      <w:numFmt w:val="bullet"/>
      <w:lvlText w:val=""/>
      <w:lvlJc w:val="left"/>
      <w:pPr>
        <w:ind w:left="8631" w:hanging="360"/>
      </w:pPr>
      <w:rPr>
        <w:rFonts w:ascii="Symbol" w:hAnsi="Symbol" w:hint="default"/>
      </w:rPr>
    </w:lvl>
    <w:lvl w:ilvl="7" w:tplc="0C090003" w:tentative="1">
      <w:start w:val="1"/>
      <w:numFmt w:val="bullet"/>
      <w:lvlText w:val="o"/>
      <w:lvlJc w:val="left"/>
      <w:pPr>
        <w:ind w:left="9351" w:hanging="360"/>
      </w:pPr>
      <w:rPr>
        <w:rFonts w:ascii="Courier New" w:hAnsi="Courier New" w:cs="Courier New" w:hint="default"/>
      </w:rPr>
    </w:lvl>
    <w:lvl w:ilvl="8" w:tplc="0C090005" w:tentative="1">
      <w:start w:val="1"/>
      <w:numFmt w:val="bullet"/>
      <w:lvlText w:val=""/>
      <w:lvlJc w:val="left"/>
      <w:pPr>
        <w:ind w:left="10071" w:hanging="360"/>
      </w:pPr>
      <w:rPr>
        <w:rFonts w:ascii="Wingdings" w:hAnsi="Wingdings" w:hint="default"/>
      </w:rPr>
    </w:lvl>
  </w:abstractNum>
  <w:abstractNum w:abstractNumId="7">
    <w:nsid w:val="0FE21119"/>
    <w:multiLevelType w:val="hybridMultilevel"/>
    <w:tmpl w:val="4F9A2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0425C8"/>
    <w:multiLevelType w:val="hybridMultilevel"/>
    <w:tmpl w:val="3796E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05D03F2"/>
    <w:multiLevelType w:val="hybridMultilevel"/>
    <w:tmpl w:val="2B780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0694A4B"/>
    <w:multiLevelType w:val="hybridMultilevel"/>
    <w:tmpl w:val="CD5E3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14D7215"/>
    <w:multiLevelType w:val="hybridMultilevel"/>
    <w:tmpl w:val="07465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1A76159"/>
    <w:multiLevelType w:val="hybridMultilevel"/>
    <w:tmpl w:val="C55AA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5324AA0"/>
    <w:multiLevelType w:val="hybridMultilevel"/>
    <w:tmpl w:val="49CC674E"/>
    <w:lvl w:ilvl="0" w:tplc="0C09000F">
      <w:start w:val="1"/>
      <w:numFmt w:val="decimal"/>
      <w:lvlText w:val="%1."/>
      <w:lvlJc w:val="left"/>
      <w:pPr>
        <w:ind w:left="776" w:hanging="360"/>
      </w:pPr>
    </w:lvl>
    <w:lvl w:ilvl="1" w:tplc="0C090019" w:tentative="1">
      <w:start w:val="1"/>
      <w:numFmt w:val="lowerLetter"/>
      <w:lvlText w:val="%2."/>
      <w:lvlJc w:val="left"/>
      <w:pPr>
        <w:ind w:left="1496" w:hanging="360"/>
      </w:pPr>
    </w:lvl>
    <w:lvl w:ilvl="2" w:tplc="0C09001B" w:tentative="1">
      <w:start w:val="1"/>
      <w:numFmt w:val="lowerRoman"/>
      <w:lvlText w:val="%3."/>
      <w:lvlJc w:val="right"/>
      <w:pPr>
        <w:ind w:left="2216" w:hanging="180"/>
      </w:pPr>
    </w:lvl>
    <w:lvl w:ilvl="3" w:tplc="0C09000F" w:tentative="1">
      <w:start w:val="1"/>
      <w:numFmt w:val="decimal"/>
      <w:lvlText w:val="%4."/>
      <w:lvlJc w:val="left"/>
      <w:pPr>
        <w:ind w:left="2936" w:hanging="360"/>
      </w:pPr>
    </w:lvl>
    <w:lvl w:ilvl="4" w:tplc="0C090019" w:tentative="1">
      <w:start w:val="1"/>
      <w:numFmt w:val="lowerLetter"/>
      <w:lvlText w:val="%5."/>
      <w:lvlJc w:val="left"/>
      <w:pPr>
        <w:ind w:left="3656" w:hanging="360"/>
      </w:pPr>
    </w:lvl>
    <w:lvl w:ilvl="5" w:tplc="0C09001B" w:tentative="1">
      <w:start w:val="1"/>
      <w:numFmt w:val="lowerRoman"/>
      <w:lvlText w:val="%6."/>
      <w:lvlJc w:val="right"/>
      <w:pPr>
        <w:ind w:left="4376" w:hanging="180"/>
      </w:pPr>
    </w:lvl>
    <w:lvl w:ilvl="6" w:tplc="0C09000F" w:tentative="1">
      <w:start w:val="1"/>
      <w:numFmt w:val="decimal"/>
      <w:lvlText w:val="%7."/>
      <w:lvlJc w:val="left"/>
      <w:pPr>
        <w:ind w:left="5096" w:hanging="360"/>
      </w:pPr>
    </w:lvl>
    <w:lvl w:ilvl="7" w:tplc="0C090019" w:tentative="1">
      <w:start w:val="1"/>
      <w:numFmt w:val="lowerLetter"/>
      <w:lvlText w:val="%8."/>
      <w:lvlJc w:val="left"/>
      <w:pPr>
        <w:ind w:left="5816" w:hanging="360"/>
      </w:pPr>
    </w:lvl>
    <w:lvl w:ilvl="8" w:tplc="0C09001B" w:tentative="1">
      <w:start w:val="1"/>
      <w:numFmt w:val="lowerRoman"/>
      <w:lvlText w:val="%9."/>
      <w:lvlJc w:val="right"/>
      <w:pPr>
        <w:ind w:left="6536" w:hanging="180"/>
      </w:pPr>
    </w:lvl>
  </w:abstractNum>
  <w:abstractNum w:abstractNumId="14">
    <w:nsid w:val="189D0378"/>
    <w:multiLevelType w:val="hybridMultilevel"/>
    <w:tmpl w:val="9BA47294"/>
    <w:lvl w:ilvl="0" w:tplc="FE6CFAE6">
      <w:start w:val="3"/>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9156B33"/>
    <w:multiLevelType w:val="hybridMultilevel"/>
    <w:tmpl w:val="96DE7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EC11091"/>
    <w:multiLevelType w:val="hybridMultilevel"/>
    <w:tmpl w:val="99FE3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04528F6"/>
    <w:multiLevelType w:val="hybridMultilevel"/>
    <w:tmpl w:val="43E2A38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8">
    <w:nsid w:val="24E821A3"/>
    <w:multiLevelType w:val="hybridMultilevel"/>
    <w:tmpl w:val="47E20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5C022E"/>
    <w:multiLevelType w:val="hybridMultilevel"/>
    <w:tmpl w:val="A45262A4"/>
    <w:lvl w:ilvl="0" w:tplc="37005846">
      <w:start w:val="1"/>
      <w:numFmt w:val="decimal"/>
      <w:lvlText w:val="%1."/>
      <w:lvlJc w:val="left"/>
      <w:pPr>
        <w:ind w:left="928"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C975D9B"/>
    <w:multiLevelType w:val="hybridMultilevel"/>
    <w:tmpl w:val="501810C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21">
    <w:nsid w:val="319F56BC"/>
    <w:multiLevelType w:val="hybridMultilevel"/>
    <w:tmpl w:val="80EC7EBC"/>
    <w:lvl w:ilvl="0" w:tplc="0C090001">
      <w:start w:val="1"/>
      <w:numFmt w:val="bullet"/>
      <w:lvlText w:val=""/>
      <w:lvlJc w:val="left"/>
      <w:pPr>
        <w:ind w:left="36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42E0372"/>
    <w:multiLevelType w:val="hybridMultilevel"/>
    <w:tmpl w:val="A746A898"/>
    <w:lvl w:ilvl="0" w:tplc="0C09001B">
      <w:start w:val="1"/>
      <w:numFmt w:val="lowerRoman"/>
      <w:lvlText w:val="%1."/>
      <w:lvlJc w:val="right"/>
      <w:pPr>
        <w:tabs>
          <w:tab w:val="num" w:pos="1080"/>
        </w:tabs>
        <w:ind w:left="1080" w:hanging="360"/>
      </w:pPr>
      <w:rPr>
        <w:rFonts w:cs="Times New Roman" w:hint="default"/>
      </w:rPr>
    </w:lvl>
    <w:lvl w:ilvl="1" w:tplc="0C090003">
      <w:start w:val="1"/>
      <w:numFmt w:val="bullet"/>
      <w:lvlText w:val="o"/>
      <w:lvlJc w:val="left"/>
      <w:pPr>
        <w:tabs>
          <w:tab w:val="num" w:pos="1800"/>
        </w:tabs>
        <w:ind w:left="1800" w:hanging="360"/>
      </w:pPr>
      <w:rPr>
        <w:rFonts w:ascii="Courier New" w:hAnsi="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start w:val="1"/>
      <w:numFmt w:val="bullet"/>
      <w:lvlText w:val=""/>
      <w:lvlJc w:val="left"/>
      <w:pPr>
        <w:tabs>
          <w:tab w:val="num" w:pos="3240"/>
        </w:tabs>
        <w:ind w:left="3240" w:hanging="360"/>
      </w:pPr>
      <w:rPr>
        <w:rFonts w:ascii="Symbol" w:hAnsi="Symbol" w:hint="default"/>
      </w:rPr>
    </w:lvl>
    <w:lvl w:ilvl="4" w:tplc="0C090003">
      <w:start w:val="1"/>
      <w:numFmt w:val="bullet"/>
      <w:lvlText w:val="o"/>
      <w:lvlJc w:val="left"/>
      <w:pPr>
        <w:tabs>
          <w:tab w:val="num" w:pos="3960"/>
        </w:tabs>
        <w:ind w:left="3960" w:hanging="360"/>
      </w:pPr>
      <w:rPr>
        <w:rFonts w:ascii="Courier New" w:hAnsi="Courier New" w:hint="default"/>
      </w:rPr>
    </w:lvl>
    <w:lvl w:ilvl="5" w:tplc="0C090005">
      <w:start w:val="1"/>
      <w:numFmt w:val="bullet"/>
      <w:lvlText w:val=""/>
      <w:lvlJc w:val="left"/>
      <w:pPr>
        <w:tabs>
          <w:tab w:val="num" w:pos="4680"/>
        </w:tabs>
        <w:ind w:left="4680" w:hanging="360"/>
      </w:pPr>
      <w:rPr>
        <w:rFonts w:ascii="Wingdings" w:hAnsi="Wingdings" w:hint="default"/>
      </w:rPr>
    </w:lvl>
    <w:lvl w:ilvl="6" w:tplc="0C090001">
      <w:start w:val="1"/>
      <w:numFmt w:val="bullet"/>
      <w:lvlText w:val=""/>
      <w:lvlJc w:val="left"/>
      <w:pPr>
        <w:tabs>
          <w:tab w:val="num" w:pos="5400"/>
        </w:tabs>
        <w:ind w:left="5400" w:hanging="360"/>
      </w:pPr>
      <w:rPr>
        <w:rFonts w:ascii="Symbol" w:hAnsi="Symbol" w:hint="default"/>
      </w:rPr>
    </w:lvl>
    <w:lvl w:ilvl="7" w:tplc="0C090003">
      <w:start w:val="1"/>
      <w:numFmt w:val="bullet"/>
      <w:lvlText w:val="o"/>
      <w:lvlJc w:val="left"/>
      <w:pPr>
        <w:tabs>
          <w:tab w:val="num" w:pos="6120"/>
        </w:tabs>
        <w:ind w:left="6120" w:hanging="360"/>
      </w:pPr>
      <w:rPr>
        <w:rFonts w:ascii="Courier New" w:hAnsi="Courier New" w:hint="default"/>
      </w:rPr>
    </w:lvl>
    <w:lvl w:ilvl="8" w:tplc="0C090005">
      <w:start w:val="1"/>
      <w:numFmt w:val="bullet"/>
      <w:lvlText w:val=""/>
      <w:lvlJc w:val="left"/>
      <w:pPr>
        <w:tabs>
          <w:tab w:val="num" w:pos="6840"/>
        </w:tabs>
        <w:ind w:left="6840" w:hanging="360"/>
      </w:pPr>
      <w:rPr>
        <w:rFonts w:ascii="Wingdings" w:hAnsi="Wingdings" w:hint="default"/>
      </w:rPr>
    </w:lvl>
  </w:abstractNum>
  <w:abstractNum w:abstractNumId="23">
    <w:nsid w:val="36047127"/>
    <w:multiLevelType w:val="hybridMultilevel"/>
    <w:tmpl w:val="4470F9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7451114"/>
    <w:multiLevelType w:val="hybridMultilevel"/>
    <w:tmpl w:val="38ECFE7E"/>
    <w:lvl w:ilvl="0" w:tplc="37005846">
      <w:start w:val="1"/>
      <w:numFmt w:val="decimal"/>
      <w:lvlText w:val="%1."/>
      <w:lvlJc w:val="left"/>
      <w:pPr>
        <w:ind w:left="644"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AFC147E"/>
    <w:multiLevelType w:val="hybridMultilevel"/>
    <w:tmpl w:val="9B0A6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DE00220"/>
    <w:multiLevelType w:val="hybridMultilevel"/>
    <w:tmpl w:val="86944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2FC7BDE"/>
    <w:multiLevelType w:val="hybridMultilevel"/>
    <w:tmpl w:val="709EF1C8"/>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4361C86"/>
    <w:multiLevelType w:val="hybridMultilevel"/>
    <w:tmpl w:val="E6DAC58C"/>
    <w:lvl w:ilvl="0" w:tplc="0C09000F">
      <w:start w:val="1"/>
      <w:numFmt w:val="decimal"/>
      <w:lvlText w:val="%1."/>
      <w:lvlJc w:val="left"/>
      <w:pPr>
        <w:ind w:left="784" w:hanging="360"/>
      </w:pPr>
    </w:lvl>
    <w:lvl w:ilvl="1" w:tplc="0C090019" w:tentative="1">
      <w:start w:val="1"/>
      <w:numFmt w:val="lowerLetter"/>
      <w:lvlText w:val="%2."/>
      <w:lvlJc w:val="left"/>
      <w:pPr>
        <w:ind w:left="1504" w:hanging="360"/>
      </w:pPr>
    </w:lvl>
    <w:lvl w:ilvl="2" w:tplc="0C09001B" w:tentative="1">
      <w:start w:val="1"/>
      <w:numFmt w:val="lowerRoman"/>
      <w:lvlText w:val="%3."/>
      <w:lvlJc w:val="right"/>
      <w:pPr>
        <w:ind w:left="2224" w:hanging="180"/>
      </w:pPr>
    </w:lvl>
    <w:lvl w:ilvl="3" w:tplc="0C09000F" w:tentative="1">
      <w:start w:val="1"/>
      <w:numFmt w:val="decimal"/>
      <w:lvlText w:val="%4."/>
      <w:lvlJc w:val="left"/>
      <w:pPr>
        <w:ind w:left="2944" w:hanging="360"/>
      </w:pPr>
    </w:lvl>
    <w:lvl w:ilvl="4" w:tplc="0C090019" w:tentative="1">
      <w:start w:val="1"/>
      <w:numFmt w:val="lowerLetter"/>
      <w:lvlText w:val="%5."/>
      <w:lvlJc w:val="left"/>
      <w:pPr>
        <w:ind w:left="3664" w:hanging="360"/>
      </w:pPr>
    </w:lvl>
    <w:lvl w:ilvl="5" w:tplc="0C09001B" w:tentative="1">
      <w:start w:val="1"/>
      <w:numFmt w:val="lowerRoman"/>
      <w:lvlText w:val="%6."/>
      <w:lvlJc w:val="right"/>
      <w:pPr>
        <w:ind w:left="4384" w:hanging="180"/>
      </w:pPr>
    </w:lvl>
    <w:lvl w:ilvl="6" w:tplc="0C09000F" w:tentative="1">
      <w:start w:val="1"/>
      <w:numFmt w:val="decimal"/>
      <w:lvlText w:val="%7."/>
      <w:lvlJc w:val="left"/>
      <w:pPr>
        <w:ind w:left="5104" w:hanging="360"/>
      </w:pPr>
    </w:lvl>
    <w:lvl w:ilvl="7" w:tplc="0C090019" w:tentative="1">
      <w:start w:val="1"/>
      <w:numFmt w:val="lowerLetter"/>
      <w:lvlText w:val="%8."/>
      <w:lvlJc w:val="left"/>
      <w:pPr>
        <w:ind w:left="5824" w:hanging="360"/>
      </w:pPr>
    </w:lvl>
    <w:lvl w:ilvl="8" w:tplc="0C09001B" w:tentative="1">
      <w:start w:val="1"/>
      <w:numFmt w:val="lowerRoman"/>
      <w:lvlText w:val="%9."/>
      <w:lvlJc w:val="right"/>
      <w:pPr>
        <w:ind w:left="6544" w:hanging="180"/>
      </w:pPr>
    </w:lvl>
  </w:abstractNum>
  <w:abstractNum w:abstractNumId="29">
    <w:nsid w:val="4C761DEF"/>
    <w:multiLevelType w:val="hybridMultilevel"/>
    <w:tmpl w:val="7E5CF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D347E4C"/>
    <w:multiLevelType w:val="hybridMultilevel"/>
    <w:tmpl w:val="04DE1694"/>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31">
    <w:nsid w:val="4DC263EA"/>
    <w:multiLevelType w:val="hybridMultilevel"/>
    <w:tmpl w:val="91F4AE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2716E9F"/>
    <w:multiLevelType w:val="hybridMultilevel"/>
    <w:tmpl w:val="2418330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3">
    <w:nsid w:val="52DB705D"/>
    <w:multiLevelType w:val="hybridMultilevel"/>
    <w:tmpl w:val="CAF22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F7D7678"/>
    <w:multiLevelType w:val="hybridMultilevel"/>
    <w:tmpl w:val="32B0D0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5967462"/>
    <w:multiLevelType w:val="hybridMultilevel"/>
    <w:tmpl w:val="6F20905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6">
    <w:nsid w:val="65FF3EAD"/>
    <w:multiLevelType w:val="hybridMultilevel"/>
    <w:tmpl w:val="5E9ABC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A7A1A05"/>
    <w:multiLevelType w:val="hybridMultilevel"/>
    <w:tmpl w:val="1CCE516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8">
    <w:nsid w:val="785B0D5E"/>
    <w:multiLevelType w:val="hybridMultilevel"/>
    <w:tmpl w:val="34341940"/>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9">
    <w:nsid w:val="7AAE46F6"/>
    <w:multiLevelType w:val="hybridMultilevel"/>
    <w:tmpl w:val="10EEE3BA"/>
    <w:lvl w:ilvl="0" w:tplc="0C090001">
      <w:start w:val="1"/>
      <w:numFmt w:val="bullet"/>
      <w:lvlText w:val=""/>
      <w:lvlJc w:val="left"/>
      <w:pPr>
        <w:ind w:left="928"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6"/>
  </w:num>
  <w:num w:numId="2">
    <w:abstractNumId w:val="20"/>
  </w:num>
  <w:num w:numId="3">
    <w:abstractNumId w:val="22"/>
  </w:num>
  <w:num w:numId="4">
    <w:abstractNumId w:val="37"/>
  </w:num>
  <w:num w:numId="5">
    <w:abstractNumId w:val="13"/>
  </w:num>
  <w:num w:numId="6">
    <w:abstractNumId w:val="23"/>
  </w:num>
  <w:num w:numId="7">
    <w:abstractNumId w:val="28"/>
  </w:num>
  <w:num w:numId="8">
    <w:abstractNumId w:val="30"/>
  </w:num>
  <w:num w:numId="9">
    <w:abstractNumId w:val="3"/>
  </w:num>
  <w:num w:numId="10">
    <w:abstractNumId w:val="34"/>
  </w:num>
  <w:num w:numId="11">
    <w:abstractNumId w:val="39"/>
  </w:num>
  <w:num w:numId="12">
    <w:abstractNumId w:val="18"/>
  </w:num>
  <w:num w:numId="13">
    <w:abstractNumId w:val="19"/>
  </w:num>
  <w:num w:numId="14">
    <w:abstractNumId w:val="21"/>
  </w:num>
  <w:num w:numId="15">
    <w:abstractNumId w:val="24"/>
  </w:num>
  <w:num w:numId="16">
    <w:abstractNumId w:val="5"/>
  </w:num>
  <w:num w:numId="17">
    <w:abstractNumId w:val="14"/>
  </w:num>
  <w:num w:numId="18">
    <w:abstractNumId w:val="27"/>
  </w:num>
  <w:num w:numId="19">
    <w:abstractNumId w:val="12"/>
  </w:num>
  <w:num w:numId="20">
    <w:abstractNumId w:val="11"/>
  </w:num>
  <w:num w:numId="21">
    <w:abstractNumId w:val="2"/>
  </w:num>
  <w:num w:numId="22">
    <w:abstractNumId w:val="7"/>
  </w:num>
  <w:num w:numId="23">
    <w:abstractNumId w:val="31"/>
  </w:num>
  <w:num w:numId="24">
    <w:abstractNumId w:val="4"/>
  </w:num>
  <w:num w:numId="25">
    <w:abstractNumId w:val="25"/>
  </w:num>
  <w:num w:numId="26">
    <w:abstractNumId w:val="10"/>
  </w:num>
  <w:num w:numId="27">
    <w:abstractNumId w:val="8"/>
  </w:num>
  <w:num w:numId="28">
    <w:abstractNumId w:val="1"/>
  </w:num>
  <w:num w:numId="29">
    <w:abstractNumId w:val="26"/>
  </w:num>
  <w:num w:numId="30">
    <w:abstractNumId w:val="32"/>
  </w:num>
  <w:num w:numId="31">
    <w:abstractNumId w:val="6"/>
  </w:num>
  <w:num w:numId="32">
    <w:abstractNumId w:val="33"/>
  </w:num>
  <w:num w:numId="33">
    <w:abstractNumId w:val="15"/>
  </w:num>
  <w:num w:numId="34">
    <w:abstractNumId w:val="0"/>
  </w:num>
  <w:num w:numId="35">
    <w:abstractNumId w:val="9"/>
  </w:num>
  <w:num w:numId="36">
    <w:abstractNumId w:val="35"/>
  </w:num>
  <w:num w:numId="37">
    <w:abstractNumId w:val="38"/>
  </w:num>
  <w:num w:numId="38">
    <w:abstractNumId w:val="16"/>
  </w:num>
  <w:num w:numId="39">
    <w:abstractNumId w:val="1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0E0"/>
    <w:rsid w:val="00002BE1"/>
    <w:rsid w:val="00002CA2"/>
    <w:rsid w:val="00002EB6"/>
    <w:rsid w:val="000038A1"/>
    <w:rsid w:val="00003B27"/>
    <w:rsid w:val="000045D0"/>
    <w:rsid w:val="000060FD"/>
    <w:rsid w:val="00010F10"/>
    <w:rsid w:val="00012E42"/>
    <w:rsid w:val="00014875"/>
    <w:rsid w:val="00014E7A"/>
    <w:rsid w:val="00015156"/>
    <w:rsid w:val="0001621D"/>
    <w:rsid w:val="00016538"/>
    <w:rsid w:val="00016C10"/>
    <w:rsid w:val="00020351"/>
    <w:rsid w:val="0002139C"/>
    <w:rsid w:val="0002193E"/>
    <w:rsid w:val="0002357E"/>
    <w:rsid w:val="00023FE6"/>
    <w:rsid w:val="000246C7"/>
    <w:rsid w:val="00025844"/>
    <w:rsid w:val="000259CA"/>
    <w:rsid w:val="00025A98"/>
    <w:rsid w:val="00025ED1"/>
    <w:rsid w:val="00026C52"/>
    <w:rsid w:val="00026DBA"/>
    <w:rsid w:val="000310BC"/>
    <w:rsid w:val="00032407"/>
    <w:rsid w:val="00036CB3"/>
    <w:rsid w:val="00036D3E"/>
    <w:rsid w:val="000375DF"/>
    <w:rsid w:val="0004038F"/>
    <w:rsid w:val="00040FF2"/>
    <w:rsid w:val="00042214"/>
    <w:rsid w:val="0004407D"/>
    <w:rsid w:val="000447FD"/>
    <w:rsid w:val="00051851"/>
    <w:rsid w:val="00052B8B"/>
    <w:rsid w:val="000549C8"/>
    <w:rsid w:val="000622C3"/>
    <w:rsid w:val="0006316B"/>
    <w:rsid w:val="0006429E"/>
    <w:rsid w:val="00064D31"/>
    <w:rsid w:val="00065700"/>
    <w:rsid w:val="00065EBF"/>
    <w:rsid w:val="00066065"/>
    <w:rsid w:val="0007086E"/>
    <w:rsid w:val="00070D9E"/>
    <w:rsid w:val="0007200A"/>
    <w:rsid w:val="00072CBA"/>
    <w:rsid w:val="00076194"/>
    <w:rsid w:val="0008182B"/>
    <w:rsid w:val="00084303"/>
    <w:rsid w:val="00084444"/>
    <w:rsid w:val="00084AF7"/>
    <w:rsid w:val="00085549"/>
    <w:rsid w:val="00085808"/>
    <w:rsid w:val="0008785A"/>
    <w:rsid w:val="00094586"/>
    <w:rsid w:val="00095C6B"/>
    <w:rsid w:val="000A1180"/>
    <w:rsid w:val="000A2437"/>
    <w:rsid w:val="000A2B80"/>
    <w:rsid w:val="000A47E7"/>
    <w:rsid w:val="000A5A41"/>
    <w:rsid w:val="000A5C81"/>
    <w:rsid w:val="000A63CC"/>
    <w:rsid w:val="000A6445"/>
    <w:rsid w:val="000B0962"/>
    <w:rsid w:val="000B1D22"/>
    <w:rsid w:val="000B3B52"/>
    <w:rsid w:val="000B4DAB"/>
    <w:rsid w:val="000B56F9"/>
    <w:rsid w:val="000B5AB4"/>
    <w:rsid w:val="000B5EB5"/>
    <w:rsid w:val="000B6B43"/>
    <w:rsid w:val="000B6D89"/>
    <w:rsid w:val="000C135F"/>
    <w:rsid w:val="000C488B"/>
    <w:rsid w:val="000C5804"/>
    <w:rsid w:val="000D1DCE"/>
    <w:rsid w:val="000D4CA1"/>
    <w:rsid w:val="000D50E1"/>
    <w:rsid w:val="000D5B97"/>
    <w:rsid w:val="000D7292"/>
    <w:rsid w:val="000E1611"/>
    <w:rsid w:val="000E20D0"/>
    <w:rsid w:val="000E20F0"/>
    <w:rsid w:val="000E2E31"/>
    <w:rsid w:val="000E32BC"/>
    <w:rsid w:val="000E3B06"/>
    <w:rsid w:val="000E3BCE"/>
    <w:rsid w:val="000E3D01"/>
    <w:rsid w:val="000E3EF6"/>
    <w:rsid w:val="000E410F"/>
    <w:rsid w:val="000F0AC4"/>
    <w:rsid w:val="000F26F6"/>
    <w:rsid w:val="000F2BDE"/>
    <w:rsid w:val="000F3928"/>
    <w:rsid w:val="000F40AB"/>
    <w:rsid w:val="000F5D70"/>
    <w:rsid w:val="000F5D76"/>
    <w:rsid w:val="000F74CB"/>
    <w:rsid w:val="000F7B7F"/>
    <w:rsid w:val="0010000A"/>
    <w:rsid w:val="001017C1"/>
    <w:rsid w:val="00101E4A"/>
    <w:rsid w:val="00101E78"/>
    <w:rsid w:val="00104271"/>
    <w:rsid w:val="00104B7A"/>
    <w:rsid w:val="00106136"/>
    <w:rsid w:val="001070D8"/>
    <w:rsid w:val="00107EE8"/>
    <w:rsid w:val="00110E28"/>
    <w:rsid w:val="0011200B"/>
    <w:rsid w:val="00114F22"/>
    <w:rsid w:val="00115A8D"/>
    <w:rsid w:val="001163CE"/>
    <w:rsid w:val="00116513"/>
    <w:rsid w:val="00120891"/>
    <w:rsid w:val="00122CE8"/>
    <w:rsid w:val="001240F8"/>
    <w:rsid w:val="00124147"/>
    <w:rsid w:val="001248FF"/>
    <w:rsid w:val="00124D0A"/>
    <w:rsid w:val="00125435"/>
    <w:rsid w:val="00125AC1"/>
    <w:rsid w:val="00125E8F"/>
    <w:rsid w:val="00126199"/>
    <w:rsid w:val="001271FB"/>
    <w:rsid w:val="0012757E"/>
    <w:rsid w:val="0012762B"/>
    <w:rsid w:val="00130BB8"/>
    <w:rsid w:val="00132E20"/>
    <w:rsid w:val="0013461C"/>
    <w:rsid w:val="00136365"/>
    <w:rsid w:val="00140239"/>
    <w:rsid w:val="00141056"/>
    <w:rsid w:val="0014198A"/>
    <w:rsid w:val="00141AA5"/>
    <w:rsid w:val="00141EA5"/>
    <w:rsid w:val="00142E9A"/>
    <w:rsid w:val="00142EAC"/>
    <w:rsid w:val="00142EC8"/>
    <w:rsid w:val="001509BB"/>
    <w:rsid w:val="001543FE"/>
    <w:rsid w:val="00154858"/>
    <w:rsid w:val="00154B09"/>
    <w:rsid w:val="00154BC9"/>
    <w:rsid w:val="001569BA"/>
    <w:rsid w:val="0016098A"/>
    <w:rsid w:val="001707C1"/>
    <w:rsid w:val="00170AEF"/>
    <w:rsid w:val="00172118"/>
    <w:rsid w:val="00172468"/>
    <w:rsid w:val="001736EB"/>
    <w:rsid w:val="00174DAE"/>
    <w:rsid w:val="00177ED1"/>
    <w:rsid w:val="001808FF"/>
    <w:rsid w:val="0018096A"/>
    <w:rsid w:val="00185499"/>
    <w:rsid w:val="00187F8C"/>
    <w:rsid w:val="001902E7"/>
    <w:rsid w:val="0019287B"/>
    <w:rsid w:val="00194937"/>
    <w:rsid w:val="00197843"/>
    <w:rsid w:val="001979D0"/>
    <w:rsid w:val="001A0CC3"/>
    <w:rsid w:val="001A0DE7"/>
    <w:rsid w:val="001A0E85"/>
    <w:rsid w:val="001A1A50"/>
    <w:rsid w:val="001A2C80"/>
    <w:rsid w:val="001A3389"/>
    <w:rsid w:val="001A622C"/>
    <w:rsid w:val="001A6C6D"/>
    <w:rsid w:val="001B180F"/>
    <w:rsid w:val="001B25F3"/>
    <w:rsid w:val="001B2B4C"/>
    <w:rsid w:val="001B4558"/>
    <w:rsid w:val="001B5735"/>
    <w:rsid w:val="001B6E1B"/>
    <w:rsid w:val="001B7B57"/>
    <w:rsid w:val="001C4363"/>
    <w:rsid w:val="001C44FD"/>
    <w:rsid w:val="001C5BF3"/>
    <w:rsid w:val="001C5C4D"/>
    <w:rsid w:val="001C6322"/>
    <w:rsid w:val="001C7C9C"/>
    <w:rsid w:val="001D2921"/>
    <w:rsid w:val="001D3042"/>
    <w:rsid w:val="001D5851"/>
    <w:rsid w:val="001D7BDD"/>
    <w:rsid w:val="001E03F8"/>
    <w:rsid w:val="001E32AE"/>
    <w:rsid w:val="001E369E"/>
    <w:rsid w:val="001E46B1"/>
    <w:rsid w:val="001E5963"/>
    <w:rsid w:val="001E6E82"/>
    <w:rsid w:val="001F12B8"/>
    <w:rsid w:val="001F1C62"/>
    <w:rsid w:val="001F2C03"/>
    <w:rsid w:val="001F2C8A"/>
    <w:rsid w:val="001F45A2"/>
    <w:rsid w:val="001F719C"/>
    <w:rsid w:val="00203D80"/>
    <w:rsid w:val="00206F30"/>
    <w:rsid w:val="00210785"/>
    <w:rsid w:val="002135D4"/>
    <w:rsid w:val="00215098"/>
    <w:rsid w:val="002175C2"/>
    <w:rsid w:val="00220757"/>
    <w:rsid w:val="00220FBF"/>
    <w:rsid w:val="0022225C"/>
    <w:rsid w:val="002223DF"/>
    <w:rsid w:val="0022435F"/>
    <w:rsid w:val="002267A8"/>
    <w:rsid w:val="00226971"/>
    <w:rsid w:val="00227B95"/>
    <w:rsid w:val="00227DF7"/>
    <w:rsid w:val="00236340"/>
    <w:rsid w:val="0023716F"/>
    <w:rsid w:val="00237B3B"/>
    <w:rsid w:val="00240C55"/>
    <w:rsid w:val="00242514"/>
    <w:rsid w:val="00242DBE"/>
    <w:rsid w:val="002443F4"/>
    <w:rsid w:val="0024695D"/>
    <w:rsid w:val="00247D37"/>
    <w:rsid w:val="00250F60"/>
    <w:rsid w:val="0025508D"/>
    <w:rsid w:val="00255137"/>
    <w:rsid w:val="00256289"/>
    <w:rsid w:val="00256466"/>
    <w:rsid w:val="0026673D"/>
    <w:rsid w:val="00270581"/>
    <w:rsid w:val="00270F8B"/>
    <w:rsid w:val="002721E3"/>
    <w:rsid w:val="00277120"/>
    <w:rsid w:val="00277B7C"/>
    <w:rsid w:val="00277CBD"/>
    <w:rsid w:val="002817AB"/>
    <w:rsid w:val="00283534"/>
    <w:rsid w:val="00283AD3"/>
    <w:rsid w:val="002850F2"/>
    <w:rsid w:val="002858F6"/>
    <w:rsid w:val="002867E6"/>
    <w:rsid w:val="002906F1"/>
    <w:rsid w:val="00290F25"/>
    <w:rsid w:val="002910C7"/>
    <w:rsid w:val="00291906"/>
    <w:rsid w:val="00291F23"/>
    <w:rsid w:val="00292438"/>
    <w:rsid w:val="00293703"/>
    <w:rsid w:val="00294654"/>
    <w:rsid w:val="00296AE9"/>
    <w:rsid w:val="00296EE1"/>
    <w:rsid w:val="00297958"/>
    <w:rsid w:val="002A1E50"/>
    <w:rsid w:val="002A2B17"/>
    <w:rsid w:val="002A5A05"/>
    <w:rsid w:val="002A64CC"/>
    <w:rsid w:val="002A7C0E"/>
    <w:rsid w:val="002B3D5E"/>
    <w:rsid w:val="002B442F"/>
    <w:rsid w:val="002B5036"/>
    <w:rsid w:val="002B50A8"/>
    <w:rsid w:val="002B5CC5"/>
    <w:rsid w:val="002B78B0"/>
    <w:rsid w:val="002C0155"/>
    <w:rsid w:val="002C1F2A"/>
    <w:rsid w:val="002C5E2A"/>
    <w:rsid w:val="002C6600"/>
    <w:rsid w:val="002D2B93"/>
    <w:rsid w:val="002D2EAE"/>
    <w:rsid w:val="002D33DB"/>
    <w:rsid w:val="002D548A"/>
    <w:rsid w:val="002D5FB2"/>
    <w:rsid w:val="002D69CA"/>
    <w:rsid w:val="002D7FAF"/>
    <w:rsid w:val="002E2918"/>
    <w:rsid w:val="002E30DE"/>
    <w:rsid w:val="002E38D5"/>
    <w:rsid w:val="002E44C2"/>
    <w:rsid w:val="002F212D"/>
    <w:rsid w:val="002F4500"/>
    <w:rsid w:val="002F641B"/>
    <w:rsid w:val="002F6FE4"/>
    <w:rsid w:val="0030432D"/>
    <w:rsid w:val="003061BF"/>
    <w:rsid w:val="003119C0"/>
    <w:rsid w:val="00312A1F"/>
    <w:rsid w:val="00313547"/>
    <w:rsid w:val="003164A9"/>
    <w:rsid w:val="003168D2"/>
    <w:rsid w:val="00317464"/>
    <w:rsid w:val="003200D9"/>
    <w:rsid w:val="00322EE6"/>
    <w:rsid w:val="00323522"/>
    <w:rsid w:val="00330E93"/>
    <w:rsid w:val="003331E2"/>
    <w:rsid w:val="00334F00"/>
    <w:rsid w:val="00335C9C"/>
    <w:rsid w:val="00336E96"/>
    <w:rsid w:val="00342C8C"/>
    <w:rsid w:val="003444FC"/>
    <w:rsid w:val="00344610"/>
    <w:rsid w:val="00345FD2"/>
    <w:rsid w:val="0034627A"/>
    <w:rsid w:val="0035105E"/>
    <w:rsid w:val="003517F8"/>
    <w:rsid w:val="00351B04"/>
    <w:rsid w:val="0035459D"/>
    <w:rsid w:val="0035640B"/>
    <w:rsid w:val="00356B3E"/>
    <w:rsid w:val="00360831"/>
    <w:rsid w:val="003622AC"/>
    <w:rsid w:val="003624B6"/>
    <w:rsid w:val="00363295"/>
    <w:rsid w:val="00366FD4"/>
    <w:rsid w:val="003719D8"/>
    <w:rsid w:val="00373797"/>
    <w:rsid w:val="003738C3"/>
    <w:rsid w:val="00375BE3"/>
    <w:rsid w:val="0038599A"/>
    <w:rsid w:val="00385EB6"/>
    <w:rsid w:val="0038636B"/>
    <w:rsid w:val="00387E47"/>
    <w:rsid w:val="003925F2"/>
    <w:rsid w:val="00395E1C"/>
    <w:rsid w:val="003A017E"/>
    <w:rsid w:val="003A1D93"/>
    <w:rsid w:val="003A285D"/>
    <w:rsid w:val="003A2E74"/>
    <w:rsid w:val="003A4602"/>
    <w:rsid w:val="003A5A52"/>
    <w:rsid w:val="003A5F5A"/>
    <w:rsid w:val="003A6B2E"/>
    <w:rsid w:val="003B22A7"/>
    <w:rsid w:val="003B3960"/>
    <w:rsid w:val="003B45AB"/>
    <w:rsid w:val="003C15F8"/>
    <w:rsid w:val="003C694B"/>
    <w:rsid w:val="003D12EE"/>
    <w:rsid w:val="003D43F7"/>
    <w:rsid w:val="003D5FA6"/>
    <w:rsid w:val="003D6FAC"/>
    <w:rsid w:val="003D79E7"/>
    <w:rsid w:val="003D7D14"/>
    <w:rsid w:val="003E08A5"/>
    <w:rsid w:val="003E1CC7"/>
    <w:rsid w:val="003E7263"/>
    <w:rsid w:val="003E7993"/>
    <w:rsid w:val="003E7B34"/>
    <w:rsid w:val="003F21FA"/>
    <w:rsid w:val="003F4ACD"/>
    <w:rsid w:val="003F75C9"/>
    <w:rsid w:val="004029E6"/>
    <w:rsid w:val="004062B6"/>
    <w:rsid w:val="004071F4"/>
    <w:rsid w:val="00407F67"/>
    <w:rsid w:val="00410BDD"/>
    <w:rsid w:val="004123CC"/>
    <w:rsid w:val="00412CEA"/>
    <w:rsid w:val="00414242"/>
    <w:rsid w:val="00416879"/>
    <w:rsid w:val="00420307"/>
    <w:rsid w:val="00424FF2"/>
    <w:rsid w:val="00426C2E"/>
    <w:rsid w:val="00432BE3"/>
    <w:rsid w:val="00432C4E"/>
    <w:rsid w:val="004333B0"/>
    <w:rsid w:val="004423D3"/>
    <w:rsid w:val="00444AB7"/>
    <w:rsid w:val="004459CA"/>
    <w:rsid w:val="004472FB"/>
    <w:rsid w:val="00450174"/>
    <w:rsid w:val="00451ED3"/>
    <w:rsid w:val="004567A0"/>
    <w:rsid w:val="00457DA8"/>
    <w:rsid w:val="00464725"/>
    <w:rsid w:val="00470284"/>
    <w:rsid w:val="004719D9"/>
    <w:rsid w:val="00473AB3"/>
    <w:rsid w:val="00477749"/>
    <w:rsid w:val="0047798C"/>
    <w:rsid w:val="00477E76"/>
    <w:rsid w:val="004841BB"/>
    <w:rsid w:val="00484CB4"/>
    <w:rsid w:val="00486624"/>
    <w:rsid w:val="004873F5"/>
    <w:rsid w:val="00490A0F"/>
    <w:rsid w:val="0049106F"/>
    <w:rsid w:val="00491A09"/>
    <w:rsid w:val="00492250"/>
    <w:rsid w:val="0049225A"/>
    <w:rsid w:val="004925DF"/>
    <w:rsid w:val="0049420F"/>
    <w:rsid w:val="004958EE"/>
    <w:rsid w:val="00495BC4"/>
    <w:rsid w:val="00496034"/>
    <w:rsid w:val="004A1374"/>
    <w:rsid w:val="004A17AA"/>
    <w:rsid w:val="004A40EF"/>
    <w:rsid w:val="004A5188"/>
    <w:rsid w:val="004A518B"/>
    <w:rsid w:val="004B232E"/>
    <w:rsid w:val="004B53F7"/>
    <w:rsid w:val="004B6E0D"/>
    <w:rsid w:val="004C0C0E"/>
    <w:rsid w:val="004C0F3F"/>
    <w:rsid w:val="004C1518"/>
    <w:rsid w:val="004C5619"/>
    <w:rsid w:val="004C5D92"/>
    <w:rsid w:val="004C5E5C"/>
    <w:rsid w:val="004C6243"/>
    <w:rsid w:val="004C673F"/>
    <w:rsid w:val="004D0782"/>
    <w:rsid w:val="004D08FA"/>
    <w:rsid w:val="004D0D20"/>
    <w:rsid w:val="004D2597"/>
    <w:rsid w:val="004D2A85"/>
    <w:rsid w:val="004D2F1E"/>
    <w:rsid w:val="004D34D0"/>
    <w:rsid w:val="004D366D"/>
    <w:rsid w:val="004E0115"/>
    <w:rsid w:val="004E0733"/>
    <w:rsid w:val="004E0AD6"/>
    <w:rsid w:val="004E3724"/>
    <w:rsid w:val="004E4A2A"/>
    <w:rsid w:val="004E727A"/>
    <w:rsid w:val="004F073F"/>
    <w:rsid w:val="004F14C3"/>
    <w:rsid w:val="004F1B58"/>
    <w:rsid w:val="004F33A3"/>
    <w:rsid w:val="004F4CB7"/>
    <w:rsid w:val="004F5814"/>
    <w:rsid w:val="004F65DF"/>
    <w:rsid w:val="00500CD8"/>
    <w:rsid w:val="00500F5C"/>
    <w:rsid w:val="0050188A"/>
    <w:rsid w:val="00502180"/>
    <w:rsid w:val="005025A4"/>
    <w:rsid w:val="00506833"/>
    <w:rsid w:val="0051239D"/>
    <w:rsid w:val="005124C6"/>
    <w:rsid w:val="00512D47"/>
    <w:rsid w:val="00520A35"/>
    <w:rsid w:val="0052327A"/>
    <w:rsid w:val="00524765"/>
    <w:rsid w:val="0052530C"/>
    <w:rsid w:val="005273D2"/>
    <w:rsid w:val="00530F21"/>
    <w:rsid w:val="00531A8F"/>
    <w:rsid w:val="0053523B"/>
    <w:rsid w:val="0053692B"/>
    <w:rsid w:val="00536FD3"/>
    <w:rsid w:val="00537813"/>
    <w:rsid w:val="00537854"/>
    <w:rsid w:val="00541438"/>
    <w:rsid w:val="005432E7"/>
    <w:rsid w:val="00545C3C"/>
    <w:rsid w:val="005468AF"/>
    <w:rsid w:val="00546915"/>
    <w:rsid w:val="005515BE"/>
    <w:rsid w:val="00552A7D"/>
    <w:rsid w:val="00557A04"/>
    <w:rsid w:val="0056269B"/>
    <w:rsid w:val="005631CC"/>
    <w:rsid w:val="00567692"/>
    <w:rsid w:val="00573199"/>
    <w:rsid w:val="00573E39"/>
    <w:rsid w:val="00574C02"/>
    <w:rsid w:val="005759E3"/>
    <w:rsid w:val="0057620E"/>
    <w:rsid w:val="00577254"/>
    <w:rsid w:val="0058031D"/>
    <w:rsid w:val="005809D2"/>
    <w:rsid w:val="00582F76"/>
    <w:rsid w:val="00584712"/>
    <w:rsid w:val="005861F1"/>
    <w:rsid w:val="00591298"/>
    <w:rsid w:val="00593378"/>
    <w:rsid w:val="00594617"/>
    <w:rsid w:val="00594DE0"/>
    <w:rsid w:val="00595C3E"/>
    <w:rsid w:val="005960CF"/>
    <w:rsid w:val="00596660"/>
    <w:rsid w:val="0059707D"/>
    <w:rsid w:val="005A05F5"/>
    <w:rsid w:val="005A1A05"/>
    <w:rsid w:val="005A3D4F"/>
    <w:rsid w:val="005A6936"/>
    <w:rsid w:val="005A76F0"/>
    <w:rsid w:val="005B14FE"/>
    <w:rsid w:val="005B294D"/>
    <w:rsid w:val="005B4200"/>
    <w:rsid w:val="005B5347"/>
    <w:rsid w:val="005B587E"/>
    <w:rsid w:val="005B700A"/>
    <w:rsid w:val="005B7C44"/>
    <w:rsid w:val="005C0AEE"/>
    <w:rsid w:val="005C1286"/>
    <w:rsid w:val="005C73D7"/>
    <w:rsid w:val="005C7A45"/>
    <w:rsid w:val="005D0386"/>
    <w:rsid w:val="005D0585"/>
    <w:rsid w:val="005D26E0"/>
    <w:rsid w:val="005D2838"/>
    <w:rsid w:val="005D399C"/>
    <w:rsid w:val="005D614D"/>
    <w:rsid w:val="005D6C80"/>
    <w:rsid w:val="005D7176"/>
    <w:rsid w:val="005D741F"/>
    <w:rsid w:val="005E3B92"/>
    <w:rsid w:val="005E3D3B"/>
    <w:rsid w:val="005E4B17"/>
    <w:rsid w:val="005E4B50"/>
    <w:rsid w:val="005E4EE2"/>
    <w:rsid w:val="005E50A0"/>
    <w:rsid w:val="005E527F"/>
    <w:rsid w:val="005E543C"/>
    <w:rsid w:val="005E62E7"/>
    <w:rsid w:val="005E7CFD"/>
    <w:rsid w:val="005F3459"/>
    <w:rsid w:val="005F34DF"/>
    <w:rsid w:val="005F3A52"/>
    <w:rsid w:val="005F41D0"/>
    <w:rsid w:val="005F4752"/>
    <w:rsid w:val="005F51C0"/>
    <w:rsid w:val="005F6C0E"/>
    <w:rsid w:val="005F6F69"/>
    <w:rsid w:val="005F7AEE"/>
    <w:rsid w:val="005F7D69"/>
    <w:rsid w:val="0060082E"/>
    <w:rsid w:val="00601011"/>
    <w:rsid w:val="00601840"/>
    <w:rsid w:val="00603036"/>
    <w:rsid w:val="0060646F"/>
    <w:rsid w:val="00607B8B"/>
    <w:rsid w:val="006127EA"/>
    <w:rsid w:val="00612F5C"/>
    <w:rsid w:val="00613611"/>
    <w:rsid w:val="00613AE2"/>
    <w:rsid w:val="006150C8"/>
    <w:rsid w:val="00615223"/>
    <w:rsid w:val="00615BCE"/>
    <w:rsid w:val="00616354"/>
    <w:rsid w:val="00617570"/>
    <w:rsid w:val="00620C20"/>
    <w:rsid w:val="00621D8F"/>
    <w:rsid w:val="006235FD"/>
    <w:rsid w:val="00624AB3"/>
    <w:rsid w:val="00625462"/>
    <w:rsid w:val="0062783A"/>
    <w:rsid w:val="0063190F"/>
    <w:rsid w:val="006338B6"/>
    <w:rsid w:val="00634133"/>
    <w:rsid w:val="00637B60"/>
    <w:rsid w:val="0064306E"/>
    <w:rsid w:val="00653136"/>
    <w:rsid w:val="00653458"/>
    <w:rsid w:val="0065654D"/>
    <w:rsid w:val="0065726D"/>
    <w:rsid w:val="006619F8"/>
    <w:rsid w:val="0066218A"/>
    <w:rsid w:val="00663064"/>
    <w:rsid w:val="0066599B"/>
    <w:rsid w:val="00666DB7"/>
    <w:rsid w:val="006727E6"/>
    <w:rsid w:val="00674FEF"/>
    <w:rsid w:val="00676240"/>
    <w:rsid w:val="00676480"/>
    <w:rsid w:val="0067660D"/>
    <w:rsid w:val="00677C90"/>
    <w:rsid w:val="00680889"/>
    <w:rsid w:val="00686856"/>
    <w:rsid w:val="00690993"/>
    <w:rsid w:val="00691759"/>
    <w:rsid w:val="00693504"/>
    <w:rsid w:val="00694C48"/>
    <w:rsid w:val="006A0C3C"/>
    <w:rsid w:val="006A1FB7"/>
    <w:rsid w:val="006A258A"/>
    <w:rsid w:val="006A317F"/>
    <w:rsid w:val="006A3312"/>
    <w:rsid w:val="006A5AF4"/>
    <w:rsid w:val="006A5BD2"/>
    <w:rsid w:val="006A5E9F"/>
    <w:rsid w:val="006A7471"/>
    <w:rsid w:val="006B06F9"/>
    <w:rsid w:val="006B0C56"/>
    <w:rsid w:val="006B119E"/>
    <w:rsid w:val="006B2339"/>
    <w:rsid w:val="006B7DF7"/>
    <w:rsid w:val="006C012B"/>
    <w:rsid w:val="006C0C7B"/>
    <w:rsid w:val="006C2600"/>
    <w:rsid w:val="006C425D"/>
    <w:rsid w:val="006C429E"/>
    <w:rsid w:val="006C5B67"/>
    <w:rsid w:val="006D2C25"/>
    <w:rsid w:val="006D320A"/>
    <w:rsid w:val="006E1219"/>
    <w:rsid w:val="006E2C52"/>
    <w:rsid w:val="006F36B1"/>
    <w:rsid w:val="006F57DF"/>
    <w:rsid w:val="006F5DEE"/>
    <w:rsid w:val="006F6C9C"/>
    <w:rsid w:val="006F7C8D"/>
    <w:rsid w:val="00700777"/>
    <w:rsid w:val="00700C5A"/>
    <w:rsid w:val="007065BF"/>
    <w:rsid w:val="00706E45"/>
    <w:rsid w:val="0070729C"/>
    <w:rsid w:val="00710FAF"/>
    <w:rsid w:val="00721ABA"/>
    <w:rsid w:val="00721CF8"/>
    <w:rsid w:val="007232B7"/>
    <w:rsid w:val="00726BA2"/>
    <w:rsid w:val="00727E6C"/>
    <w:rsid w:val="0073276A"/>
    <w:rsid w:val="00732815"/>
    <w:rsid w:val="007332DE"/>
    <w:rsid w:val="00733E06"/>
    <w:rsid w:val="007358D7"/>
    <w:rsid w:val="007369D4"/>
    <w:rsid w:val="007373BF"/>
    <w:rsid w:val="00737D3A"/>
    <w:rsid w:val="00740137"/>
    <w:rsid w:val="0074125B"/>
    <w:rsid w:val="007426C8"/>
    <w:rsid w:val="007441D3"/>
    <w:rsid w:val="00744A55"/>
    <w:rsid w:val="00744E3D"/>
    <w:rsid w:val="007461AB"/>
    <w:rsid w:val="00747CB8"/>
    <w:rsid w:val="00750089"/>
    <w:rsid w:val="007512BB"/>
    <w:rsid w:val="00752F76"/>
    <w:rsid w:val="007539B8"/>
    <w:rsid w:val="00753BCC"/>
    <w:rsid w:val="00754046"/>
    <w:rsid w:val="0075431A"/>
    <w:rsid w:val="007554B8"/>
    <w:rsid w:val="0076060D"/>
    <w:rsid w:val="00766D96"/>
    <w:rsid w:val="00767CED"/>
    <w:rsid w:val="0077026E"/>
    <w:rsid w:val="007721F7"/>
    <w:rsid w:val="007739C3"/>
    <w:rsid w:val="007739CD"/>
    <w:rsid w:val="00774F54"/>
    <w:rsid w:val="00776787"/>
    <w:rsid w:val="007773A6"/>
    <w:rsid w:val="00780278"/>
    <w:rsid w:val="00780BA1"/>
    <w:rsid w:val="00781645"/>
    <w:rsid w:val="00783D0D"/>
    <w:rsid w:val="00786332"/>
    <w:rsid w:val="00787C5B"/>
    <w:rsid w:val="00792525"/>
    <w:rsid w:val="00792A1F"/>
    <w:rsid w:val="00794610"/>
    <w:rsid w:val="00794B56"/>
    <w:rsid w:val="007A0AD2"/>
    <w:rsid w:val="007A10F0"/>
    <w:rsid w:val="007A35FF"/>
    <w:rsid w:val="007A38B7"/>
    <w:rsid w:val="007A7089"/>
    <w:rsid w:val="007A729D"/>
    <w:rsid w:val="007A733E"/>
    <w:rsid w:val="007B0A92"/>
    <w:rsid w:val="007B0F86"/>
    <w:rsid w:val="007B2A39"/>
    <w:rsid w:val="007B359E"/>
    <w:rsid w:val="007B3887"/>
    <w:rsid w:val="007B4084"/>
    <w:rsid w:val="007B47A4"/>
    <w:rsid w:val="007B5076"/>
    <w:rsid w:val="007B5687"/>
    <w:rsid w:val="007B5B08"/>
    <w:rsid w:val="007B63EF"/>
    <w:rsid w:val="007B6A44"/>
    <w:rsid w:val="007B7772"/>
    <w:rsid w:val="007B7E4D"/>
    <w:rsid w:val="007C073B"/>
    <w:rsid w:val="007C10D8"/>
    <w:rsid w:val="007C19CB"/>
    <w:rsid w:val="007C2D19"/>
    <w:rsid w:val="007C4B57"/>
    <w:rsid w:val="007C5529"/>
    <w:rsid w:val="007C6DC2"/>
    <w:rsid w:val="007C78A9"/>
    <w:rsid w:val="007C7E8B"/>
    <w:rsid w:val="007D07E0"/>
    <w:rsid w:val="007D164D"/>
    <w:rsid w:val="007D41EE"/>
    <w:rsid w:val="007D4814"/>
    <w:rsid w:val="007D50DE"/>
    <w:rsid w:val="007D74E6"/>
    <w:rsid w:val="007E0308"/>
    <w:rsid w:val="007E2A69"/>
    <w:rsid w:val="007E2D44"/>
    <w:rsid w:val="007E3B1A"/>
    <w:rsid w:val="007E44BA"/>
    <w:rsid w:val="007F0FFD"/>
    <w:rsid w:val="007F2684"/>
    <w:rsid w:val="007F2AA9"/>
    <w:rsid w:val="007F49FC"/>
    <w:rsid w:val="007F67FE"/>
    <w:rsid w:val="007F7C1C"/>
    <w:rsid w:val="007F7CA7"/>
    <w:rsid w:val="00800C4F"/>
    <w:rsid w:val="00800E08"/>
    <w:rsid w:val="00802A0A"/>
    <w:rsid w:val="00803C7B"/>
    <w:rsid w:val="00807063"/>
    <w:rsid w:val="00807250"/>
    <w:rsid w:val="00807DE8"/>
    <w:rsid w:val="00810239"/>
    <w:rsid w:val="0081084E"/>
    <w:rsid w:val="00811DFE"/>
    <w:rsid w:val="00813925"/>
    <w:rsid w:val="00815767"/>
    <w:rsid w:val="00815A1E"/>
    <w:rsid w:val="00815F6A"/>
    <w:rsid w:val="00820299"/>
    <w:rsid w:val="0082050F"/>
    <w:rsid w:val="00820FBF"/>
    <w:rsid w:val="0082140D"/>
    <w:rsid w:val="00822EBD"/>
    <w:rsid w:val="008231C8"/>
    <w:rsid w:val="00824779"/>
    <w:rsid w:val="00824A43"/>
    <w:rsid w:val="00824B37"/>
    <w:rsid w:val="00825EDC"/>
    <w:rsid w:val="00826DA8"/>
    <w:rsid w:val="0082734D"/>
    <w:rsid w:val="0083030C"/>
    <w:rsid w:val="00830EFA"/>
    <w:rsid w:val="0083133B"/>
    <w:rsid w:val="00831856"/>
    <w:rsid w:val="00832767"/>
    <w:rsid w:val="00832AB0"/>
    <w:rsid w:val="00833CE2"/>
    <w:rsid w:val="00835659"/>
    <w:rsid w:val="008359DC"/>
    <w:rsid w:val="00837169"/>
    <w:rsid w:val="0083724E"/>
    <w:rsid w:val="0084032E"/>
    <w:rsid w:val="0084078F"/>
    <w:rsid w:val="00840930"/>
    <w:rsid w:val="00840B65"/>
    <w:rsid w:val="0084242C"/>
    <w:rsid w:val="00844C9E"/>
    <w:rsid w:val="008460DC"/>
    <w:rsid w:val="00846DA6"/>
    <w:rsid w:val="00846E47"/>
    <w:rsid w:val="00851528"/>
    <w:rsid w:val="0085239C"/>
    <w:rsid w:val="00853634"/>
    <w:rsid w:val="00853D4A"/>
    <w:rsid w:val="008572E9"/>
    <w:rsid w:val="00857FA4"/>
    <w:rsid w:val="00863C83"/>
    <w:rsid w:val="008662DB"/>
    <w:rsid w:val="008676A9"/>
    <w:rsid w:val="0086779A"/>
    <w:rsid w:val="0087170F"/>
    <w:rsid w:val="008748F2"/>
    <w:rsid w:val="00881156"/>
    <w:rsid w:val="008816FD"/>
    <w:rsid w:val="008820C5"/>
    <w:rsid w:val="00882365"/>
    <w:rsid w:val="00884F1C"/>
    <w:rsid w:val="008874A3"/>
    <w:rsid w:val="00891186"/>
    <w:rsid w:val="00893BB3"/>
    <w:rsid w:val="008942B1"/>
    <w:rsid w:val="00894E56"/>
    <w:rsid w:val="00897E4B"/>
    <w:rsid w:val="008A0AB8"/>
    <w:rsid w:val="008A0C4D"/>
    <w:rsid w:val="008A121F"/>
    <w:rsid w:val="008A3733"/>
    <w:rsid w:val="008A5B08"/>
    <w:rsid w:val="008A63A5"/>
    <w:rsid w:val="008B1AC1"/>
    <w:rsid w:val="008C00C5"/>
    <w:rsid w:val="008C2B32"/>
    <w:rsid w:val="008C4970"/>
    <w:rsid w:val="008C5CB5"/>
    <w:rsid w:val="008C69C7"/>
    <w:rsid w:val="008C6D86"/>
    <w:rsid w:val="008D11E7"/>
    <w:rsid w:val="008D2EBF"/>
    <w:rsid w:val="008D69D8"/>
    <w:rsid w:val="008E0D0C"/>
    <w:rsid w:val="008E1532"/>
    <w:rsid w:val="008E2843"/>
    <w:rsid w:val="008E30FD"/>
    <w:rsid w:val="008E4105"/>
    <w:rsid w:val="008E6BCF"/>
    <w:rsid w:val="008F1270"/>
    <w:rsid w:val="008F4CE5"/>
    <w:rsid w:val="008F616C"/>
    <w:rsid w:val="008F6625"/>
    <w:rsid w:val="008F773D"/>
    <w:rsid w:val="00902127"/>
    <w:rsid w:val="0090261E"/>
    <w:rsid w:val="009027EA"/>
    <w:rsid w:val="00906BF4"/>
    <w:rsid w:val="009073AF"/>
    <w:rsid w:val="00910713"/>
    <w:rsid w:val="00910D5E"/>
    <w:rsid w:val="00911F6D"/>
    <w:rsid w:val="00914A2A"/>
    <w:rsid w:val="00915DB4"/>
    <w:rsid w:val="009203E6"/>
    <w:rsid w:val="009211B6"/>
    <w:rsid w:val="009246B0"/>
    <w:rsid w:val="00924E58"/>
    <w:rsid w:val="00925CAB"/>
    <w:rsid w:val="00925F08"/>
    <w:rsid w:val="009260FC"/>
    <w:rsid w:val="00927142"/>
    <w:rsid w:val="00927D63"/>
    <w:rsid w:val="00933CBE"/>
    <w:rsid w:val="00936E0E"/>
    <w:rsid w:val="0094385B"/>
    <w:rsid w:val="00943D4B"/>
    <w:rsid w:val="00944ADF"/>
    <w:rsid w:val="00945BAA"/>
    <w:rsid w:val="00945ED8"/>
    <w:rsid w:val="009462ED"/>
    <w:rsid w:val="00946802"/>
    <w:rsid w:val="00946A53"/>
    <w:rsid w:val="00954634"/>
    <w:rsid w:val="00954A13"/>
    <w:rsid w:val="00955CA2"/>
    <w:rsid w:val="00955D58"/>
    <w:rsid w:val="009578C3"/>
    <w:rsid w:val="0096039D"/>
    <w:rsid w:val="00960F7D"/>
    <w:rsid w:val="0096167D"/>
    <w:rsid w:val="00965AA5"/>
    <w:rsid w:val="00966A19"/>
    <w:rsid w:val="0096743B"/>
    <w:rsid w:val="00971371"/>
    <w:rsid w:val="00971469"/>
    <w:rsid w:val="0097429A"/>
    <w:rsid w:val="00976CAD"/>
    <w:rsid w:val="00981041"/>
    <w:rsid w:val="00984191"/>
    <w:rsid w:val="00984502"/>
    <w:rsid w:val="00991043"/>
    <w:rsid w:val="009919DD"/>
    <w:rsid w:val="0099245B"/>
    <w:rsid w:val="00994F57"/>
    <w:rsid w:val="00995146"/>
    <w:rsid w:val="009A020C"/>
    <w:rsid w:val="009A47E4"/>
    <w:rsid w:val="009A67F4"/>
    <w:rsid w:val="009A7DBB"/>
    <w:rsid w:val="009B18BA"/>
    <w:rsid w:val="009B235D"/>
    <w:rsid w:val="009B4DF0"/>
    <w:rsid w:val="009B6997"/>
    <w:rsid w:val="009B7524"/>
    <w:rsid w:val="009C1358"/>
    <w:rsid w:val="009C30FA"/>
    <w:rsid w:val="009C31BE"/>
    <w:rsid w:val="009C3B17"/>
    <w:rsid w:val="009C5FB3"/>
    <w:rsid w:val="009C71EE"/>
    <w:rsid w:val="009D0130"/>
    <w:rsid w:val="009D20A7"/>
    <w:rsid w:val="009D2AE7"/>
    <w:rsid w:val="009D3984"/>
    <w:rsid w:val="009D3EA3"/>
    <w:rsid w:val="009D44A9"/>
    <w:rsid w:val="009D49EA"/>
    <w:rsid w:val="009D7193"/>
    <w:rsid w:val="009D7209"/>
    <w:rsid w:val="009D7A4A"/>
    <w:rsid w:val="009E2F3B"/>
    <w:rsid w:val="009E3118"/>
    <w:rsid w:val="009E5B4B"/>
    <w:rsid w:val="009E63C1"/>
    <w:rsid w:val="009E775E"/>
    <w:rsid w:val="009F10AA"/>
    <w:rsid w:val="00A02920"/>
    <w:rsid w:val="00A02F9A"/>
    <w:rsid w:val="00A05D94"/>
    <w:rsid w:val="00A0601F"/>
    <w:rsid w:val="00A06B6A"/>
    <w:rsid w:val="00A06E3B"/>
    <w:rsid w:val="00A1064C"/>
    <w:rsid w:val="00A12191"/>
    <w:rsid w:val="00A13B22"/>
    <w:rsid w:val="00A14DB6"/>
    <w:rsid w:val="00A20901"/>
    <w:rsid w:val="00A213AB"/>
    <w:rsid w:val="00A23696"/>
    <w:rsid w:val="00A2417D"/>
    <w:rsid w:val="00A254F7"/>
    <w:rsid w:val="00A25AFA"/>
    <w:rsid w:val="00A26355"/>
    <w:rsid w:val="00A26A3A"/>
    <w:rsid w:val="00A3021C"/>
    <w:rsid w:val="00A31806"/>
    <w:rsid w:val="00A32DC0"/>
    <w:rsid w:val="00A33014"/>
    <w:rsid w:val="00A3520F"/>
    <w:rsid w:val="00A366B1"/>
    <w:rsid w:val="00A36815"/>
    <w:rsid w:val="00A40C64"/>
    <w:rsid w:val="00A4237A"/>
    <w:rsid w:val="00A429B7"/>
    <w:rsid w:val="00A42C5B"/>
    <w:rsid w:val="00A4323D"/>
    <w:rsid w:val="00A44516"/>
    <w:rsid w:val="00A4465A"/>
    <w:rsid w:val="00A456BE"/>
    <w:rsid w:val="00A4647D"/>
    <w:rsid w:val="00A47EF2"/>
    <w:rsid w:val="00A51338"/>
    <w:rsid w:val="00A53BDB"/>
    <w:rsid w:val="00A5682C"/>
    <w:rsid w:val="00A5696C"/>
    <w:rsid w:val="00A569D3"/>
    <w:rsid w:val="00A609B3"/>
    <w:rsid w:val="00A6186B"/>
    <w:rsid w:val="00A64157"/>
    <w:rsid w:val="00A71441"/>
    <w:rsid w:val="00A72999"/>
    <w:rsid w:val="00A72CF8"/>
    <w:rsid w:val="00A75A9B"/>
    <w:rsid w:val="00A76870"/>
    <w:rsid w:val="00A77CA0"/>
    <w:rsid w:val="00A82B3F"/>
    <w:rsid w:val="00A830CF"/>
    <w:rsid w:val="00A83989"/>
    <w:rsid w:val="00A85233"/>
    <w:rsid w:val="00A919AA"/>
    <w:rsid w:val="00A91C1D"/>
    <w:rsid w:val="00A9359C"/>
    <w:rsid w:val="00A9383B"/>
    <w:rsid w:val="00A971B0"/>
    <w:rsid w:val="00AA0D10"/>
    <w:rsid w:val="00AA1840"/>
    <w:rsid w:val="00AA1CCE"/>
    <w:rsid w:val="00AA3151"/>
    <w:rsid w:val="00AA3408"/>
    <w:rsid w:val="00AA7B8F"/>
    <w:rsid w:val="00AA7E85"/>
    <w:rsid w:val="00AB0DEB"/>
    <w:rsid w:val="00AB4258"/>
    <w:rsid w:val="00AC0186"/>
    <w:rsid w:val="00AC5D5D"/>
    <w:rsid w:val="00AD0B5A"/>
    <w:rsid w:val="00AD7298"/>
    <w:rsid w:val="00AE3DAD"/>
    <w:rsid w:val="00AE4827"/>
    <w:rsid w:val="00AE5ED7"/>
    <w:rsid w:val="00AE6525"/>
    <w:rsid w:val="00AF0EA3"/>
    <w:rsid w:val="00AF1039"/>
    <w:rsid w:val="00AF1673"/>
    <w:rsid w:val="00AF180A"/>
    <w:rsid w:val="00AF5F00"/>
    <w:rsid w:val="00AF7EAD"/>
    <w:rsid w:val="00B039BA"/>
    <w:rsid w:val="00B03CF4"/>
    <w:rsid w:val="00B04220"/>
    <w:rsid w:val="00B053D2"/>
    <w:rsid w:val="00B06EC4"/>
    <w:rsid w:val="00B1643F"/>
    <w:rsid w:val="00B17236"/>
    <w:rsid w:val="00B2016F"/>
    <w:rsid w:val="00B20E43"/>
    <w:rsid w:val="00B22AE4"/>
    <w:rsid w:val="00B2429F"/>
    <w:rsid w:val="00B24565"/>
    <w:rsid w:val="00B25A16"/>
    <w:rsid w:val="00B270F9"/>
    <w:rsid w:val="00B32718"/>
    <w:rsid w:val="00B3521E"/>
    <w:rsid w:val="00B3547B"/>
    <w:rsid w:val="00B357FB"/>
    <w:rsid w:val="00B35A42"/>
    <w:rsid w:val="00B35A81"/>
    <w:rsid w:val="00B373D3"/>
    <w:rsid w:val="00B41EB0"/>
    <w:rsid w:val="00B43551"/>
    <w:rsid w:val="00B44EDE"/>
    <w:rsid w:val="00B44EE9"/>
    <w:rsid w:val="00B47BD8"/>
    <w:rsid w:val="00B50CE1"/>
    <w:rsid w:val="00B51687"/>
    <w:rsid w:val="00B52787"/>
    <w:rsid w:val="00B53198"/>
    <w:rsid w:val="00B549F8"/>
    <w:rsid w:val="00B57D34"/>
    <w:rsid w:val="00B6132C"/>
    <w:rsid w:val="00B623B1"/>
    <w:rsid w:val="00B63701"/>
    <w:rsid w:val="00B64FD7"/>
    <w:rsid w:val="00B66B0C"/>
    <w:rsid w:val="00B713D7"/>
    <w:rsid w:val="00B7336B"/>
    <w:rsid w:val="00B74179"/>
    <w:rsid w:val="00B74D50"/>
    <w:rsid w:val="00B7511C"/>
    <w:rsid w:val="00B75AE9"/>
    <w:rsid w:val="00B765B0"/>
    <w:rsid w:val="00B76B0C"/>
    <w:rsid w:val="00B801AC"/>
    <w:rsid w:val="00B80F3D"/>
    <w:rsid w:val="00B83152"/>
    <w:rsid w:val="00B8352D"/>
    <w:rsid w:val="00B8768A"/>
    <w:rsid w:val="00B91630"/>
    <w:rsid w:val="00B94938"/>
    <w:rsid w:val="00B952E4"/>
    <w:rsid w:val="00B96CAC"/>
    <w:rsid w:val="00B976F9"/>
    <w:rsid w:val="00B97F85"/>
    <w:rsid w:val="00BA3B37"/>
    <w:rsid w:val="00BA7070"/>
    <w:rsid w:val="00BA78D9"/>
    <w:rsid w:val="00BB25CB"/>
    <w:rsid w:val="00BB319B"/>
    <w:rsid w:val="00BB331A"/>
    <w:rsid w:val="00BC04F8"/>
    <w:rsid w:val="00BC23CA"/>
    <w:rsid w:val="00BC3195"/>
    <w:rsid w:val="00BC3AE7"/>
    <w:rsid w:val="00BC5B9D"/>
    <w:rsid w:val="00BC65E4"/>
    <w:rsid w:val="00BC672F"/>
    <w:rsid w:val="00BC68CC"/>
    <w:rsid w:val="00BC7F41"/>
    <w:rsid w:val="00BD049C"/>
    <w:rsid w:val="00BD0BE6"/>
    <w:rsid w:val="00BD2AA7"/>
    <w:rsid w:val="00BD368E"/>
    <w:rsid w:val="00BE3108"/>
    <w:rsid w:val="00BF2E1F"/>
    <w:rsid w:val="00BF3BF5"/>
    <w:rsid w:val="00BF5567"/>
    <w:rsid w:val="00BF67D6"/>
    <w:rsid w:val="00BF7B23"/>
    <w:rsid w:val="00BF7FE2"/>
    <w:rsid w:val="00C03AB8"/>
    <w:rsid w:val="00C04FDB"/>
    <w:rsid w:val="00C050F1"/>
    <w:rsid w:val="00C11721"/>
    <w:rsid w:val="00C13DCE"/>
    <w:rsid w:val="00C1692F"/>
    <w:rsid w:val="00C17248"/>
    <w:rsid w:val="00C17DE0"/>
    <w:rsid w:val="00C2036F"/>
    <w:rsid w:val="00C21718"/>
    <w:rsid w:val="00C229A9"/>
    <w:rsid w:val="00C22F03"/>
    <w:rsid w:val="00C24CDB"/>
    <w:rsid w:val="00C2570B"/>
    <w:rsid w:val="00C2637C"/>
    <w:rsid w:val="00C301E0"/>
    <w:rsid w:val="00C32275"/>
    <w:rsid w:val="00C340E9"/>
    <w:rsid w:val="00C3510B"/>
    <w:rsid w:val="00C35596"/>
    <w:rsid w:val="00C361BB"/>
    <w:rsid w:val="00C36227"/>
    <w:rsid w:val="00C36F02"/>
    <w:rsid w:val="00C376B0"/>
    <w:rsid w:val="00C41408"/>
    <w:rsid w:val="00C4237A"/>
    <w:rsid w:val="00C42E25"/>
    <w:rsid w:val="00C4726E"/>
    <w:rsid w:val="00C5134D"/>
    <w:rsid w:val="00C51A1A"/>
    <w:rsid w:val="00C51CD9"/>
    <w:rsid w:val="00C52690"/>
    <w:rsid w:val="00C52C3E"/>
    <w:rsid w:val="00C52ED9"/>
    <w:rsid w:val="00C530DC"/>
    <w:rsid w:val="00C53920"/>
    <w:rsid w:val="00C55706"/>
    <w:rsid w:val="00C57636"/>
    <w:rsid w:val="00C579CF"/>
    <w:rsid w:val="00C57E6B"/>
    <w:rsid w:val="00C606BD"/>
    <w:rsid w:val="00C608B7"/>
    <w:rsid w:val="00C6096D"/>
    <w:rsid w:val="00C6156E"/>
    <w:rsid w:val="00C63850"/>
    <w:rsid w:val="00C64220"/>
    <w:rsid w:val="00C649F2"/>
    <w:rsid w:val="00C704D7"/>
    <w:rsid w:val="00C70E01"/>
    <w:rsid w:val="00C714E2"/>
    <w:rsid w:val="00C73FC1"/>
    <w:rsid w:val="00C74FE4"/>
    <w:rsid w:val="00C76406"/>
    <w:rsid w:val="00C7796F"/>
    <w:rsid w:val="00C77B82"/>
    <w:rsid w:val="00C81B70"/>
    <w:rsid w:val="00C87671"/>
    <w:rsid w:val="00C91AF6"/>
    <w:rsid w:val="00C93C56"/>
    <w:rsid w:val="00C95C78"/>
    <w:rsid w:val="00C96424"/>
    <w:rsid w:val="00CA2053"/>
    <w:rsid w:val="00CA24A2"/>
    <w:rsid w:val="00CA301D"/>
    <w:rsid w:val="00CA34B5"/>
    <w:rsid w:val="00CA44B8"/>
    <w:rsid w:val="00CA4AA4"/>
    <w:rsid w:val="00CA5CA1"/>
    <w:rsid w:val="00CA60BD"/>
    <w:rsid w:val="00CA7A5F"/>
    <w:rsid w:val="00CB0E65"/>
    <w:rsid w:val="00CB21A5"/>
    <w:rsid w:val="00CB41D3"/>
    <w:rsid w:val="00CB4AC8"/>
    <w:rsid w:val="00CB4BC2"/>
    <w:rsid w:val="00CB561E"/>
    <w:rsid w:val="00CB7F4A"/>
    <w:rsid w:val="00CC061E"/>
    <w:rsid w:val="00CC21BC"/>
    <w:rsid w:val="00CC47F1"/>
    <w:rsid w:val="00CC4939"/>
    <w:rsid w:val="00CC5380"/>
    <w:rsid w:val="00CC5467"/>
    <w:rsid w:val="00CC6F20"/>
    <w:rsid w:val="00CD2B8B"/>
    <w:rsid w:val="00CD2D16"/>
    <w:rsid w:val="00CD33E3"/>
    <w:rsid w:val="00CD57D7"/>
    <w:rsid w:val="00CD7F97"/>
    <w:rsid w:val="00CE0E16"/>
    <w:rsid w:val="00CE1876"/>
    <w:rsid w:val="00CE1E72"/>
    <w:rsid w:val="00CE2832"/>
    <w:rsid w:val="00CE3F94"/>
    <w:rsid w:val="00CF1A6C"/>
    <w:rsid w:val="00CF31BF"/>
    <w:rsid w:val="00CF353C"/>
    <w:rsid w:val="00CF363F"/>
    <w:rsid w:val="00CF7C46"/>
    <w:rsid w:val="00D00242"/>
    <w:rsid w:val="00D00A54"/>
    <w:rsid w:val="00D03707"/>
    <w:rsid w:val="00D0413A"/>
    <w:rsid w:val="00D05A61"/>
    <w:rsid w:val="00D05DC6"/>
    <w:rsid w:val="00D07140"/>
    <w:rsid w:val="00D10EBD"/>
    <w:rsid w:val="00D12303"/>
    <w:rsid w:val="00D12D6E"/>
    <w:rsid w:val="00D137FF"/>
    <w:rsid w:val="00D1693A"/>
    <w:rsid w:val="00D16D00"/>
    <w:rsid w:val="00D17F32"/>
    <w:rsid w:val="00D21DC0"/>
    <w:rsid w:val="00D23959"/>
    <w:rsid w:val="00D240DF"/>
    <w:rsid w:val="00D240E0"/>
    <w:rsid w:val="00D2548A"/>
    <w:rsid w:val="00D26E12"/>
    <w:rsid w:val="00D27292"/>
    <w:rsid w:val="00D27527"/>
    <w:rsid w:val="00D3674A"/>
    <w:rsid w:val="00D40866"/>
    <w:rsid w:val="00D42A30"/>
    <w:rsid w:val="00D43797"/>
    <w:rsid w:val="00D44AC8"/>
    <w:rsid w:val="00D44C1E"/>
    <w:rsid w:val="00D44F83"/>
    <w:rsid w:val="00D46414"/>
    <w:rsid w:val="00D4739C"/>
    <w:rsid w:val="00D47DF6"/>
    <w:rsid w:val="00D53A3E"/>
    <w:rsid w:val="00D56768"/>
    <w:rsid w:val="00D56EB0"/>
    <w:rsid w:val="00D61460"/>
    <w:rsid w:val="00D61DDD"/>
    <w:rsid w:val="00D620B4"/>
    <w:rsid w:val="00D63883"/>
    <w:rsid w:val="00D64439"/>
    <w:rsid w:val="00D6529D"/>
    <w:rsid w:val="00D70043"/>
    <w:rsid w:val="00D70C8E"/>
    <w:rsid w:val="00D71CA1"/>
    <w:rsid w:val="00D721D5"/>
    <w:rsid w:val="00D72D7C"/>
    <w:rsid w:val="00D7355A"/>
    <w:rsid w:val="00D735ED"/>
    <w:rsid w:val="00D741DB"/>
    <w:rsid w:val="00D743C4"/>
    <w:rsid w:val="00D7468E"/>
    <w:rsid w:val="00D752CF"/>
    <w:rsid w:val="00D75B4A"/>
    <w:rsid w:val="00D76630"/>
    <w:rsid w:val="00D772E9"/>
    <w:rsid w:val="00D800DE"/>
    <w:rsid w:val="00D802B9"/>
    <w:rsid w:val="00D80D52"/>
    <w:rsid w:val="00D810C7"/>
    <w:rsid w:val="00D84915"/>
    <w:rsid w:val="00D91B3C"/>
    <w:rsid w:val="00D928C1"/>
    <w:rsid w:val="00D939B7"/>
    <w:rsid w:val="00D952C2"/>
    <w:rsid w:val="00D96F4E"/>
    <w:rsid w:val="00D971FB"/>
    <w:rsid w:val="00D972CE"/>
    <w:rsid w:val="00D979AE"/>
    <w:rsid w:val="00DA2270"/>
    <w:rsid w:val="00DA28A8"/>
    <w:rsid w:val="00DA5665"/>
    <w:rsid w:val="00DB0505"/>
    <w:rsid w:val="00DB1740"/>
    <w:rsid w:val="00DB23EA"/>
    <w:rsid w:val="00DB367F"/>
    <w:rsid w:val="00DB4CC1"/>
    <w:rsid w:val="00DB66D5"/>
    <w:rsid w:val="00DB6C1C"/>
    <w:rsid w:val="00DC0156"/>
    <w:rsid w:val="00DC0324"/>
    <w:rsid w:val="00DC207D"/>
    <w:rsid w:val="00DC2512"/>
    <w:rsid w:val="00DC2755"/>
    <w:rsid w:val="00DC38F9"/>
    <w:rsid w:val="00DC3938"/>
    <w:rsid w:val="00DC5499"/>
    <w:rsid w:val="00DC6F9F"/>
    <w:rsid w:val="00DD0EFC"/>
    <w:rsid w:val="00DD145F"/>
    <w:rsid w:val="00DD192F"/>
    <w:rsid w:val="00DD3FD2"/>
    <w:rsid w:val="00DD409C"/>
    <w:rsid w:val="00DD4370"/>
    <w:rsid w:val="00DD46A5"/>
    <w:rsid w:val="00DD6237"/>
    <w:rsid w:val="00DD7058"/>
    <w:rsid w:val="00DD71DA"/>
    <w:rsid w:val="00DE193C"/>
    <w:rsid w:val="00DE1A19"/>
    <w:rsid w:val="00DE2A1F"/>
    <w:rsid w:val="00DE5D26"/>
    <w:rsid w:val="00DE6327"/>
    <w:rsid w:val="00DE66A7"/>
    <w:rsid w:val="00DF0834"/>
    <w:rsid w:val="00DF1610"/>
    <w:rsid w:val="00DF2A7F"/>
    <w:rsid w:val="00DF4F2F"/>
    <w:rsid w:val="00DF5149"/>
    <w:rsid w:val="00DF5AE4"/>
    <w:rsid w:val="00DF6B77"/>
    <w:rsid w:val="00DF78A5"/>
    <w:rsid w:val="00E00142"/>
    <w:rsid w:val="00E00469"/>
    <w:rsid w:val="00E010B7"/>
    <w:rsid w:val="00E0246A"/>
    <w:rsid w:val="00E02554"/>
    <w:rsid w:val="00E02600"/>
    <w:rsid w:val="00E02E6B"/>
    <w:rsid w:val="00E07712"/>
    <w:rsid w:val="00E07B41"/>
    <w:rsid w:val="00E10270"/>
    <w:rsid w:val="00E123D1"/>
    <w:rsid w:val="00E127C8"/>
    <w:rsid w:val="00E13CA0"/>
    <w:rsid w:val="00E148EC"/>
    <w:rsid w:val="00E14CC1"/>
    <w:rsid w:val="00E16107"/>
    <w:rsid w:val="00E1626E"/>
    <w:rsid w:val="00E21B6C"/>
    <w:rsid w:val="00E21C77"/>
    <w:rsid w:val="00E22112"/>
    <w:rsid w:val="00E249BC"/>
    <w:rsid w:val="00E24CFC"/>
    <w:rsid w:val="00E253D3"/>
    <w:rsid w:val="00E25AA8"/>
    <w:rsid w:val="00E30DC3"/>
    <w:rsid w:val="00E3276C"/>
    <w:rsid w:val="00E33891"/>
    <w:rsid w:val="00E33BF3"/>
    <w:rsid w:val="00E35510"/>
    <w:rsid w:val="00E359DC"/>
    <w:rsid w:val="00E3601D"/>
    <w:rsid w:val="00E36449"/>
    <w:rsid w:val="00E36C31"/>
    <w:rsid w:val="00E375E9"/>
    <w:rsid w:val="00E417CE"/>
    <w:rsid w:val="00E43DA4"/>
    <w:rsid w:val="00E44B0C"/>
    <w:rsid w:val="00E44CD9"/>
    <w:rsid w:val="00E452E6"/>
    <w:rsid w:val="00E45DD0"/>
    <w:rsid w:val="00E46A9B"/>
    <w:rsid w:val="00E46E87"/>
    <w:rsid w:val="00E50C4A"/>
    <w:rsid w:val="00E50EE8"/>
    <w:rsid w:val="00E515A9"/>
    <w:rsid w:val="00E5381E"/>
    <w:rsid w:val="00E54CA5"/>
    <w:rsid w:val="00E55132"/>
    <w:rsid w:val="00E631AF"/>
    <w:rsid w:val="00E674E8"/>
    <w:rsid w:val="00E71002"/>
    <w:rsid w:val="00E7348B"/>
    <w:rsid w:val="00E756DC"/>
    <w:rsid w:val="00E77362"/>
    <w:rsid w:val="00E77801"/>
    <w:rsid w:val="00E77E0E"/>
    <w:rsid w:val="00E805FF"/>
    <w:rsid w:val="00E80A3A"/>
    <w:rsid w:val="00E8301B"/>
    <w:rsid w:val="00E95D4F"/>
    <w:rsid w:val="00E9794B"/>
    <w:rsid w:val="00EA0C00"/>
    <w:rsid w:val="00EA126A"/>
    <w:rsid w:val="00EA20A0"/>
    <w:rsid w:val="00EA47A8"/>
    <w:rsid w:val="00EA539C"/>
    <w:rsid w:val="00EA65F2"/>
    <w:rsid w:val="00EA7512"/>
    <w:rsid w:val="00EB12FB"/>
    <w:rsid w:val="00EB291F"/>
    <w:rsid w:val="00EB2D3F"/>
    <w:rsid w:val="00EB4856"/>
    <w:rsid w:val="00EB6380"/>
    <w:rsid w:val="00EB6686"/>
    <w:rsid w:val="00EC1600"/>
    <w:rsid w:val="00EC173D"/>
    <w:rsid w:val="00EC3FB9"/>
    <w:rsid w:val="00EC4CFE"/>
    <w:rsid w:val="00EC5D10"/>
    <w:rsid w:val="00EC6904"/>
    <w:rsid w:val="00EC7E1C"/>
    <w:rsid w:val="00ED0DD9"/>
    <w:rsid w:val="00ED3225"/>
    <w:rsid w:val="00ED5252"/>
    <w:rsid w:val="00ED6AD1"/>
    <w:rsid w:val="00EE1CA9"/>
    <w:rsid w:val="00EE2CB4"/>
    <w:rsid w:val="00EE52BA"/>
    <w:rsid w:val="00EE60B9"/>
    <w:rsid w:val="00EE6560"/>
    <w:rsid w:val="00EF068C"/>
    <w:rsid w:val="00EF7671"/>
    <w:rsid w:val="00F00AFC"/>
    <w:rsid w:val="00F010E5"/>
    <w:rsid w:val="00F036C0"/>
    <w:rsid w:val="00F0519D"/>
    <w:rsid w:val="00F05EE7"/>
    <w:rsid w:val="00F11FD6"/>
    <w:rsid w:val="00F12D36"/>
    <w:rsid w:val="00F13ACC"/>
    <w:rsid w:val="00F14529"/>
    <w:rsid w:val="00F15105"/>
    <w:rsid w:val="00F15A25"/>
    <w:rsid w:val="00F20008"/>
    <w:rsid w:val="00F207C5"/>
    <w:rsid w:val="00F21560"/>
    <w:rsid w:val="00F23563"/>
    <w:rsid w:val="00F23840"/>
    <w:rsid w:val="00F25379"/>
    <w:rsid w:val="00F30C0C"/>
    <w:rsid w:val="00F3302B"/>
    <w:rsid w:val="00F35817"/>
    <w:rsid w:val="00F35BC2"/>
    <w:rsid w:val="00F36B5B"/>
    <w:rsid w:val="00F37142"/>
    <w:rsid w:val="00F412AA"/>
    <w:rsid w:val="00F41334"/>
    <w:rsid w:val="00F41B59"/>
    <w:rsid w:val="00F4287F"/>
    <w:rsid w:val="00F43671"/>
    <w:rsid w:val="00F43E41"/>
    <w:rsid w:val="00F44FD0"/>
    <w:rsid w:val="00F4593F"/>
    <w:rsid w:val="00F46C1B"/>
    <w:rsid w:val="00F532AC"/>
    <w:rsid w:val="00F55E6F"/>
    <w:rsid w:val="00F55EAB"/>
    <w:rsid w:val="00F56157"/>
    <w:rsid w:val="00F62F69"/>
    <w:rsid w:val="00F63AC7"/>
    <w:rsid w:val="00F66F71"/>
    <w:rsid w:val="00F67211"/>
    <w:rsid w:val="00F674C1"/>
    <w:rsid w:val="00F674F6"/>
    <w:rsid w:val="00F67B44"/>
    <w:rsid w:val="00F67D32"/>
    <w:rsid w:val="00F719DA"/>
    <w:rsid w:val="00F71B3E"/>
    <w:rsid w:val="00F71DA9"/>
    <w:rsid w:val="00F742A3"/>
    <w:rsid w:val="00F74B47"/>
    <w:rsid w:val="00F75A39"/>
    <w:rsid w:val="00F76FA9"/>
    <w:rsid w:val="00F8317E"/>
    <w:rsid w:val="00F83F69"/>
    <w:rsid w:val="00F8678F"/>
    <w:rsid w:val="00F87467"/>
    <w:rsid w:val="00F87BA0"/>
    <w:rsid w:val="00F87D48"/>
    <w:rsid w:val="00F87DA2"/>
    <w:rsid w:val="00F90E29"/>
    <w:rsid w:val="00F91B84"/>
    <w:rsid w:val="00F92FA9"/>
    <w:rsid w:val="00F93A3A"/>
    <w:rsid w:val="00F93B3B"/>
    <w:rsid w:val="00F96C85"/>
    <w:rsid w:val="00FA03A1"/>
    <w:rsid w:val="00FA03C8"/>
    <w:rsid w:val="00FA2575"/>
    <w:rsid w:val="00FC2657"/>
    <w:rsid w:val="00FC537E"/>
    <w:rsid w:val="00FC7567"/>
    <w:rsid w:val="00FC767C"/>
    <w:rsid w:val="00FC7A55"/>
    <w:rsid w:val="00FD1731"/>
    <w:rsid w:val="00FD1D36"/>
    <w:rsid w:val="00FD308A"/>
    <w:rsid w:val="00FD3AF6"/>
    <w:rsid w:val="00FE1956"/>
    <w:rsid w:val="00FE4819"/>
    <w:rsid w:val="00FE659F"/>
    <w:rsid w:val="00FE7ABB"/>
    <w:rsid w:val="00FF1717"/>
    <w:rsid w:val="00FF1CFF"/>
    <w:rsid w:val="00FF2CD6"/>
    <w:rsid w:val="00FF5921"/>
    <w:rsid w:val="00FF658F"/>
    <w:rsid w:val="00FF6B70"/>
    <w:rsid w:val="00FF7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BD2"/>
  </w:style>
  <w:style w:type="paragraph" w:styleId="Heading1">
    <w:name w:val="heading 1"/>
    <w:basedOn w:val="Normal"/>
    <w:next w:val="Normal"/>
    <w:link w:val="Heading1Char"/>
    <w:uiPriority w:val="9"/>
    <w:qFormat/>
    <w:rsid w:val="009271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BCE"/>
  </w:style>
  <w:style w:type="paragraph" w:styleId="Footer">
    <w:name w:val="footer"/>
    <w:basedOn w:val="Normal"/>
    <w:link w:val="FooterChar"/>
    <w:uiPriority w:val="99"/>
    <w:unhideWhenUsed/>
    <w:rsid w:val="00615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BCE"/>
  </w:style>
  <w:style w:type="paragraph" w:styleId="FootnoteText">
    <w:name w:val="footnote text"/>
    <w:basedOn w:val="Normal"/>
    <w:link w:val="FootnoteTextChar"/>
    <w:uiPriority w:val="99"/>
    <w:unhideWhenUsed/>
    <w:rsid w:val="0099245B"/>
    <w:pPr>
      <w:spacing w:after="0" w:line="240" w:lineRule="auto"/>
    </w:pPr>
    <w:rPr>
      <w:sz w:val="20"/>
      <w:szCs w:val="20"/>
    </w:rPr>
  </w:style>
  <w:style w:type="character" w:customStyle="1" w:styleId="FootnoteTextChar">
    <w:name w:val="Footnote Text Char"/>
    <w:basedOn w:val="DefaultParagraphFont"/>
    <w:link w:val="FootnoteText"/>
    <w:uiPriority w:val="99"/>
    <w:rsid w:val="0099245B"/>
    <w:rPr>
      <w:sz w:val="20"/>
      <w:szCs w:val="20"/>
    </w:rPr>
  </w:style>
  <w:style w:type="character" w:styleId="FootnoteReference">
    <w:name w:val="footnote reference"/>
    <w:basedOn w:val="DefaultParagraphFont"/>
    <w:uiPriority w:val="99"/>
    <w:semiHidden/>
    <w:unhideWhenUsed/>
    <w:rsid w:val="0099245B"/>
    <w:rPr>
      <w:vertAlign w:val="superscript"/>
    </w:rPr>
  </w:style>
  <w:style w:type="character" w:styleId="Hyperlink">
    <w:name w:val="Hyperlink"/>
    <w:basedOn w:val="DefaultParagraphFont"/>
    <w:uiPriority w:val="99"/>
    <w:unhideWhenUsed/>
    <w:rsid w:val="00015156"/>
    <w:rPr>
      <w:color w:val="0000FF" w:themeColor="hyperlink"/>
      <w:u w:val="single"/>
    </w:rPr>
  </w:style>
  <w:style w:type="paragraph" w:styleId="ListParagraph">
    <w:name w:val="List Paragraph"/>
    <w:basedOn w:val="Normal"/>
    <w:uiPriority w:val="34"/>
    <w:qFormat/>
    <w:rsid w:val="00BB25CB"/>
    <w:pPr>
      <w:ind w:left="720"/>
      <w:contextualSpacing/>
    </w:pPr>
  </w:style>
  <w:style w:type="table" w:styleId="TableGrid">
    <w:name w:val="Table Grid"/>
    <w:basedOn w:val="TableNormal"/>
    <w:uiPriority w:val="99"/>
    <w:rsid w:val="00BC3AE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714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95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BC4"/>
    <w:rPr>
      <w:rFonts w:ascii="Tahoma" w:hAnsi="Tahoma" w:cs="Tahoma"/>
      <w:sz w:val="16"/>
      <w:szCs w:val="16"/>
    </w:rPr>
  </w:style>
  <w:style w:type="paragraph" w:styleId="EndnoteText">
    <w:name w:val="endnote text"/>
    <w:basedOn w:val="Normal"/>
    <w:link w:val="EndnoteTextChar"/>
    <w:uiPriority w:val="99"/>
    <w:semiHidden/>
    <w:unhideWhenUsed/>
    <w:rsid w:val="00945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5BAA"/>
    <w:rPr>
      <w:sz w:val="20"/>
      <w:szCs w:val="20"/>
    </w:rPr>
  </w:style>
  <w:style w:type="character" w:styleId="EndnoteReference">
    <w:name w:val="endnote reference"/>
    <w:basedOn w:val="DefaultParagraphFont"/>
    <w:uiPriority w:val="99"/>
    <w:semiHidden/>
    <w:unhideWhenUsed/>
    <w:rsid w:val="00945BAA"/>
    <w:rPr>
      <w:vertAlign w:val="superscript"/>
    </w:rPr>
  </w:style>
  <w:style w:type="character" w:styleId="FollowedHyperlink">
    <w:name w:val="FollowedHyperlink"/>
    <w:basedOn w:val="DefaultParagraphFont"/>
    <w:uiPriority w:val="99"/>
    <w:semiHidden/>
    <w:unhideWhenUsed/>
    <w:rsid w:val="00DB4CC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BD2"/>
  </w:style>
  <w:style w:type="paragraph" w:styleId="Heading1">
    <w:name w:val="heading 1"/>
    <w:basedOn w:val="Normal"/>
    <w:next w:val="Normal"/>
    <w:link w:val="Heading1Char"/>
    <w:uiPriority w:val="9"/>
    <w:qFormat/>
    <w:rsid w:val="009271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5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BCE"/>
  </w:style>
  <w:style w:type="paragraph" w:styleId="Footer">
    <w:name w:val="footer"/>
    <w:basedOn w:val="Normal"/>
    <w:link w:val="FooterChar"/>
    <w:uiPriority w:val="99"/>
    <w:unhideWhenUsed/>
    <w:rsid w:val="00615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BCE"/>
  </w:style>
  <w:style w:type="paragraph" w:styleId="FootnoteText">
    <w:name w:val="footnote text"/>
    <w:basedOn w:val="Normal"/>
    <w:link w:val="FootnoteTextChar"/>
    <w:uiPriority w:val="99"/>
    <w:unhideWhenUsed/>
    <w:rsid w:val="0099245B"/>
    <w:pPr>
      <w:spacing w:after="0" w:line="240" w:lineRule="auto"/>
    </w:pPr>
    <w:rPr>
      <w:sz w:val="20"/>
      <w:szCs w:val="20"/>
    </w:rPr>
  </w:style>
  <w:style w:type="character" w:customStyle="1" w:styleId="FootnoteTextChar">
    <w:name w:val="Footnote Text Char"/>
    <w:basedOn w:val="DefaultParagraphFont"/>
    <w:link w:val="FootnoteText"/>
    <w:uiPriority w:val="99"/>
    <w:rsid w:val="0099245B"/>
    <w:rPr>
      <w:sz w:val="20"/>
      <w:szCs w:val="20"/>
    </w:rPr>
  </w:style>
  <w:style w:type="character" w:styleId="FootnoteReference">
    <w:name w:val="footnote reference"/>
    <w:basedOn w:val="DefaultParagraphFont"/>
    <w:uiPriority w:val="99"/>
    <w:semiHidden/>
    <w:unhideWhenUsed/>
    <w:rsid w:val="0099245B"/>
    <w:rPr>
      <w:vertAlign w:val="superscript"/>
    </w:rPr>
  </w:style>
  <w:style w:type="character" w:styleId="Hyperlink">
    <w:name w:val="Hyperlink"/>
    <w:basedOn w:val="DefaultParagraphFont"/>
    <w:uiPriority w:val="99"/>
    <w:unhideWhenUsed/>
    <w:rsid w:val="00015156"/>
    <w:rPr>
      <w:color w:val="0000FF" w:themeColor="hyperlink"/>
      <w:u w:val="single"/>
    </w:rPr>
  </w:style>
  <w:style w:type="paragraph" w:styleId="ListParagraph">
    <w:name w:val="List Paragraph"/>
    <w:basedOn w:val="Normal"/>
    <w:uiPriority w:val="34"/>
    <w:qFormat/>
    <w:rsid w:val="00BB25CB"/>
    <w:pPr>
      <w:ind w:left="720"/>
      <w:contextualSpacing/>
    </w:pPr>
  </w:style>
  <w:style w:type="table" w:styleId="TableGrid">
    <w:name w:val="Table Grid"/>
    <w:basedOn w:val="TableNormal"/>
    <w:uiPriority w:val="99"/>
    <w:rsid w:val="00BC3AE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714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95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BC4"/>
    <w:rPr>
      <w:rFonts w:ascii="Tahoma" w:hAnsi="Tahoma" w:cs="Tahoma"/>
      <w:sz w:val="16"/>
      <w:szCs w:val="16"/>
    </w:rPr>
  </w:style>
  <w:style w:type="paragraph" w:styleId="EndnoteText">
    <w:name w:val="endnote text"/>
    <w:basedOn w:val="Normal"/>
    <w:link w:val="EndnoteTextChar"/>
    <w:uiPriority w:val="99"/>
    <w:semiHidden/>
    <w:unhideWhenUsed/>
    <w:rsid w:val="00945B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5BAA"/>
    <w:rPr>
      <w:sz w:val="20"/>
      <w:szCs w:val="20"/>
    </w:rPr>
  </w:style>
  <w:style w:type="character" w:styleId="EndnoteReference">
    <w:name w:val="endnote reference"/>
    <w:basedOn w:val="DefaultParagraphFont"/>
    <w:uiPriority w:val="99"/>
    <w:semiHidden/>
    <w:unhideWhenUsed/>
    <w:rsid w:val="00945BAA"/>
    <w:rPr>
      <w:vertAlign w:val="superscript"/>
    </w:rPr>
  </w:style>
  <w:style w:type="character" w:styleId="FollowedHyperlink">
    <w:name w:val="FollowedHyperlink"/>
    <w:basedOn w:val="DefaultParagraphFont"/>
    <w:uiPriority w:val="99"/>
    <w:semiHidden/>
    <w:unhideWhenUsed/>
    <w:rsid w:val="00DB4C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840488">
      <w:bodyDiv w:val="1"/>
      <w:marLeft w:val="0"/>
      <w:marRight w:val="0"/>
      <w:marTop w:val="0"/>
      <w:marBottom w:val="0"/>
      <w:divBdr>
        <w:top w:val="none" w:sz="0" w:space="0" w:color="auto"/>
        <w:left w:val="none" w:sz="0" w:space="0" w:color="auto"/>
        <w:bottom w:val="none" w:sz="0" w:space="0" w:color="auto"/>
        <w:right w:val="none" w:sz="0" w:space="0" w:color="auto"/>
      </w:divBdr>
    </w:div>
    <w:div w:id="16460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opa.eu/rapid/press-release_MEMO-15-6153_en.htm" TargetMode="External"/><Relationship Id="rId18" Type="http://schemas.openxmlformats.org/officeDocument/2006/relationships/hyperlink" Target="http://blogs.faz.net/fazit/2016/02/08/an-insurance-scheme-that-only-ensures-problems-729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nsilium.europa.eu/uedocs/cms_Data/docs/pressdata/en/ec/125644.pdf" TargetMode="External"/><Relationship Id="rId17" Type="http://schemas.openxmlformats.org/officeDocument/2006/relationships/hyperlink" Target="http://ecpm.info/news/five-presidents-report-undermining-national-democracy" TargetMode="External"/><Relationship Id="rId2" Type="http://schemas.openxmlformats.org/officeDocument/2006/relationships/numbering" Target="numbering.xml"/><Relationship Id="rId16" Type="http://schemas.openxmlformats.org/officeDocument/2006/relationships/hyperlink" Target="http://www.europarl.europa.eu/thinktank/en/document.html?reference=EPRS_BRI(2016)57909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ruegel.org/2016/03/a-proposal-to-revive-the-european-fiscal-framework/" TargetMode="External"/><Relationship Id="rId5" Type="http://schemas.openxmlformats.org/officeDocument/2006/relationships/settings" Target="settings.xml"/><Relationship Id="rId15" Type="http://schemas.openxmlformats.org/officeDocument/2006/relationships/hyperlink" Target="http://ec.europa.eu/epsc/pdf/publications/5p_note_edis.pdf" TargetMode="External"/><Relationship Id="rId10" Type="http://schemas.openxmlformats.org/officeDocument/2006/relationships/hyperlink" Target="http://blogs.lse.ac.uk/europpblog/2015/06/23/what-does-the-five-presidents-report-mean-for-the-future-of-the-euro/" TargetMode="External"/><Relationship Id="rId19" Type="http://schemas.openxmlformats.org/officeDocument/2006/relationships/hyperlink" Target="http://bruegel.org/2015/06/euro-area-governance-an-assessment-of-the-five-presidents-report/" TargetMode="External"/><Relationship Id="rId4" Type="http://schemas.microsoft.com/office/2007/relationships/stylesWithEffects" Target="stylesWithEffects.xml"/><Relationship Id="rId9" Type="http://schemas.openxmlformats.org/officeDocument/2006/relationships/hyperlink" Target="http://eur-lex.europa.eu/legal-content/EN/AUTO/?uri=celex:12012M005" TargetMode="External"/><Relationship Id="rId14" Type="http://schemas.openxmlformats.org/officeDocument/2006/relationships/hyperlink" Target="https://ec.europa.eu/priorities/sites/beta-political/files/factsheet-efb_en.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uroparl.europa.eu/thinktank/en/document.html?reference=EPRS_BRI(2016)579090" TargetMode="External"/><Relationship Id="rId2" Type="http://schemas.openxmlformats.org/officeDocument/2006/relationships/hyperlink" Target="http://blogs.lse.ac.uk/europpblog/2015/06/23/what-does-the-five-presidents-report-mean-for-the-future-of-the-euro/" TargetMode="External"/><Relationship Id="rId1" Type="http://schemas.openxmlformats.org/officeDocument/2006/relationships/hyperlink" Target="http://www.consilium.europa.eu/uedocs/cms_Data/docs/pressdata/en/ec/125644.pdf" TargetMode="External"/><Relationship Id="rId6" Type="http://schemas.openxmlformats.org/officeDocument/2006/relationships/hyperlink" Target="http://bruegel.org/2015/06/euro-area-governance-an-assessment-of-the-five-presidents-report/" TargetMode="External"/><Relationship Id="rId5" Type="http://schemas.openxmlformats.org/officeDocument/2006/relationships/hyperlink" Target="http://bruegel.org/2016/03/a-proposal-to-revive-the-european-fiscal-framework/" TargetMode="External"/><Relationship Id="rId4" Type="http://schemas.openxmlformats.org/officeDocument/2006/relationships/hyperlink" Target="https://ec.europa.eu/priorities/sites/beta-political/files/factsheet-efb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6C62C-C470-4CF5-B83D-7625C107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5754</Words>
  <Characters>32799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European External Action Service</Company>
  <LinksUpToDate>false</LinksUpToDate>
  <CharactersWithSpaces>38477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PAPAGEORGIOU Aglaia (EEAS-CANBERRA)</cp:lastModifiedBy>
  <cp:revision>2</cp:revision>
  <cp:lastPrinted>2016-04-28T15:54:00Z</cp:lastPrinted>
  <dcterms:created xsi:type="dcterms:W3CDTF">2016-11-24T00:30:00Z</dcterms:created>
  <dcterms:modified xsi:type="dcterms:W3CDTF">2016-11-24T00:30:00Z</dcterms:modified>
</cp:coreProperties>
</file>