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E4259" w14:textId="30A4907C" w:rsidR="00B9493E" w:rsidRPr="001F4BE4" w:rsidRDefault="00B9493E" w:rsidP="000F66FC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sz w:val="42"/>
          <w:szCs w:val="42"/>
          <w:lang w:val="en-US"/>
        </w:rPr>
      </w:pPr>
      <w:r w:rsidRPr="001F4BE4">
        <w:rPr>
          <w:rFonts w:ascii="Arial" w:eastAsia="Times New Roman" w:hAnsi="Arial" w:cs="Arial"/>
          <w:b/>
          <w:sz w:val="42"/>
          <w:szCs w:val="42"/>
          <w:lang w:val="en-US"/>
        </w:rPr>
        <w:t>Statement Annex: Fundraising</w:t>
      </w:r>
    </w:p>
    <w:p w14:paraId="7144401F" w14:textId="1552EBC1" w:rsidR="008878B6" w:rsidRPr="001F4BE4" w:rsidRDefault="00794B7A" w:rsidP="00F0544F">
      <w:pPr>
        <w:spacing w:after="0"/>
        <w:rPr>
          <w:rFonts w:ascii="Arial" w:hAnsi="Arial" w:cs="Arial"/>
          <w:sz w:val="18"/>
          <w:szCs w:val="20"/>
        </w:rPr>
      </w:pPr>
      <w:r w:rsidRPr="001F4BE4">
        <w:rPr>
          <w:rFonts w:ascii="Arial" w:hAnsi="Arial" w:cs="Arial"/>
          <w:sz w:val="18"/>
          <w:szCs w:val="20"/>
        </w:rPr>
        <w:t xml:space="preserve">Supporting </w:t>
      </w:r>
      <w:r w:rsidR="008878B6" w:rsidRPr="001F4BE4">
        <w:rPr>
          <w:rFonts w:ascii="Arial" w:hAnsi="Arial" w:cs="Arial"/>
          <w:sz w:val="18"/>
          <w:szCs w:val="20"/>
        </w:rPr>
        <w:t xml:space="preserve">the </w:t>
      </w:r>
      <w:r w:rsidR="006E3F59" w:rsidRPr="001F4BE4">
        <w:rPr>
          <w:rFonts w:ascii="Arial" w:hAnsi="Arial" w:cs="Arial"/>
          <w:sz w:val="18"/>
          <w:szCs w:val="20"/>
        </w:rPr>
        <w:t>F</w:t>
      </w:r>
      <w:r w:rsidR="008878B6" w:rsidRPr="001F4BE4">
        <w:rPr>
          <w:rFonts w:ascii="Arial" w:hAnsi="Arial" w:cs="Arial"/>
          <w:sz w:val="18"/>
          <w:szCs w:val="20"/>
        </w:rPr>
        <w:t xml:space="preserve">uture of </w:t>
      </w:r>
      <w:r w:rsidRPr="001F4BE4">
        <w:rPr>
          <w:rFonts w:ascii="Arial" w:hAnsi="Arial" w:cs="Arial"/>
          <w:sz w:val="18"/>
          <w:szCs w:val="20"/>
        </w:rPr>
        <w:t>Syria and the Region</w:t>
      </w:r>
      <w:r w:rsidR="00B9493E" w:rsidRPr="001F4BE4">
        <w:rPr>
          <w:rFonts w:ascii="Arial" w:hAnsi="Arial" w:cs="Arial"/>
          <w:sz w:val="18"/>
          <w:szCs w:val="20"/>
        </w:rPr>
        <w:t xml:space="preserve"> -</w:t>
      </w:r>
      <w:r w:rsidR="00511001" w:rsidRPr="001F4BE4">
        <w:rPr>
          <w:rFonts w:ascii="Arial" w:hAnsi="Arial" w:cs="Arial"/>
          <w:sz w:val="18"/>
          <w:szCs w:val="20"/>
        </w:rPr>
        <w:t xml:space="preserve"> Brussels </w:t>
      </w:r>
      <w:r w:rsidR="000251BD">
        <w:rPr>
          <w:rFonts w:ascii="Arial" w:hAnsi="Arial" w:cs="Arial"/>
          <w:sz w:val="18"/>
          <w:szCs w:val="20"/>
        </w:rPr>
        <w:t>V</w:t>
      </w:r>
      <w:r w:rsidR="00C27C0A">
        <w:rPr>
          <w:rFonts w:ascii="Arial" w:hAnsi="Arial" w:cs="Arial"/>
          <w:sz w:val="18"/>
          <w:szCs w:val="20"/>
        </w:rPr>
        <w:t>I</w:t>
      </w:r>
      <w:r w:rsidR="000251BD">
        <w:rPr>
          <w:rFonts w:ascii="Arial" w:hAnsi="Arial" w:cs="Arial"/>
          <w:sz w:val="18"/>
          <w:szCs w:val="20"/>
        </w:rPr>
        <w:t xml:space="preserve"> C</w:t>
      </w:r>
      <w:r w:rsidR="00511001" w:rsidRPr="001F4BE4">
        <w:rPr>
          <w:rFonts w:ascii="Arial" w:hAnsi="Arial" w:cs="Arial"/>
          <w:sz w:val="18"/>
          <w:szCs w:val="20"/>
        </w:rPr>
        <w:t>onference</w:t>
      </w:r>
      <w:r w:rsidR="008878B6" w:rsidRPr="001F4BE4">
        <w:rPr>
          <w:rFonts w:ascii="Arial" w:hAnsi="Arial" w:cs="Arial"/>
          <w:sz w:val="18"/>
          <w:szCs w:val="20"/>
        </w:rPr>
        <w:t xml:space="preserve"> </w:t>
      </w:r>
    </w:p>
    <w:p w14:paraId="625CE5C3" w14:textId="0C5E3C7B" w:rsidR="00B9493E" w:rsidRPr="001F4BE4" w:rsidRDefault="008878B6" w:rsidP="00F0544F">
      <w:pPr>
        <w:spacing w:after="0"/>
        <w:rPr>
          <w:rFonts w:ascii="Arial" w:hAnsi="Arial" w:cs="Arial"/>
          <w:i/>
          <w:sz w:val="18"/>
          <w:szCs w:val="20"/>
        </w:rPr>
      </w:pPr>
      <w:r w:rsidRPr="001F4BE4">
        <w:rPr>
          <w:rFonts w:ascii="Arial" w:hAnsi="Arial" w:cs="Arial"/>
          <w:i/>
          <w:sz w:val="18"/>
          <w:szCs w:val="20"/>
        </w:rPr>
        <w:t xml:space="preserve">Brussels, </w:t>
      </w:r>
      <w:r w:rsidR="00C27C0A">
        <w:rPr>
          <w:rFonts w:ascii="Arial" w:hAnsi="Arial" w:cs="Arial"/>
          <w:i/>
          <w:sz w:val="18"/>
          <w:szCs w:val="20"/>
        </w:rPr>
        <w:t>10</w:t>
      </w:r>
      <w:r w:rsidR="00794B7A" w:rsidRPr="001F4BE4">
        <w:rPr>
          <w:rFonts w:ascii="Arial" w:hAnsi="Arial" w:cs="Arial"/>
          <w:i/>
          <w:sz w:val="18"/>
          <w:szCs w:val="20"/>
        </w:rPr>
        <w:t xml:space="preserve"> </w:t>
      </w:r>
      <w:r w:rsidR="00C27C0A">
        <w:rPr>
          <w:rFonts w:ascii="Arial" w:hAnsi="Arial" w:cs="Arial"/>
          <w:i/>
          <w:sz w:val="18"/>
          <w:szCs w:val="20"/>
        </w:rPr>
        <w:t>May</w:t>
      </w:r>
      <w:r w:rsidR="00156797" w:rsidRPr="001F4BE4">
        <w:rPr>
          <w:rFonts w:ascii="Arial" w:hAnsi="Arial" w:cs="Arial"/>
          <w:i/>
          <w:sz w:val="18"/>
          <w:szCs w:val="20"/>
        </w:rPr>
        <w:t xml:space="preserve"> </w:t>
      </w:r>
      <w:r w:rsidR="00794B7A" w:rsidRPr="001F4BE4">
        <w:rPr>
          <w:rFonts w:ascii="Arial" w:hAnsi="Arial" w:cs="Arial"/>
          <w:i/>
          <w:sz w:val="18"/>
          <w:szCs w:val="20"/>
        </w:rPr>
        <w:t>20</w:t>
      </w:r>
      <w:r w:rsidR="000251BD">
        <w:rPr>
          <w:rFonts w:ascii="Arial" w:hAnsi="Arial" w:cs="Arial"/>
          <w:i/>
          <w:sz w:val="18"/>
          <w:szCs w:val="20"/>
        </w:rPr>
        <w:t>2</w:t>
      </w:r>
      <w:r w:rsidR="00C27C0A">
        <w:rPr>
          <w:rFonts w:ascii="Arial" w:hAnsi="Arial" w:cs="Arial"/>
          <w:i/>
          <w:sz w:val="18"/>
          <w:szCs w:val="20"/>
        </w:rPr>
        <w:t>2</w:t>
      </w:r>
    </w:p>
    <w:p w14:paraId="20E75776" w14:textId="77777777" w:rsidR="00B9493E" w:rsidRPr="00345367" w:rsidRDefault="00B9493E" w:rsidP="000F66FC">
      <w:pPr>
        <w:spacing w:after="0" w:line="240" w:lineRule="auto"/>
        <w:rPr>
          <w:rFonts w:ascii="Arial" w:hAnsi="Arial" w:cs="Arial"/>
        </w:rPr>
      </w:pPr>
    </w:p>
    <w:p w14:paraId="661319BD" w14:textId="77777777" w:rsidR="00350DD6" w:rsidRPr="00345367" w:rsidRDefault="00350DD6" w:rsidP="000F66FC">
      <w:pPr>
        <w:spacing w:after="0" w:line="240" w:lineRule="auto"/>
        <w:rPr>
          <w:rFonts w:ascii="Arial" w:hAnsi="Arial" w:cs="Arial"/>
        </w:rPr>
      </w:pPr>
    </w:p>
    <w:p w14:paraId="05CF59A1" w14:textId="77777777" w:rsidR="006C0582" w:rsidRPr="001F4BE4" w:rsidRDefault="006C0582" w:rsidP="000F66FC">
      <w:pPr>
        <w:spacing w:after="0" w:line="240" w:lineRule="auto"/>
        <w:rPr>
          <w:rFonts w:ascii="Arial" w:hAnsi="Arial" w:cs="Arial"/>
        </w:rPr>
      </w:pPr>
    </w:p>
    <w:p w14:paraId="7EAE3387" w14:textId="77777777" w:rsidR="00EB16D4" w:rsidRPr="001F4BE4" w:rsidRDefault="00EB16D4" w:rsidP="00EB16D4">
      <w:pPr>
        <w:spacing w:after="0" w:line="240" w:lineRule="auto"/>
        <w:rPr>
          <w:rFonts w:ascii="Arial" w:eastAsia="Times New Roman" w:hAnsi="Arial" w:cs="Arial"/>
          <w:sz w:val="18"/>
          <w:szCs w:val="24"/>
          <w:lang w:val="en-US"/>
        </w:rPr>
      </w:pPr>
      <w:r w:rsidRPr="001F4BE4">
        <w:rPr>
          <w:rFonts w:ascii="Arial" w:eastAsia="Times New Roman" w:hAnsi="Arial" w:cs="Arial"/>
          <w:sz w:val="18"/>
          <w:szCs w:val="24"/>
          <w:lang w:val="en-US"/>
        </w:rPr>
        <w:t>–––</w:t>
      </w:r>
    </w:p>
    <w:p w14:paraId="7BFBAB2A" w14:textId="77777777" w:rsidR="00EB16D4" w:rsidRPr="001F4BE4" w:rsidRDefault="00EB16D4" w:rsidP="000F66FC">
      <w:pPr>
        <w:spacing w:after="0" w:line="240" w:lineRule="auto"/>
        <w:outlineLvl w:val="1"/>
        <w:rPr>
          <w:rFonts w:ascii="Arial" w:eastAsia="Times New Roman" w:hAnsi="Arial" w:cs="Arial"/>
          <w:b/>
          <w:sz w:val="16"/>
          <w:szCs w:val="42"/>
          <w:lang w:val="en-US"/>
        </w:rPr>
      </w:pPr>
    </w:p>
    <w:p w14:paraId="00E26478" w14:textId="1642EB77" w:rsidR="000F66FC" w:rsidRPr="001F4BE4" w:rsidRDefault="000F66FC" w:rsidP="00C27C0A">
      <w:pPr>
        <w:tabs>
          <w:tab w:val="left" w:pos="1419"/>
        </w:tabs>
        <w:spacing w:after="0"/>
        <w:outlineLvl w:val="1"/>
        <w:rPr>
          <w:rFonts w:ascii="Arial" w:eastAsia="Times New Roman" w:hAnsi="Arial" w:cs="Arial"/>
          <w:sz w:val="16"/>
          <w:szCs w:val="42"/>
          <w:lang w:val="en-US"/>
        </w:rPr>
      </w:pPr>
      <w:r w:rsidRPr="001F4BE4">
        <w:rPr>
          <w:rFonts w:ascii="Arial" w:eastAsia="Times New Roman" w:hAnsi="Arial" w:cs="Arial"/>
          <w:sz w:val="16"/>
          <w:szCs w:val="42"/>
          <w:lang w:val="en-US"/>
        </w:rPr>
        <w:t>Table 1</w:t>
      </w:r>
      <w:r w:rsidR="00C27C0A">
        <w:rPr>
          <w:rFonts w:ascii="Arial" w:eastAsia="Times New Roman" w:hAnsi="Arial" w:cs="Arial"/>
          <w:sz w:val="16"/>
          <w:szCs w:val="42"/>
          <w:lang w:val="en-US"/>
        </w:rPr>
        <w:tab/>
      </w:r>
    </w:p>
    <w:p w14:paraId="08350CF7" w14:textId="77777777" w:rsidR="00350DD6" w:rsidRPr="001F4BE4" w:rsidRDefault="00B9493E" w:rsidP="00F0544F">
      <w:pPr>
        <w:spacing w:after="0"/>
        <w:outlineLvl w:val="1"/>
        <w:rPr>
          <w:rFonts w:ascii="Arial" w:eastAsia="Times New Roman" w:hAnsi="Arial" w:cs="Arial"/>
          <w:b/>
          <w:sz w:val="24"/>
          <w:szCs w:val="42"/>
          <w:lang w:val="en-US"/>
        </w:rPr>
      </w:pPr>
      <w:r w:rsidRPr="001F4BE4">
        <w:rPr>
          <w:rFonts w:ascii="Arial" w:eastAsia="Times New Roman" w:hAnsi="Arial" w:cs="Arial"/>
          <w:b/>
          <w:sz w:val="24"/>
          <w:szCs w:val="42"/>
          <w:lang w:val="en-US"/>
        </w:rPr>
        <w:t xml:space="preserve">Funding confirmed by </w:t>
      </w:r>
    </w:p>
    <w:p w14:paraId="763F0A23" w14:textId="77777777" w:rsidR="00350DD6" w:rsidRPr="001F4BE4" w:rsidRDefault="00B9493E" w:rsidP="00F0544F">
      <w:pPr>
        <w:spacing w:after="0"/>
        <w:outlineLvl w:val="1"/>
        <w:rPr>
          <w:rFonts w:ascii="Arial" w:eastAsia="Times New Roman" w:hAnsi="Arial" w:cs="Arial"/>
          <w:b/>
          <w:sz w:val="24"/>
          <w:szCs w:val="42"/>
          <w:lang w:val="en-US"/>
        </w:rPr>
      </w:pPr>
      <w:proofErr w:type="gramStart"/>
      <w:r w:rsidRPr="001F4BE4">
        <w:rPr>
          <w:rFonts w:ascii="Arial" w:eastAsia="Times New Roman" w:hAnsi="Arial" w:cs="Arial"/>
          <w:b/>
          <w:sz w:val="24"/>
          <w:szCs w:val="42"/>
          <w:lang w:val="en-US"/>
        </w:rPr>
        <w:t>the</w:t>
      </w:r>
      <w:proofErr w:type="gramEnd"/>
      <w:r w:rsidRPr="001F4BE4">
        <w:rPr>
          <w:rFonts w:ascii="Arial" w:eastAsia="Times New Roman" w:hAnsi="Arial" w:cs="Arial"/>
          <w:b/>
          <w:sz w:val="24"/>
          <w:szCs w:val="42"/>
          <w:lang w:val="en-US"/>
        </w:rPr>
        <w:t xml:space="preserve"> international community </w:t>
      </w:r>
    </w:p>
    <w:p w14:paraId="6B74E513" w14:textId="77777777" w:rsidR="00350DD6" w:rsidRPr="001F4BE4" w:rsidRDefault="00B9493E" w:rsidP="00F0544F">
      <w:pPr>
        <w:spacing w:after="240"/>
        <w:outlineLvl w:val="1"/>
        <w:rPr>
          <w:rFonts w:ascii="Arial" w:eastAsia="Times New Roman" w:hAnsi="Arial" w:cs="Arial"/>
          <w:b/>
          <w:sz w:val="24"/>
          <w:szCs w:val="42"/>
          <w:lang w:val="en-US"/>
        </w:rPr>
      </w:pPr>
      <w:proofErr w:type="gramStart"/>
      <w:r w:rsidRPr="001F4BE4">
        <w:rPr>
          <w:rFonts w:ascii="Arial" w:eastAsia="Times New Roman" w:hAnsi="Arial" w:cs="Arial"/>
          <w:b/>
          <w:sz w:val="24"/>
          <w:szCs w:val="42"/>
          <w:lang w:val="en-US"/>
        </w:rPr>
        <w:t>for</w:t>
      </w:r>
      <w:proofErr w:type="gramEnd"/>
      <w:r w:rsidRPr="001F4BE4">
        <w:rPr>
          <w:rFonts w:ascii="Arial" w:eastAsia="Times New Roman" w:hAnsi="Arial" w:cs="Arial"/>
          <w:b/>
          <w:sz w:val="24"/>
          <w:szCs w:val="42"/>
          <w:lang w:val="en-US"/>
        </w:rPr>
        <w:t xml:space="preserve"> the Syria Crisis response</w:t>
      </w:r>
    </w:p>
    <w:p w14:paraId="7E84F1F9" w14:textId="77777777" w:rsidR="006C0582" w:rsidRPr="00345367" w:rsidRDefault="006C0582" w:rsidP="000F66F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9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427"/>
        <w:gridCol w:w="3058"/>
        <w:gridCol w:w="446"/>
        <w:gridCol w:w="2947"/>
      </w:tblGrid>
      <w:tr w:rsidR="00345367" w:rsidRPr="001F4BE4" w14:paraId="61FB5D6C" w14:textId="77777777" w:rsidTr="00A67E4F">
        <w:trPr>
          <w:trHeight w:val="467"/>
        </w:trPr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4D43E933" w14:textId="6C3DCC47" w:rsidR="006C0582" w:rsidRPr="001F4BE4" w:rsidRDefault="006C0582" w:rsidP="00A67E4F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  <w:sz w:val="18"/>
                <w:szCs w:val="35"/>
              </w:rPr>
            </w:pPr>
            <w:r w:rsidRPr="001F4BE4">
              <w:rPr>
                <w:rFonts w:ascii="Arial" w:hAnsi="Arial" w:cs="Arial"/>
                <w:b/>
                <w:color w:val="auto"/>
                <w:sz w:val="18"/>
                <w:szCs w:val="35"/>
              </w:rPr>
              <w:t xml:space="preserve">Funding for </w:t>
            </w:r>
            <w:r w:rsidRPr="001F4BE4">
              <w:rPr>
                <w:rFonts w:ascii="Arial" w:hAnsi="Arial" w:cs="Arial"/>
                <w:color w:val="auto"/>
                <w:sz w:val="18"/>
                <w:szCs w:val="35"/>
              </w:rPr>
              <w:t>20</w:t>
            </w:r>
            <w:r w:rsidR="000251BD">
              <w:rPr>
                <w:rFonts w:ascii="Arial" w:hAnsi="Arial" w:cs="Arial"/>
                <w:color w:val="auto"/>
                <w:sz w:val="18"/>
                <w:szCs w:val="35"/>
              </w:rPr>
              <w:t>2</w:t>
            </w:r>
            <w:r w:rsidR="009B7DCB">
              <w:rPr>
                <w:rFonts w:ascii="Arial" w:hAnsi="Arial" w:cs="Arial"/>
                <w:color w:val="auto"/>
                <w:sz w:val="18"/>
                <w:szCs w:val="35"/>
              </w:rPr>
              <w:t>2</w:t>
            </w:r>
          </w:p>
        </w:tc>
        <w:tc>
          <w:tcPr>
            <w:tcW w:w="427" w:type="dxa"/>
            <w:vAlign w:val="center"/>
          </w:tcPr>
          <w:p w14:paraId="41561A3A" w14:textId="77777777" w:rsidR="006C0582" w:rsidRPr="001F4BE4" w:rsidRDefault="006C0582" w:rsidP="000F66FC">
            <w:pPr>
              <w:pStyle w:val="Heading3"/>
              <w:spacing w:before="0"/>
              <w:outlineLvl w:val="2"/>
              <w:rPr>
                <w:rFonts w:ascii="Arial" w:hAnsi="Arial" w:cs="Arial"/>
                <w:color w:val="auto"/>
                <w:sz w:val="18"/>
                <w:szCs w:val="35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14:paraId="1F38EE9A" w14:textId="478BEF0A" w:rsidR="006C0582" w:rsidRPr="001F4BE4" w:rsidRDefault="006C0582" w:rsidP="00A67E4F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  <w:sz w:val="18"/>
                <w:szCs w:val="35"/>
              </w:rPr>
            </w:pPr>
            <w:r w:rsidRPr="001F4BE4">
              <w:rPr>
                <w:rFonts w:ascii="Arial" w:hAnsi="Arial" w:cs="Arial"/>
                <w:b/>
                <w:color w:val="auto"/>
                <w:sz w:val="18"/>
                <w:szCs w:val="35"/>
              </w:rPr>
              <w:t xml:space="preserve">Funding for </w:t>
            </w:r>
            <w:r w:rsidRPr="001F4BE4">
              <w:rPr>
                <w:rFonts w:ascii="Arial" w:hAnsi="Arial" w:cs="Arial"/>
                <w:color w:val="auto"/>
                <w:sz w:val="18"/>
                <w:szCs w:val="35"/>
              </w:rPr>
              <w:t>202</w:t>
            </w:r>
            <w:r w:rsidR="009B7DCB">
              <w:rPr>
                <w:rFonts w:ascii="Arial" w:hAnsi="Arial" w:cs="Arial"/>
                <w:color w:val="auto"/>
                <w:sz w:val="18"/>
                <w:szCs w:val="35"/>
              </w:rPr>
              <w:t>3</w:t>
            </w:r>
            <w:r w:rsidRPr="001F4BE4">
              <w:rPr>
                <w:rFonts w:ascii="Arial" w:hAnsi="Arial" w:cs="Arial"/>
                <w:color w:val="auto"/>
                <w:sz w:val="18"/>
                <w:szCs w:val="35"/>
              </w:rPr>
              <w:t xml:space="preserve"> and beyond</w:t>
            </w:r>
          </w:p>
        </w:tc>
        <w:tc>
          <w:tcPr>
            <w:tcW w:w="446" w:type="dxa"/>
            <w:vAlign w:val="center"/>
          </w:tcPr>
          <w:p w14:paraId="66264104" w14:textId="77777777" w:rsidR="006C0582" w:rsidRPr="001F4BE4" w:rsidRDefault="006C0582" w:rsidP="000F66FC">
            <w:pPr>
              <w:pStyle w:val="Heading3"/>
              <w:spacing w:before="0"/>
              <w:outlineLvl w:val="2"/>
              <w:rPr>
                <w:rFonts w:ascii="Arial" w:hAnsi="Arial" w:cs="Arial"/>
                <w:color w:val="auto"/>
                <w:sz w:val="18"/>
                <w:szCs w:val="35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649923B2" w14:textId="7B979052" w:rsidR="006C0582" w:rsidRPr="001F4BE4" w:rsidRDefault="006C0582" w:rsidP="00A67E4F">
            <w:pPr>
              <w:pStyle w:val="Heading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  <w:sz w:val="18"/>
                <w:szCs w:val="35"/>
              </w:rPr>
            </w:pPr>
            <w:r w:rsidRPr="001F4BE4">
              <w:rPr>
                <w:rFonts w:ascii="Arial" w:hAnsi="Arial" w:cs="Arial"/>
                <w:b/>
                <w:color w:val="auto"/>
                <w:sz w:val="18"/>
                <w:szCs w:val="35"/>
              </w:rPr>
              <w:t xml:space="preserve">Loans for </w:t>
            </w:r>
            <w:r w:rsidRPr="001F4BE4">
              <w:rPr>
                <w:rFonts w:ascii="Arial" w:hAnsi="Arial" w:cs="Arial"/>
                <w:color w:val="auto"/>
                <w:sz w:val="18"/>
                <w:szCs w:val="35"/>
              </w:rPr>
              <w:t>20</w:t>
            </w:r>
            <w:r w:rsidR="000251BD">
              <w:rPr>
                <w:rFonts w:ascii="Arial" w:hAnsi="Arial" w:cs="Arial"/>
                <w:color w:val="auto"/>
                <w:sz w:val="18"/>
                <w:szCs w:val="35"/>
              </w:rPr>
              <w:t>2</w:t>
            </w:r>
            <w:r w:rsidR="009B7DCB">
              <w:rPr>
                <w:rFonts w:ascii="Arial" w:hAnsi="Arial" w:cs="Arial"/>
                <w:color w:val="auto"/>
                <w:sz w:val="18"/>
                <w:szCs w:val="35"/>
              </w:rPr>
              <w:t>2</w:t>
            </w:r>
            <w:r w:rsidRPr="001F4BE4">
              <w:rPr>
                <w:rFonts w:ascii="Arial" w:hAnsi="Arial" w:cs="Arial"/>
                <w:color w:val="auto"/>
                <w:sz w:val="18"/>
                <w:szCs w:val="35"/>
              </w:rPr>
              <w:t xml:space="preserve"> and beyond</w:t>
            </w:r>
          </w:p>
        </w:tc>
      </w:tr>
      <w:tr w:rsidR="00345367" w:rsidRPr="001F4BE4" w14:paraId="2E529814" w14:textId="77777777" w:rsidTr="00A67E4F">
        <w:trPr>
          <w:trHeight w:val="570"/>
        </w:trPr>
        <w:tc>
          <w:tcPr>
            <w:tcW w:w="24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3BD872" w14:textId="225137F9" w:rsidR="006C0582" w:rsidRPr="00865F4B" w:rsidRDefault="00F919A1" w:rsidP="009B7DCB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>EUR 4.1</w:t>
            </w:r>
            <w:r w:rsidR="006C0582" w:rsidRPr="00865F4B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 xml:space="preserve"> B</w:t>
            </w:r>
          </w:p>
        </w:tc>
        <w:tc>
          <w:tcPr>
            <w:tcW w:w="427" w:type="dxa"/>
            <w:vAlign w:val="center"/>
          </w:tcPr>
          <w:p w14:paraId="29EB4995" w14:textId="77777777" w:rsidR="006C0582" w:rsidRPr="00865F4B" w:rsidRDefault="006C0582" w:rsidP="000F66FC">
            <w:pP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72AD80" w14:textId="0B595EDB" w:rsidR="006C0582" w:rsidRPr="00865F4B" w:rsidRDefault="007B6E8B" w:rsidP="009B7DCB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  <w:r w:rsidRPr="00865F4B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 xml:space="preserve">EUR </w:t>
            </w:r>
            <w:r w:rsidR="00F919A1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>2.3</w:t>
            </w:r>
            <w:r w:rsidRPr="00865F4B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 xml:space="preserve"> </w:t>
            </w:r>
            <w:r w:rsidR="006C0582" w:rsidRPr="00865F4B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>B</w:t>
            </w:r>
          </w:p>
        </w:tc>
        <w:tc>
          <w:tcPr>
            <w:tcW w:w="446" w:type="dxa"/>
            <w:vAlign w:val="center"/>
          </w:tcPr>
          <w:p w14:paraId="4476E636" w14:textId="77777777" w:rsidR="006C0582" w:rsidRPr="00865F4B" w:rsidRDefault="006C0582" w:rsidP="000F66FC">
            <w:pP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6A6FE0" w14:textId="3255137C" w:rsidR="006C0582" w:rsidRPr="00865F4B" w:rsidRDefault="002265B7" w:rsidP="009B7DCB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  <w:r w:rsidRPr="00865F4B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 xml:space="preserve">EUR </w:t>
            </w:r>
            <w:r w:rsidR="00573B1F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>2.4</w:t>
            </w:r>
            <w:r w:rsidR="006C0582" w:rsidRPr="00865F4B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 xml:space="preserve"> B</w:t>
            </w:r>
          </w:p>
        </w:tc>
      </w:tr>
      <w:tr w:rsidR="001F4BE4" w:rsidRPr="001F4BE4" w14:paraId="5AC53CFF" w14:textId="77777777" w:rsidTr="00A67E4F">
        <w:trPr>
          <w:trHeight w:val="641"/>
        </w:trPr>
        <w:tc>
          <w:tcPr>
            <w:tcW w:w="2460" w:type="dxa"/>
            <w:tcBorders>
              <w:top w:val="dotted" w:sz="4" w:space="0" w:color="auto"/>
            </w:tcBorders>
            <w:vAlign w:val="center"/>
          </w:tcPr>
          <w:p w14:paraId="31A0F77B" w14:textId="5A8B98B8" w:rsidR="006C0582" w:rsidRPr="00865F4B" w:rsidRDefault="007B6E8B" w:rsidP="009B7DCB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  <w:r w:rsidRPr="00865F4B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 xml:space="preserve">USD </w:t>
            </w:r>
            <w:r w:rsidR="00F919A1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>4.3</w:t>
            </w:r>
            <w:r w:rsidRPr="00865F4B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 xml:space="preserve"> </w:t>
            </w:r>
            <w:r w:rsidR="006C0582" w:rsidRPr="00865F4B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>B</w:t>
            </w:r>
          </w:p>
        </w:tc>
        <w:tc>
          <w:tcPr>
            <w:tcW w:w="427" w:type="dxa"/>
            <w:vAlign w:val="center"/>
          </w:tcPr>
          <w:p w14:paraId="0742F6B7" w14:textId="77777777" w:rsidR="006C0582" w:rsidRPr="00865F4B" w:rsidRDefault="006C0582" w:rsidP="000F66FC">
            <w:pP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</w:p>
        </w:tc>
        <w:tc>
          <w:tcPr>
            <w:tcW w:w="3058" w:type="dxa"/>
            <w:tcBorders>
              <w:top w:val="dotted" w:sz="4" w:space="0" w:color="auto"/>
            </w:tcBorders>
            <w:vAlign w:val="center"/>
          </w:tcPr>
          <w:p w14:paraId="2EFF7378" w14:textId="42B540A1" w:rsidR="006C0582" w:rsidRPr="00865F4B" w:rsidRDefault="007B6E8B" w:rsidP="009B7DCB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  <w:r w:rsidRPr="00865F4B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 xml:space="preserve">USD </w:t>
            </w:r>
            <w:r w:rsidR="00F919A1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>2.4</w:t>
            </w:r>
            <w:r w:rsidR="006C0582" w:rsidRPr="00865F4B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 xml:space="preserve"> B</w:t>
            </w:r>
          </w:p>
        </w:tc>
        <w:tc>
          <w:tcPr>
            <w:tcW w:w="446" w:type="dxa"/>
            <w:vAlign w:val="center"/>
          </w:tcPr>
          <w:p w14:paraId="18FD83C9" w14:textId="77777777" w:rsidR="006C0582" w:rsidRPr="00865F4B" w:rsidRDefault="006C0582" w:rsidP="000F66FC">
            <w:pP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</w:p>
        </w:tc>
        <w:tc>
          <w:tcPr>
            <w:tcW w:w="2947" w:type="dxa"/>
            <w:tcBorders>
              <w:top w:val="dotted" w:sz="4" w:space="0" w:color="auto"/>
            </w:tcBorders>
            <w:vAlign w:val="center"/>
          </w:tcPr>
          <w:p w14:paraId="50B56A8B" w14:textId="513CFE05" w:rsidR="006C0582" w:rsidRPr="00865F4B" w:rsidRDefault="006D04EA" w:rsidP="009B7DCB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  <w:r w:rsidRPr="00865F4B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 xml:space="preserve">USD </w:t>
            </w:r>
            <w:r w:rsidR="00573B1F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>2.5</w:t>
            </w:r>
            <w:r w:rsidR="006C0582" w:rsidRPr="00865F4B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 xml:space="preserve"> B</w:t>
            </w:r>
          </w:p>
        </w:tc>
      </w:tr>
    </w:tbl>
    <w:p w14:paraId="5BC1EF0E" w14:textId="77777777" w:rsidR="00891FD7" w:rsidRPr="001F4BE4" w:rsidRDefault="00891FD7" w:rsidP="000F66FC">
      <w:pPr>
        <w:spacing w:line="320" w:lineRule="auto"/>
        <w:rPr>
          <w:rFonts w:ascii="Arial" w:hAnsi="Arial" w:cs="Arial"/>
          <w:sz w:val="20"/>
        </w:rPr>
      </w:pPr>
    </w:p>
    <w:p w14:paraId="39FCE5EC" w14:textId="1ABEBF67" w:rsidR="00891FD7" w:rsidRPr="00464A8C" w:rsidRDefault="00794B7A" w:rsidP="001F4BE4">
      <w:pPr>
        <w:spacing w:line="320" w:lineRule="auto"/>
        <w:jc w:val="both"/>
        <w:rPr>
          <w:rFonts w:ascii="Arial" w:hAnsi="Arial" w:cs="Arial"/>
          <w:sz w:val="18"/>
          <w:szCs w:val="20"/>
        </w:rPr>
      </w:pPr>
      <w:r w:rsidRPr="001F4BE4">
        <w:rPr>
          <w:rFonts w:ascii="Arial" w:hAnsi="Arial" w:cs="Arial"/>
          <w:b/>
          <w:sz w:val="18"/>
          <w:szCs w:val="20"/>
        </w:rPr>
        <w:t xml:space="preserve">The international community </w:t>
      </w:r>
      <w:r w:rsidR="00701133" w:rsidRPr="00464A8C">
        <w:rPr>
          <w:rFonts w:ascii="Arial" w:hAnsi="Arial" w:cs="Arial"/>
          <w:b/>
          <w:sz w:val="18"/>
          <w:szCs w:val="20"/>
        </w:rPr>
        <w:t>confirmed</w:t>
      </w:r>
      <w:r w:rsidR="00F919A1">
        <w:rPr>
          <w:rFonts w:ascii="Arial" w:hAnsi="Arial" w:cs="Arial"/>
          <w:b/>
          <w:sz w:val="18"/>
          <w:szCs w:val="20"/>
        </w:rPr>
        <w:t xml:space="preserve"> close to EUR 4.1</w:t>
      </w:r>
      <w:r w:rsidR="0093439A" w:rsidRPr="00464A8C">
        <w:rPr>
          <w:rFonts w:ascii="Arial" w:hAnsi="Arial" w:cs="Arial"/>
          <w:b/>
          <w:sz w:val="18"/>
          <w:szCs w:val="20"/>
        </w:rPr>
        <w:t xml:space="preserve"> billion</w:t>
      </w:r>
      <w:r w:rsidRPr="00464A8C">
        <w:rPr>
          <w:rFonts w:ascii="Arial" w:hAnsi="Arial" w:cs="Arial"/>
          <w:b/>
          <w:sz w:val="18"/>
          <w:szCs w:val="20"/>
        </w:rPr>
        <w:t xml:space="preserve"> </w:t>
      </w:r>
      <w:r w:rsidR="00EB5F78" w:rsidRPr="00464A8C">
        <w:rPr>
          <w:rFonts w:ascii="Arial" w:hAnsi="Arial" w:cs="Arial"/>
          <w:b/>
          <w:sz w:val="18"/>
          <w:szCs w:val="20"/>
        </w:rPr>
        <w:t xml:space="preserve">/ USD </w:t>
      </w:r>
      <w:r w:rsidR="00865F4B">
        <w:rPr>
          <w:rFonts w:ascii="Arial" w:hAnsi="Arial" w:cs="Arial"/>
          <w:b/>
          <w:sz w:val="18"/>
          <w:szCs w:val="20"/>
        </w:rPr>
        <w:t>4</w:t>
      </w:r>
      <w:r w:rsidR="00865F4B" w:rsidRPr="00865F4B">
        <w:rPr>
          <w:rFonts w:ascii="Arial" w:hAnsi="Arial" w:cs="Arial"/>
          <w:b/>
          <w:sz w:val="18"/>
          <w:szCs w:val="20"/>
        </w:rPr>
        <w:t>.</w:t>
      </w:r>
      <w:r w:rsidR="00865F4B">
        <w:rPr>
          <w:rFonts w:ascii="Arial" w:hAnsi="Arial" w:cs="Arial"/>
          <w:b/>
          <w:sz w:val="18"/>
          <w:szCs w:val="20"/>
        </w:rPr>
        <w:t>3</w:t>
      </w:r>
      <w:r w:rsidR="00EB5F78" w:rsidRPr="00464A8C">
        <w:rPr>
          <w:rFonts w:ascii="Arial" w:hAnsi="Arial" w:cs="Arial"/>
          <w:b/>
          <w:sz w:val="18"/>
          <w:szCs w:val="20"/>
        </w:rPr>
        <w:t xml:space="preserve"> billion</w:t>
      </w:r>
      <w:bookmarkStart w:id="0" w:name="_Ref479053755"/>
      <w:r w:rsidR="00396CC1" w:rsidRPr="00464A8C">
        <w:rPr>
          <w:rFonts w:ascii="Arial" w:hAnsi="Arial" w:cs="Arial"/>
          <w:sz w:val="18"/>
          <w:szCs w:val="20"/>
          <w:vertAlign w:val="superscript"/>
        </w:rPr>
        <w:footnoteReference w:id="1"/>
      </w:r>
      <w:bookmarkEnd w:id="0"/>
      <w:r w:rsidR="00EB5F78" w:rsidRPr="00464A8C">
        <w:rPr>
          <w:rFonts w:ascii="Arial" w:hAnsi="Arial" w:cs="Arial"/>
          <w:b/>
          <w:sz w:val="18"/>
          <w:szCs w:val="20"/>
        </w:rPr>
        <w:t xml:space="preserve"> </w:t>
      </w:r>
      <w:r w:rsidRPr="00464A8C">
        <w:rPr>
          <w:rFonts w:ascii="Arial" w:hAnsi="Arial" w:cs="Arial"/>
          <w:b/>
          <w:sz w:val="18"/>
          <w:szCs w:val="20"/>
        </w:rPr>
        <w:t>in funding to support humanitarian, resilience and development activities in 20</w:t>
      </w:r>
      <w:r w:rsidR="000C098D" w:rsidRPr="00464A8C">
        <w:rPr>
          <w:rFonts w:ascii="Arial" w:hAnsi="Arial" w:cs="Arial"/>
          <w:b/>
          <w:sz w:val="18"/>
          <w:szCs w:val="20"/>
        </w:rPr>
        <w:t>2</w:t>
      </w:r>
      <w:r w:rsidR="009B7DCB">
        <w:rPr>
          <w:rFonts w:ascii="Arial" w:hAnsi="Arial" w:cs="Arial"/>
          <w:b/>
          <w:sz w:val="18"/>
          <w:szCs w:val="20"/>
        </w:rPr>
        <w:t>2</w:t>
      </w:r>
      <w:r w:rsidRPr="00464A8C">
        <w:rPr>
          <w:rFonts w:ascii="Arial" w:hAnsi="Arial" w:cs="Arial"/>
          <w:b/>
          <w:sz w:val="18"/>
          <w:szCs w:val="20"/>
        </w:rPr>
        <w:t xml:space="preserve"> for the Syria crisis response</w:t>
      </w:r>
      <w:r w:rsidRPr="00464A8C">
        <w:rPr>
          <w:rFonts w:ascii="Arial" w:hAnsi="Arial" w:cs="Arial"/>
          <w:sz w:val="18"/>
          <w:szCs w:val="20"/>
        </w:rPr>
        <w:t>, which includes pledges towards the Syria H</w:t>
      </w:r>
      <w:r w:rsidR="00CC79FA" w:rsidRPr="00464A8C">
        <w:rPr>
          <w:rFonts w:ascii="Arial" w:hAnsi="Arial" w:cs="Arial"/>
          <w:sz w:val="18"/>
          <w:szCs w:val="20"/>
        </w:rPr>
        <w:t>umanitarian Response Plan (HRP)</w:t>
      </w:r>
      <w:r w:rsidR="00AE196C" w:rsidRPr="00464A8C">
        <w:rPr>
          <w:rFonts w:ascii="Arial" w:hAnsi="Arial" w:cs="Arial"/>
          <w:sz w:val="18"/>
          <w:szCs w:val="20"/>
        </w:rPr>
        <w:t>,</w:t>
      </w:r>
      <w:r w:rsidRPr="00464A8C">
        <w:rPr>
          <w:rFonts w:ascii="Arial" w:hAnsi="Arial" w:cs="Arial"/>
          <w:sz w:val="18"/>
          <w:szCs w:val="20"/>
        </w:rPr>
        <w:t xml:space="preserve"> the Regional Refugee and Resilience Plan (3RP),</w:t>
      </w:r>
      <w:r w:rsidR="005B0381" w:rsidRPr="00464A8C">
        <w:rPr>
          <w:rFonts w:ascii="Arial" w:hAnsi="Arial" w:cs="Arial"/>
          <w:sz w:val="18"/>
          <w:szCs w:val="20"/>
        </w:rPr>
        <w:t xml:space="preserve"> </w:t>
      </w:r>
      <w:r w:rsidRPr="00464A8C">
        <w:rPr>
          <w:rFonts w:ascii="Arial" w:hAnsi="Arial" w:cs="Arial"/>
          <w:sz w:val="18"/>
          <w:szCs w:val="20"/>
        </w:rPr>
        <w:t>and the ICRC Syria</w:t>
      </w:r>
      <w:r w:rsidR="00F3069F" w:rsidRPr="00464A8C">
        <w:rPr>
          <w:rFonts w:ascii="Arial" w:hAnsi="Arial" w:cs="Arial"/>
          <w:sz w:val="18"/>
          <w:szCs w:val="20"/>
        </w:rPr>
        <w:t xml:space="preserve"> Crisis</w:t>
      </w:r>
      <w:r w:rsidRPr="00464A8C">
        <w:rPr>
          <w:rFonts w:ascii="Arial" w:hAnsi="Arial" w:cs="Arial"/>
          <w:sz w:val="18"/>
          <w:szCs w:val="20"/>
        </w:rPr>
        <w:t xml:space="preserve"> appeals. This funding also includes support </w:t>
      </w:r>
      <w:r w:rsidR="00473174" w:rsidRPr="00464A8C">
        <w:rPr>
          <w:rFonts w:ascii="Arial" w:hAnsi="Arial" w:cs="Arial"/>
          <w:sz w:val="18"/>
          <w:szCs w:val="20"/>
        </w:rPr>
        <w:t xml:space="preserve">channelled via </w:t>
      </w:r>
      <w:r w:rsidR="00062B74" w:rsidRPr="00464A8C">
        <w:rPr>
          <w:rFonts w:ascii="Arial" w:hAnsi="Arial" w:cs="Arial"/>
          <w:sz w:val="18"/>
          <w:szCs w:val="20"/>
        </w:rPr>
        <w:t>multi-donor mechanisms, as well as</w:t>
      </w:r>
      <w:r w:rsidRPr="00464A8C">
        <w:rPr>
          <w:rFonts w:ascii="Arial" w:hAnsi="Arial" w:cs="Arial"/>
          <w:sz w:val="18"/>
          <w:szCs w:val="20"/>
        </w:rPr>
        <w:t xml:space="preserve"> other funding for 20</w:t>
      </w:r>
      <w:r w:rsidR="00B050E3" w:rsidRPr="00464A8C">
        <w:rPr>
          <w:rFonts w:ascii="Arial" w:hAnsi="Arial" w:cs="Arial"/>
          <w:sz w:val="18"/>
          <w:szCs w:val="20"/>
        </w:rPr>
        <w:t>2</w:t>
      </w:r>
      <w:r w:rsidR="009B7DCB">
        <w:rPr>
          <w:rFonts w:ascii="Arial" w:hAnsi="Arial" w:cs="Arial"/>
          <w:sz w:val="18"/>
          <w:szCs w:val="20"/>
        </w:rPr>
        <w:t>2</w:t>
      </w:r>
      <w:r w:rsidR="0026568D" w:rsidRPr="00464A8C">
        <w:rPr>
          <w:rFonts w:ascii="Arial" w:hAnsi="Arial" w:cs="Arial"/>
          <w:sz w:val="18"/>
          <w:szCs w:val="20"/>
        </w:rPr>
        <w:t xml:space="preserve">. </w:t>
      </w:r>
      <w:r w:rsidR="007F0D3B" w:rsidRPr="00464A8C">
        <w:rPr>
          <w:rFonts w:ascii="Arial" w:hAnsi="Arial" w:cs="Arial"/>
          <w:sz w:val="18"/>
          <w:szCs w:val="20"/>
        </w:rPr>
        <w:t>It</w:t>
      </w:r>
      <w:r w:rsidR="0026568D" w:rsidRPr="00464A8C">
        <w:rPr>
          <w:rFonts w:ascii="Arial" w:hAnsi="Arial" w:cs="Arial"/>
          <w:sz w:val="18"/>
          <w:szCs w:val="20"/>
        </w:rPr>
        <w:t xml:space="preserve"> will help to meet the immediate </w:t>
      </w:r>
      <w:r w:rsidR="00AA4DE9" w:rsidRPr="00464A8C">
        <w:rPr>
          <w:rFonts w:ascii="Arial" w:hAnsi="Arial" w:cs="Arial"/>
          <w:sz w:val="18"/>
          <w:szCs w:val="20"/>
        </w:rPr>
        <w:t xml:space="preserve">and basic </w:t>
      </w:r>
      <w:r w:rsidR="0026568D" w:rsidRPr="00464A8C">
        <w:rPr>
          <w:rFonts w:ascii="Arial" w:hAnsi="Arial" w:cs="Arial"/>
          <w:sz w:val="18"/>
          <w:szCs w:val="20"/>
        </w:rPr>
        <w:t>needs of those affected by the</w:t>
      </w:r>
      <w:r w:rsidR="00BA6FF7" w:rsidRPr="00464A8C">
        <w:rPr>
          <w:rFonts w:ascii="Arial" w:hAnsi="Arial" w:cs="Arial"/>
          <w:sz w:val="18"/>
          <w:szCs w:val="20"/>
        </w:rPr>
        <w:t xml:space="preserve"> humanitarian</w:t>
      </w:r>
      <w:r w:rsidR="0026568D" w:rsidRPr="00464A8C">
        <w:rPr>
          <w:rFonts w:ascii="Arial" w:hAnsi="Arial" w:cs="Arial"/>
          <w:sz w:val="18"/>
          <w:szCs w:val="20"/>
        </w:rPr>
        <w:t xml:space="preserve"> crisis</w:t>
      </w:r>
      <w:r w:rsidR="00AA4DE9" w:rsidRPr="00464A8C">
        <w:rPr>
          <w:rFonts w:ascii="Arial" w:hAnsi="Arial" w:cs="Arial"/>
          <w:sz w:val="18"/>
          <w:szCs w:val="20"/>
        </w:rPr>
        <w:t xml:space="preserve"> in Syria</w:t>
      </w:r>
      <w:r w:rsidR="00B156E5" w:rsidRPr="00464A8C">
        <w:rPr>
          <w:rFonts w:ascii="Arial" w:hAnsi="Arial" w:cs="Arial"/>
          <w:sz w:val="18"/>
          <w:szCs w:val="20"/>
        </w:rPr>
        <w:t>,</w:t>
      </w:r>
      <w:r w:rsidR="00AA4DE9" w:rsidRPr="00464A8C">
        <w:rPr>
          <w:rFonts w:ascii="Arial" w:hAnsi="Arial" w:cs="Arial"/>
          <w:sz w:val="18"/>
          <w:szCs w:val="20"/>
        </w:rPr>
        <w:t xml:space="preserve"> </w:t>
      </w:r>
      <w:r w:rsidR="00D02727" w:rsidRPr="00464A8C">
        <w:rPr>
          <w:rFonts w:ascii="Arial" w:hAnsi="Arial" w:cs="Arial"/>
          <w:sz w:val="18"/>
          <w:szCs w:val="20"/>
        </w:rPr>
        <w:t xml:space="preserve">including </w:t>
      </w:r>
      <w:r w:rsidR="00AA4DE9" w:rsidRPr="00464A8C">
        <w:rPr>
          <w:rFonts w:ascii="Arial" w:hAnsi="Arial" w:cs="Arial"/>
          <w:sz w:val="18"/>
          <w:szCs w:val="20"/>
        </w:rPr>
        <w:t>support</w:t>
      </w:r>
      <w:r w:rsidR="00D02727" w:rsidRPr="00464A8C">
        <w:rPr>
          <w:rFonts w:ascii="Arial" w:hAnsi="Arial" w:cs="Arial"/>
          <w:sz w:val="18"/>
          <w:szCs w:val="20"/>
        </w:rPr>
        <w:t>ing</w:t>
      </w:r>
      <w:r w:rsidR="00AA4DE9" w:rsidRPr="00464A8C">
        <w:rPr>
          <w:rFonts w:ascii="Arial" w:hAnsi="Arial" w:cs="Arial"/>
          <w:sz w:val="18"/>
          <w:szCs w:val="20"/>
        </w:rPr>
        <w:t xml:space="preserve"> </w:t>
      </w:r>
      <w:r w:rsidR="00D7072B" w:rsidRPr="00464A8C">
        <w:rPr>
          <w:rFonts w:ascii="Arial" w:hAnsi="Arial" w:cs="Arial"/>
          <w:sz w:val="18"/>
          <w:szCs w:val="20"/>
        </w:rPr>
        <w:t xml:space="preserve">resilience </w:t>
      </w:r>
      <w:r w:rsidR="00AA4DE9" w:rsidRPr="00464A8C">
        <w:rPr>
          <w:rFonts w:ascii="Arial" w:hAnsi="Arial" w:cs="Arial"/>
          <w:sz w:val="18"/>
          <w:szCs w:val="20"/>
        </w:rPr>
        <w:t>efforts</w:t>
      </w:r>
      <w:r w:rsidR="00D02727" w:rsidRPr="00464A8C">
        <w:rPr>
          <w:rFonts w:ascii="Arial" w:hAnsi="Arial" w:cs="Arial"/>
          <w:sz w:val="18"/>
          <w:szCs w:val="20"/>
        </w:rPr>
        <w:t xml:space="preserve"> </w:t>
      </w:r>
      <w:r w:rsidR="00DB6FDB" w:rsidRPr="00464A8C">
        <w:rPr>
          <w:rFonts w:ascii="Arial" w:hAnsi="Arial" w:cs="Arial"/>
          <w:sz w:val="18"/>
          <w:szCs w:val="20"/>
        </w:rPr>
        <w:t>as well as supporting</w:t>
      </w:r>
      <w:r w:rsidR="00D7072B" w:rsidRPr="00464A8C">
        <w:rPr>
          <w:rFonts w:ascii="Arial" w:hAnsi="Arial" w:cs="Arial"/>
          <w:sz w:val="18"/>
          <w:szCs w:val="20"/>
        </w:rPr>
        <w:t xml:space="preserve"> </w:t>
      </w:r>
      <w:r w:rsidR="00DB6FDB" w:rsidRPr="00464A8C">
        <w:rPr>
          <w:rFonts w:ascii="Arial" w:hAnsi="Arial" w:cs="Arial"/>
          <w:sz w:val="18"/>
          <w:szCs w:val="20"/>
        </w:rPr>
        <w:t>host</w:t>
      </w:r>
      <w:r w:rsidR="00AA4DE9" w:rsidRPr="00464A8C">
        <w:rPr>
          <w:rFonts w:ascii="Arial" w:hAnsi="Arial" w:cs="Arial"/>
          <w:sz w:val="18"/>
          <w:szCs w:val="20"/>
        </w:rPr>
        <w:t xml:space="preserve"> countries to address the impact of the protracted crisis</w:t>
      </w:r>
      <w:r w:rsidR="00D7072B" w:rsidRPr="00464A8C">
        <w:rPr>
          <w:rFonts w:ascii="Arial" w:hAnsi="Arial" w:cs="Arial"/>
          <w:sz w:val="18"/>
          <w:szCs w:val="20"/>
        </w:rPr>
        <w:t xml:space="preserve">. These </w:t>
      </w:r>
      <w:r w:rsidR="00B62123" w:rsidRPr="00464A8C">
        <w:rPr>
          <w:rFonts w:ascii="Arial" w:hAnsi="Arial" w:cs="Arial"/>
          <w:sz w:val="18"/>
          <w:szCs w:val="20"/>
        </w:rPr>
        <w:t xml:space="preserve">efforts will </w:t>
      </w:r>
      <w:r w:rsidR="009B4C12" w:rsidRPr="00464A8C">
        <w:rPr>
          <w:rFonts w:ascii="Arial" w:hAnsi="Arial" w:cs="Arial"/>
          <w:sz w:val="18"/>
          <w:szCs w:val="20"/>
        </w:rPr>
        <w:t xml:space="preserve">aim to </w:t>
      </w:r>
      <w:r w:rsidR="00AA4DE9" w:rsidRPr="00464A8C">
        <w:rPr>
          <w:rFonts w:ascii="Arial" w:hAnsi="Arial" w:cs="Arial"/>
          <w:sz w:val="18"/>
          <w:szCs w:val="20"/>
        </w:rPr>
        <w:t xml:space="preserve">secure </w:t>
      </w:r>
      <w:r w:rsidR="00B156E5" w:rsidRPr="00464A8C">
        <w:rPr>
          <w:rFonts w:ascii="Arial" w:hAnsi="Arial" w:cs="Arial"/>
          <w:sz w:val="18"/>
          <w:szCs w:val="20"/>
        </w:rPr>
        <w:t xml:space="preserve">quality </w:t>
      </w:r>
      <w:r w:rsidR="00AA4DE9" w:rsidRPr="00464A8C">
        <w:rPr>
          <w:rFonts w:ascii="Arial" w:hAnsi="Arial" w:cs="Arial"/>
          <w:sz w:val="18"/>
          <w:szCs w:val="20"/>
        </w:rPr>
        <w:t xml:space="preserve">education </w:t>
      </w:r>
      <w:r w:rsidR="00B62123" w:rsidRPr="00464A8C">
        <w:rPr>
          <w:rFonts w:ascii="Arial" w:hAnsi="Arial" w:cs="Arial"/>
          <w:sz w:val="18"/>
          <w:szCs w:val="20"/>
        </w:rPr>
        <w:t xml:space="preserve">for all children </w:t>
      </w:r>
      <w:r w:rsidR="00AA4DE9" w:rsidRPr="00464A8C">
        <w:rPr>
          <w:rFonts w:ascii="Arial" w:hAnsi="Arial" w:cs="Arial"/>
          <w:sz w:val="18"/>
          <w:szCs w:val="20"/>
        </w:rPr>
        <w:t xml:space="preserve">and livelihood opportunities for </w:t>
      </w:r>
      <w:r w:rsidR="00B156E5" w:rsidRPr="00464A8C">
        <w:rPr>
          <w:rFonts w:ascii="Arial" w:hAnsi="Arial" w:cs="Arial"/>
          <w:sz w:val="18"/>
          <w:szCs w:val="20"/>
        </w:rPr>
        <w:t>refugees and affected communities</w:t>
      </w:r>
      <w:r w:rsidR="00AA4DE9" w:rsidRPr="00464A8C">
        <w:rPr>
          <w:rFonts w:ascii="Arial" w:hAnsi="Arial" w:cs="Arial"/>
          <w:sz w:val="18"/>
          <w:szCs w:val="20"/>
        </w:rPr>
        <w:t xml:space="preserve"> </w:t>
      </w:r>
      <w:r w:rsidR="00B62123" w:rsidRPr="00464A8C">
        <w:rPr>
          <w:rFonts w:ascii="Arial" w:hAnsi="Arial" w:cs="Arial"/>
          <w:sz w:val="18"/>
          <w:szCs w:val="20"/>
        </w:rPr>
        <w:t xml:space="preserve">as well as promote </w:t>
      </w:r>
      <w:r w:rsidR="009B4C12" w:rsidRPr="00464A8C">
        <w:rPr>
          <w:rFonts w:ascii="Arial" w:hAnsi="Arial" w:cs="Arial"/>
          <w:sz w:val="18"/>
          <w:szCs w:val="20"/>
        </w:rPr>
        <w:t xml:space="preserve">basic public services and </w:t>
      </w:r>
      <w:r w:rsidR="00B62123" w:rsidRPr="00464A8C">
        <w:rPr>
          <w:rFonts w:ascii="Arial" w:hAnsi="Arial" w:cs="Arial"/>
          <w:sz w:val="18"/>
          <w:szCs w:val="20"/>
        </w:rPr>
        <w:t>economi</w:t>
      </w:r>
      <w:r w:rsidR="009B4C12" w:rsidRPr="00464A8C">
        <w:rPr>
          <w:rFonts w:ascii="Arial" w:hAnsi="Arial" w:cs="Arial"/>
          <w:sz w:val="18"/>
          <w:szCs w:val="20"/>
        </w:rPr>
        <w:t>c growth for the benefit of all</w:t>
      </w:r>
      <w:r w:rsidR="00B62123" w:rsidRPr="00464A8C">
        <w:rPr>
          <w:rFonts w:ascii="Arial" w:hAnsi="Arial" w:cs="Arial"/>
          <w:sz w:val="18"/>
          <w:szCs w:val="20"/>
        </w:rPr>
        <w:t xml:space="preserve"> </w:t>
      </w:r>
      <w:r w:rsidR="00AA4DE9" w:rsidRPr="00464A8C">
        <w:rPr>
          <w:rFonts w:ascii="Arial" w:hAnsi="Arial" w:cs="Arial"/>
          <w:i/>
          <w:sz w:val="18"/>
          <w:szCs w:val="20"/>
        </w:rPr>
        <w:t>(see table</w:t>
      </w:r>
      <w:r w:rsidR="000F66FC" w:rsidRPr="00464A8C">
        <w:rPr>
          <w:rFonts w:ascii="Arial" w:hAnsi="Arial" w:cs="Arial"/>
          <w:i/>
          <w:sz w:val="18"/>
          <w:szCs w:val="20"/>
        </w:rPr>
        <w:t xml:space="preserve"> </w:t>
      </w:r>
      <w:r w:rsidR="006F197B" w:rsidRPr="00464A8C">
        <w:rPr>
          <w:rFonts w:ascii="Arial" w:hAnsi="Arial" w:cs="Arial"/>
          <w:i/>
          <w:sz w:val="18"/>
          <w:szCs w:val="20"/>
        </w:rPr>
        <w:t>2</w:t>
      </w:r>
      <w:r w:rsidR="00AA4DE9" w:rsidRPr="00464A8C">
        <w:rPr>
          <w:rFonts w:ascii="Arial" w:hAnsi="Arial" w:cs="Arial"/>
          <w:i/>
          <w:sz w:val="18"/>
          <w:szCs w:val="20"/>
        </w:rPr>
        <w:t>)</w:t>
      </w:r>
      <w:r w:rsidR="000E20C9" w:rsidRPr="00464A8C">
        <w:rPr>
          <w:rFonts w:ascii="Arial" w:hAnsi="Arial" w:cs="Arial"/>
          <w:i/>
          <w:sz w:val="18"/>
          <w:szCs w:val="20"/>
        </w:rPr>
        <w:t>.</w:t>
      </w:r>
    </w:p>
    <w:p w14:paraId="360D4F8C" w14:textId="08DAA924" w:rsidR="00350DD6" w:rsidRPr="001F4BE4" w:rsidRDefault="0026568D" w:rsidP="001F4BE4">
      <w:pPr>
        <w:spacing w:line="320" w:lineRule="auto"/>
        <w:jc w:val="both"/>
        <w:rPr>
          <w:rFonts w:ascii="Arial" w:hAnsi="Arial" w:cs="Arial"/>
          <w:sz w:val="18"/>
          <w:szCs w:val="20"/>
        </w:rPr>
      </w:pPr>
      <w:r w:rsidRPr="00464A8C">
        <w:rPr>
          <w:rFonts w:ascii="Arial" w:hAnsi="Arial" w:cs="Arial"/>
          <w:b/>
          <w:sz w:val="18"/>
          <w:szCs w:val="20"/>
        </w:rPr>
        <w:t xml:space="preserve">The international community </w:t>
      </w:r>
      <w:r w:rsidR="00701133" w:rsidRPr="00464A8C">
        <w:rPr>
          <w:rFonts w:ascii="Arial" w:hAnsi="Arial" w:cs="Arial"/>
          <w:b/>
          <w:sz w:val="18"/>
          <w:szCs w:val="20"/>
        </w:rPr>
        <w:t>confirmed</w:t>
      </w:r>
      <w:r w:rsidRPr="00464A8C">
        <w:rPr>
          <w:rFonts w:ascii="Arial" w:hAnsi="Arial" w:cs="Arial"/>
          <w:b/>
          <w:sz w:val="18"/>
          <w:szCs w:val="20"/>
        </w:rPr>
        <w:t xml:space="preserve"> </w:t>
      </w:r>
      <w:r w:rsidR="00F919A1">
        <w:rPr>
          <w:rFonts w:ascii="Arial" w:hAnsi="Arial" w:cs="Arial"/>
          <w:b/>
          <w:sz w:val="18"/>
          <w:szCs w:val="20"/>
        </w:rPr>
        <w:t xml:space="preserve">close to </w:t>
      </w:r>
      <w:r w:rsidRPr="00464A8C">
        <w:rPr>
          <w:rFonts w:ascii="Arial" w:hAnsi="Arial" w:cs="Arial"/>
          <w:b/>
          <w:sz w:val="18"/>
          <w:szCs w:val="20"/>
        </w:rPr>
        <w:t>EUR</w:t>
      </w:r>
      <w:r w:rsidR="00F919A1">
        <w:rPr>
          <w:rFonts w:ascii="Arial" w:hAnsi="Arial" w:cs="Arial"/>
          <w:b/>
          <w:sz w:val="18"/>
          <w:szCs w:val="20"/>
        </w:rPr>
        <w:t xml:space="preserve"> 2.3</w:t>
      </w:r>
      <w:r w:rsidR="007B6E8B" w:rsidRPr="00464A8C">
        <w:rPr>
          <w:rFonts w:ascii="Arial" w:hAnsi="Arial" w:cs="Arial"/>
          <w:b/>
          <w:sz w:val="18"/>
          <w:szCs w:val="20"/>
        </w:rPr>
        <w:t xml:space="preserve"> </w:t>
      </w:r>
      <w:r w:rsidR="00350DD6" w:rsidRPr="00464A8C">
        <w:rPr>
          <w:rFonts w:ascii="Arial" w:hAnsi="Arial" w:cs="Arial"/>
          <w:b/>
          <w:sz w:val="18"/>
          <w:szCs w:val="20"/>
        </w:rPr>
        <w:t>billion</w:t>
      </w:r>
      <w:r w:rsidR="0093439A" w:rsidRPr="00464A8C">
        <w:rPr>
          <w:rFonts w:ascii="Arial" w:hAnsi="Arial" w:cs="Arial"/>
          <w:b/>
          <w:sz w:val="18"/>
          <w:szCs w:val="20"/>
        </w:rPr>
        <w:t xml:space="preserve"> </w:t>
      </w:r>
      <w:r w:rsidR="00F919A1">
        <w:rPr>
          <w:rFonts w:ascii="Arial" w:hAnsi="Arial" w:cs="Arial"/>
          <w:b/>
          <w:sz w:val="18"/>
          <w:szCs w:val="20"/>
        </w:rPr>
        <w:t>/ USD 2.4</w:t>
      </w:r>
      <w:r w:rsidRPr="00464A8C">
        <w:rPr>
          <w:rFonts w:ascii="Arial" w:hAnsi="Arial" w:cs="Arial"/>
          <w:b/>
          <w:sz w:val="18"/>
          <w:szCs w:val="20"/>
        </w:rPr>
        <w:t xml:space="preserve"> billion in funding for humanitarian, resilience a</w:t>
      </w:r>
      <w:r w:rsidR="00AE7F79" w:rsidRPr="00464A8C">
        <w:rPr>
          <w:rFonts w:ascii="Arial" w:hAnsi="Arial" w:cs="Arial"/>
          <w:b/>
          <w:sz w:val="18"/>
          <w:szCs w:val="20"/>
        </w:rPr>
        <w:t>nd development activities in 202</w:t>
      </w:r>
      <w:r w:rsidR="009B7DCB">
        <w:rPr>
          <w:rFonts w:ascii="Arial" w:hAnsi="Arial" w:cs="Arial"/>
          <w:b/>
          <w:sz w:val="18"/>
          <w:szCs w:val="20"/>
        </w:rPr>
        <w:t>3</w:t>
      </w:r>
      <w:r w:rsidRPr="00464A8C">
        <w:rPr>
          <w:rFonts w:ascii="Arial" w:hAnsi="Arial" w:cs="Arial"/>
          <w:b/>
          <w:sz w:val="18"/>
          <w:szCs w:val="20"/>
        </w:rPr>
        <w:t xml:space="preserve"> </w:t>
      </w:r>
      <w:r w:rsidR="00AE7F79" w:rsidRPr="00464A8C">
        <w:rPr>
          <w:rFonts w:ascii="Arial" w:hAnsi="Arial" w:cs="Arial"/>
          <w:b/>
          <w:sz w:val="18"/>
          <w:szCs w:val="20"/>
        </w:rPr>
        <w:t xml:space="preserve">and beyond </w:t>
      </w:r>
      <w:r w:rsidRPr="00464A8C">
        <w:rPr>
          <w:rFonts w:ascii="Arial" w:hAnsi="Arial" w:cs="Arial"/>
          <w:b/>
          <w:sz w:val="18"/>
          <w:szCs w:val="20"/>
        </w:rPr>
        <w:t>for the Syria crisis response</w:t>
      </w:r>
      <w:r w:rsidRPr="001F4BE4">
        <w:rPr>
          <w:rFonts w:ascii="Arial" w:hAnsi="Arial" w:cs="Arial"/>
          <w:sz w:val="18"/>
          <w:szCs w:val="20"/>
        </w:rPr>
        <w:t xml:space="preserve">. This </w:t>
      </w:r>
      <w:r w:rsidR="00495FDA" w:rsidRPr="001F4BE4">
        <w:rPr>
          <w:rFonts w:ascii="Arial" w:hAnsi="Arial" w:cs="Arial"/>
          <w:sz w:val="18"/>
          <w:szCs w:val="20"/>
        </w:rPr>
        <w:t>multi-year</w:t>
      </w:r>
      <w:r w:rsidRPr="001F4BE4">
        <w:rPr>
          <w:rFonts w:ascii="Arial" w:hAnsi="Arial" w:cs="Arial"/>
          <w:sz w:val="18"/>
          <w:szCs w:val="20"/>
        </w:rPr>
        <w:t xml:space="preserve"> commitment by the international community to Syria and neighbouring countries is important in demonstrating a clear commitment to continued support for those most affected by the </w:t>
      </w:r>
      <w:r w:rsidR="00D7072B" w:rsidRPr="001F4BE4">
        <w:rPr>
          <w:rFonts w:ascii="Arial" w:hAnsi="Arial" w:cs="Arial"/>
          <w:sz w:val="18"/>
          <w:szCs w:val="20"/>
        </w:rPr>
        <w:t xml:space="preserve">Syrian </w:t>
      </w:r>
      <w:r w:rsidRPr="001F4BE4">
        <w:rPr>
          <w:rFonts w:ascii="Arial" w:hAnsi="Arial" w:cs="Arial"/>
          <w:sz w:val="18"/>
          <w:szCs w:val="20"/>
        </w:rPr>
        <w:t>crisis and ensuring humanitarian</w:t>
      </w:r>
      <w:r w:rsidR="00F3069F" w:rsidRPr="001F4BE4">
        <w:rPr>
          <w:rFonts w:ascii="Arial" w:hAnsi="Arial" w:cs="Arial"/>
          <w:sz w:val="18"/>
          <w:szCs w:val="20"/>
        </w:rPr>
        <w:t xml:space="preserve"> and development </w:t>
      </w:r>
      <w:r w:rsidRPr="001F4BE4">
        <w:rPr>
          <w:rFonts w:ascii="Arial" w:hAnsi="Arial" w:cs="Arial"/>
          <w:sz w:val="18"/>
          <w:szCs w:val="20"/>
        </w:rPr>
        <w:t>ag</w:t>
      </w:r>
      <w:r w:rsidR="00AE7F79" w:rsidRPr="001F4BE4">
        <w:rPr>
          <w:rFonts w:ascii="Arial" w:hAnsi="Arial" w:cs="Arial"/>
          <w:sz w:val="18"/>
          <w:szCs w:val="20"/>
        </w:rPr>
        <w:t xml:space="preserve">encies are able to plan ahead. </w:t>
      </w:r>
    </w:p>
    <w:p w14:paraId="37B18C45" w14:textId="77777777" w:rsidR="00891FD7" w:rsidRDefault="00891FD7" w:rsidP="000F66FC">
      <w:pPr>
        <w:pStyle w:val="ListParagraph"/>
        <w:spacing w:line="320" w:lineRule="auto"/>
        <w:ind w:left="0"/>
        <w:rPr>
          <w:rFonts w:ascii="Arial" w:hAnsi="Arial" w:cs="Arial"/>
          <w:color w:val="3F4A52"/>
          <w:sz w:val="20"/>
        </w:rPr>
      </w:pPr>
    </w:p>
    <w:p w14:paraId="315F07D0" w14:textId="77777777" w:rsidR="000F66FC" w:rsidRDefault="000F66FC" w:rsidP="000F66FC">
      <w:pPr>
        <w:pStyle w:val="ListParagraph"/>
        <w:spacing w:line="320" w:lineRule="auto"/>
        <w:ind w:left="0"/>
        <w:rPr>
          <w:rFonts w:ascii="Arial" w:hAnsi="Arial" w:cs="Arial"/>
          <w:color w:val="3F4A52"/>
          <w:sz w:val="20"/>
        </w:rPr>
      </w:pPr>
    </w:p>
    <w:p w14:paraId="25BB7AC0" w14:textId="77777777" w:rsidR="000F66FC" w:rsidRDefault="000F66FC" w:rsidP="000F66FC">
      <w:pPr>
        <w:pStyle w:val="ListParagraph"/>
        <w:spacing w:line="320" w:lineRule="auto"/>
        <w:ind w:left="0"/>
        <w:rPr>
          <w:rFonts w:ascii="Arial" w:hAnsi="Arial" w:cs="Arial"/>
          <w:color w:val="3F4A52"/>
          <w:sz w:val="20"/>
        </w:rPr>
      </w:pPr>
    </w:p>
    <w:p w14:paraId="2460D678" w14:textId="77777777" w:rsidR="000F66FC" w:rsidRDefault="000F66FC" w:rsidP="000F66FC">
      <w:pPr>
        <w:pStyle w:val="ListParagraph"/>
        <w:spacing w:line="320" w:lineRule="auto"/>
        <w:ind w:left="0"/>
        <w:rPr>
          <w:rFonts w:ascii="Arial" w:hAnsi="Arial" w:cs="Arial"/>
          <w:color w:val="3F4A52"/>
          <w:sz w:val="20"/>
        </w:rPr>
      </w:pPr>
    </w:p>
    <w:p w14:paraId="32106E58" w14:textId="77777777" w:rsidR="000F66FC" w:rsidRDefault="000F66FC" w:rsidP="000F66FC">
      <w:pPr>
        <w:pStyle w:val="ListParagraph"/>
        <w:spacing w:line="320" w:lineRule="auto"/>
        <w:ind w:left="0"/>
        <w:rPr>
          <w:rFonts w:ascii="Arial" w:hAnsi="Arial" w:cs="Arial"/>
          <w:color w:val="3F4A52"/>
          <w:sz w:val="20"/>
        </w:rPr>
      </w:pPr>
    </w:p>
    <w:p w14:paraId="3B65FB03" w14:textId="77777777" w:rsidR="000F66FC" w:rsidRDefault="000F66FC" w:rsidP="000F66FC">
      <w:pPr>
        <w:pStyle w:val="ListParagraph"/>
        <w:spacing w:line="320" w:lineRule="auto"/>
        <w:ind w:left="0"/>
        <w:rPr>
          <w:rFonts w:ascii="Arial" w:hAnsi="Arial" w:cs="Arial"/>
          <w:color w:val="3F4A52"/>
          <w:sz w:val="20"/>
        </w:rPr>
      </w:pPr>
    </w:p>
    <w:p w14:paraId="525B8226" w14:textId="77777777" w:rsidR="00350DD6" w:rsidRDefault="00350DD6" w:rsidP="000F66FC">
      <w:pPr>
        <w:spacing w:line="320" w:lineRule="auto"/>
        <w:rPr>
          <w:rFonts w:ascii="Arial" w:hAnsi="Arial" w:cs="Arial"/>
          <w:color w:val="3F4A52"/>
          <w:sz w:val="20"/>
        </w:rPr>
      </w:pPr>
    </w:p>
    <w:p w14:paraId="1B9CC067" w14:textId="77777777" w:rsidR="00EB16D4" w:rsidRPr="00345367" w:rsidRDefault="00EB16D4" w:rsidP="00EB16D4">
      <w:pPr>
        <w:spacing w:after="0" w:line="240" w:lineRule="auto"/>
        <w:rPr>
          <w:rFonts w:ascii="Arial" w:eastAsia="Times New Roman" w:hAnsi="Arial" w:cs="Arial"/>
          <w:sz w:val="18"/>
          <w:szCs w:val="24"/>
          <w:lang w:val="en-US"/>
        </w:rPr>
      </w:pPr>
      <w:r w:rsidRPr="00345367">
        <w:rPr>
          <w:rFonts w:ascii="Arial" w:eastAsia="Times New Roman" w:hAnsi="Arial" w:cs="Arial"/>
          <w:sz w:val="18"/>
          <w:szCs w:val="24"/>
          <w:lang w:val="en-US"/>
        </w:rPr>
        <w:lastRenderedPageBreak/>
        <w:t>–––</w:t>
      </w:r>
    </w:p>
    <w:p w14:paraId="678DE5AA" w14:textId="77777777" w:rsidR="00EB16D4" w:rsidRPr="00345367" w:rsidRDefault="00EB16D4" w:rsidP="00EB16D4">
      <w:pPr>
        <w:spacing w:after="0" w:line="240" w:lineRule="auto"/>
        <w:outlineLvl w:val="1"/>
        <w:rPr>
          <w:rFonts w:ascii="Arial" w:eastAsia="Times New Roman" w:hAnsi="Arial" w:cs="Arial"/>
          <w:b/>
          <w:sz w:val="16"/>
          <w:szCs w:val="42"/>
          <w:lang w:val="en-US"/>
        </w:rPr>
      </w:pPr>
    </w:p>
    <w:p w14:paraId="49B09814" w14:textId="77777777" w:rsidR="00EB16D4" w:rsidRPr="00345367" w:rsidRDefault="00EB16D4" w:rsidP="00EB16D4">
      <w:pPr>
        <w:spacing w:after="0"/>
        <w:outlineLvl w:val="1"/>
        <w:rPr>
          <w:rFonts w:ascii="Arial" w:eastAsia="Times New Roman" w:hAnsi="Arial" w:cs="Arial"/>
          <w:sz w:val="16"/>
          <w:szCs w:val="42"/>
          <w:lang w:val="en-US"/>
        </w:rPr>
      </w:pPr>
      <w:r w:rsidRPr="00345367">
        <w:rPr>
          <w:rFonts w:ascii="Arial" w:eastAsia="Times New Roman" w:hAnsi="Arial" w:cs="Arial"/>
          <w:sz w:val="16"/>
          <w:szCs w:val="42"/>
          <w:lang w:val="en-US"/>
        </w:rPr>
        <w:t xml:space="preserve">Table </w:t>
      </w:r>
      <w:r w:rsidR="00896D52">
        <w:rPr>
          <w:rFonts w:ascii="Arial" w:eastAsia="Times New Roman" w:hAnsi="Arial" w:cs="Arial"/>
          <w:sz w:val="16"/>
          <w:szCs w:val="42"/>
          <w:lang w:val="en-US"/>
        </w:rPr>
        <w:t>2</w:t>
      </w:r>
    </w:p>
    <w:p w14:paraId="16C711A2" w14:textId="77777777" w:rsidR="005D5BC2" w:rsidRPr="00345367" w:rsidRDefault="005D5BC2" w:rsidP="00F0544F">
      <w:pPr>
        <w:spacing w:after="0"/>
        <w:outlineLvl w:val="1"/>
        <w:rPr>
          <w:rFonts w:ascii="Arial" w:eastAsia="Times New Roman" w:hAnsi="Arial" w:cs="Arial"/>
          <w:b/>
          <w:sz w:val="24"/>
          <w:szCs w:val="42"/>
          <w:lang w:val="en-US"/>
        </w:rPr>
      </w:pPr>
      <w:r w:rsidRPr="00345367">
        <w:rPr>
          <w:rFonts w:ascii="Arial" w:eastAsia="Times New Roman" w:hAnsi="Arial" w:cs="Arial"/>
          <w:b/>
          <w:sz w:val="24"/>
          <w:szCs w:val="42"/>
          <w:lang w:val="en-US"/>
        </w:rPr>
        <w:t xml:space="preserve">Funding </w:t>
      </w:r>
      <w:r w:rsidR="0015629E" w:rsidRPr="00345367">
        <w:rPr>
          <w:rFonts w:ascii="Arial" w:eastAsia="Times New Roman" w:hAnsi="Arial" w:cs="Arial"/>
          <w:b/>
          <w:sz w:val="24"/>
          <w:szCs w:val="42"/>
          <w:lang w:val="en-US"/>
        </w:rPr>
        <w:t>a</w:t>
      </w:r>
      <w:r w:rsidRPr="00345367">
        <w:rPr>
          <w:rFonts w:ascii="Arial" w:eastAsia="Times New Roman" w:hAnsi="Arial" w:cs="Arial"/>
          <w:b/>
          <w:sz w:val="24"/>
          <w:szCs w:val="42"/>
          <w:lang w:val="en-US"/>
        </w:rPr>
        <w:t xml:space="preserve">nnouncements </w:t>
      </w:r>
    </w:p>
    <w:p w14:paraId="6DFC2993" w14:textId="3F0CEBFC" w:rsidR="005D5BC2" w:rsidRPr="00345367" w:rsidRDefault="005D5BC2" w:rsidP="00F0544F">
      <w:pPr>
        <w:spacing w:after="0"/>
        <w:outlineLvl w:val="1"/>
        <w:rPr>
          <w:rFonts w:ascii="Arial" w:eastAsia="Times New Roman" w:hAnsi="Arial" w:cs="Arial"/>
          <w:b/>
          <w:sz w:val="24"/>
          <w:szCs w:val="42"/>
          <w:lang w:val="en-US"/>
        </w:rPr>
      </w:pPr>
      <w:proofErr w:type="gramStart"/>
      <w:r w:rsidRPr="00345367">
        <w:rPr>
          <w:rFonts w:ascii="Arial" w:eastAsia="Times New Roman" w:hAnsi="Arial" w:cs="Arial"/>
          <w:b/>
          <w:sz w:val="24"/>
          <w:szCs w:val="42"/>
          <w:lang w:val="en-US"/>
        </w:rPr>
        <w:t>by</w:t>
      </w:r>
      <w:proofErr w:type="gramEnd"/>
      <w:r w:rsidRPr="00345367">
        <w:rPr>
          <w:rFonts w:ascii="Arial" w:eastAsia="Times New Roman" w:hAnsi="Arial" w:cs="Arial"/>
          <w:b/>
          <w:sz w:val="24"/>
          <w:szCs w:val="42"/>
          <w:lang w:val="en-US"/>
        </w:rPr>
        <w:t xml:space="preserve"> Countr</w:t>
      </w:r>
      <w:r w:rsidR="0015629E" w:rsidRPr="00345367">
        <w:rPr>
          <w:rFonts w:ascii="Arial" w:eastAsia="Times New Roman" w:hAnsi="Arial" w:cs="Arial"/>
          <w:b/>
          <w:sz w:val="24"/>
          <w:szCs w:val="42"/>
          <w:lang w:val="en-US"/>
        </w:rPr>
        <w:t>ies</w:t>
      </w:r>
      <w:r w:rsidR="00F919A1">
        <w:rPr>
          <w:rFonts w:ascii="Arial" w:eastAsia="Times New Roman" w:hAnsi="Arial" w:cs="Arial"/>
          <w:b/>
          <w:sz w:val="24"/>
          <w:szCs w:val="42"/>
          <w:lang w:val="en-US"/>
        </w:rPr>
        <w:t xml:space="preserve"> and Organis</w:t>
      </w:r>
      <w:r w:rsidRPr="00345367">
        <w:rPr>
          <w:rFonts w:ascii="Arial" w:eastAsia="Times New Roman" w:hAnsi="Arial" w:cs="Arial"/>
          <w:b/>
          <w:sz w:val="24"/>
          <w:szCs w:val="42"/>
          <w:lang w:val="en-US"/>
        </w:rPr>
        <w:t>ation</w:t>
      </w:r>
      <w:r w:rsidR="0015629E" w:rsidRPr="00345367">
        <w:rPr>
          <w:rFonts w:ascii="Arial" w:eastAsia="Times New Roman" w:hAnsi="Arial" w:cs="Arial"/>
          <w:b/>
          <w:sz w:val="24"/>
          <w:szCs w:val="42"/>
          <w:lang w:val="en-US"/>
        </w:rPr>
        <w:t>s</w:t>
      </w:r>
    </w:p>
    <w:p w14:paraId="7DD3CF4E" w14:textId="51F48D61" w:rsidR="008A2401" w:rsidRPr="00345367" w:rsidRDefault="005D5BC2" w:rsidP="00F0544F">
      <w:pPr>
        <w:spacing w:after="0"/>
        <w:outlineLvl w:val="1"/>
        <w:rPr>
          <w:rFonts w:ascii="Arial" w:eastAsia="Times New Roman" w:hAnsi="Arial" w:cs="Arial"/>
          <w:sz w:val="24"/>
          <w:szCs w:val="42"/>
          <w:lang w:val="en-US"/>
        </w:rPr>
      </w:pPr>
      <w:r w:rsidRPr="00345367">
        <w:rPr>
          <w:rFonts w:ascii="Arial" w:eastAsia="Times New Roman" w:hAnsi="Arial" w:cs="Arial"/>
          <w:sz w:val="24"/>
          <w:szCs w:val="42"/>
          <w:lang w:val="en-US"/>
        </w:rPr>
        <w:t>20</w:t>
      </w:r>
      <w:r w:rsidR="000C098D">
        <w:rPr>
          <w:rFonts w:ascii="Arial" w:eastAsia="Times New Roman" w:hAnsi="Arial" w:cs="Arial"/>
          <w:sz w:val="24"/>
          <w:szCs w:val="42"/>
          <w:lang w:val="en-US"/>
        </w:rPr>
        <w:t>2</w:t>
      </w:r>
      <w:r w:rsidR="009B7DCB">
        <w:rPr>
          <w:rFonts w:ascii="Arial" w:eastAsia="Times New Roman" w:hAnsi="Arial" w:cs="Arial"/>
          <w:sz w:val="24"/>
          <w:szCs w:val="42"/>
          <w:lang w:val="en-US"/>
        </w:rPr>
        <w:t>2</w:t>
      </w:r>
      <w:r w:rsidRPr="00345367">
        <w:rPr>
          <w:rFonts w:ascii="Arial" w:eastAsia="Times New Roman" w:hAnsi="Arial" w:cs="Arial"/>
          <w:sz w:val="24"/>
          <w:szCs w:val="42"/>
          <w:lang w:val="en-US"/>
        </w:rPr>
        <w:t xml:space="preserve"> </w:t>
      </w:r>
      <w:r w:rsidR="00A5735A" w:rsidRPr="00345367">
        <w:rPr>
          <w:rFonts w:ascii="Arial" w:eastAsia="Times New Roman" w:hAnsi="Arial" w:cs="Arial"/>
          <w:sz w:val="24"/>
          <w:szCs w:val="42"/>
          <w:lang w:val="en-US"/>
        </w:rPr>
        <w:t>&amp; 202</w:t>
      </w:r>
      <w:r w:rsidR="009B7DCB">
        <w:rPr>
          <w:rFonts w:ascii="Arial" w:eastAsia="Times New Roman" w:hAnsi="Arial" w:cs="Arial"/>
          <w:sz w:val="24"/>
          <w:szCs w:val="42"/>
          <w:lang w:val="en-US"/>
        </w:rPr>
        <w:t>3</w:t>
      </w:r>
      <w:r w:rsidR="00A5735A" w:rsidRPr="00345367">
        <w:rPr>
          <w:rFonts w:ascii="Arial" w:eastAsia="Times New Roman" w:hAnsi="Arial" w:cs="Arial"/>
          <w:sz w:val="24"/>
          <w:szCs w:val="42"/>
          <w:lang w:val="en-US"/>
        </w:rPr>
        <w:t xml:space="preserve"> </w:t>
      </w:r>
      <w:r w:rsidRPr="00345367">
        <w:rPr>
          <w:rFonts w:ascii="Arial" w:eastAsia="Times New Roman" w:hAnsi="Arial" w:cs="Arial"/>
          <w:sz w:val="24"/>
          <w:szCs w:val="42"/>
          <w:lang w:val="en-US"/>
        </w:rPr>
        <w:t>and beyond</w:t>
      </w:r>
    </w:p>
    <w:p w14:paraId="41C4DA8C" w14:textId="3902D272" w:rsidR="0015629E" w:rsidRDefault="00F919A1" w:rsidP="000F66FC">
      <w:pPr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(</w:t>
      </w:r>
      <w:proofErr w:type="gramStart"/>
      <w:r>
        <w:rPr>
          <w:rFonts w:ascii="Arial" w:eastAsia="Times New Roman" w:hAnsi="Arial" w:cs="Arial"/>
          <w:sz w:val="20"/>
          <w:szCs w:val="20"/>
          <w:lang w:val="en-US"/>
        </w:rPr>
        <w:t>by</w:t>
      </w:r>
      <w:proofErr w:type="gramEnd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111DC1" w:rsidRPr="00534DF2">
        <w:rPr>
          <w:rFonts w:ascii="Arial" w:eastAsia="Times New Roman" w:hAnsi="Arial" w:cs="Arial"/>
          <w:sz w:val="20"/>
          <w:szCs w:val="20"/>
          <w:lang w:val="en-US"/>
        </w:rPr>
        <w:t>order of funding for 20</w:t>
      </w:r>
      <w:r w:rsidR="000C098D" w:rsidRPr="00534DF2">
        <w:rPr>
          <w:rFonts w:ascii="Arial" w:eastAsia="Times New Roman" w:hAnsi="Arial" w:cs="Arial"/>
          <w:sz w:val="20"/>
          <w:szCs w:val="20"/>
          <w:lang w:val="en-US"/>
        </w:rPr>
        <w:t>2</w:t>
      </w:r>
      <w:r w:rsidR="009B7DCB">
        <w:rPr>
          <w:rFonts w:ascii="Arial" w:eastAsia="Times New Roman" w:hAnsi="Arial" w:cs="Arial"/>
          <w:sz w:val="20"/>
          <w:szCs w:val="20"/>
          <w:lang w:val="en-US"/>
        </w:rPr>
        <w:t>2</w:t>
      </w:r>
      <w:r w:rsidR="00111DC1" w:rsidRPr="00534DF2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38010666" w14:textId="77777777" w:rsidR="00FD1E70" w:rsidRDefault="00FD1E70" w:rsidP="000F66FC">
      <w:pPr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val="en-US"/>
        </w:rPr>
      </w:pPr>
    </w:p>
    <w:p w14:paraId="1A5F5338" w14:textId="77777777" w:rsidR="005D5BC2" w:rsidRPr="00345367" w:rsidRDefault="005D5BC2" w:rsidP="000F66FC">
      <w:pPr>
        <w:spacing w:after="0" w:line="240" w:lineRule="auto"/>
        <w:outlineLvl w:val="1"/>
        <w:rPr>
          <w:rFonts w:ascii="Arial" w:eastAsia="Times New Roman" w:hAnsi="Arial" w:cs="Arial"/>
          <w:sz w:val="28"/>
          <w:szCs w:val="42"/>
          <w:lang w:val="en-US"/>
        </w:rPr>
      </w:pPr>
    </w:p>
    <w:tbl>
      <w:tblPr>
        <w:tblW w:w="8790" w:type="dxa"/>
        <w:tblInd w:w="108" w:type="dxa"/>
        <w:tblLook w:val="04A0" w:firstRow="1" w:lastRow="0" w:firstColumn="1" w:lastColumn="0" w:noHBand="0" w:noVBand="1"/>
      </w:tblPr>
      <w:tblGrid>
        <w:gridCol w:w="1920"/>
        <w:gridCol w:w="1624"/>
        <w:gridCol w:w="1986"/>
        <w:gridCol w:w="1560"/>
        <w:gridCol w:w="1700"/>
      </w:tblGrid>
      <w:tr w:rsidR="00443D0E" w:rsidRPr="00ED65F8" w14:paraId="564B9118" w14:textId="77777777" w:rsidTr="00443D0E">
        <w:trPr>
          <w:trHeight w:val="510"/>
          <w:tblHeader/>
        </w:trPr>
        <w:tc>
          <w:tcPr>
            <w:tcW w:w="1920" w:type="dxa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14:paraId="56084EDA" w14:textId="77777777" w:rsidR="00443D0E" w:rsidRPr="00ED65F8" w:rsidRDefault="00443D0E" w:rsidP="00443D0E">
            <w:pPr>
              <w:spacing w:after="0" w:line="240" w:lineRule="auto"/>
              <w:ind w:left="174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Country / Organisation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F44A" w14:textId="7DA75D6A" w:rsidR="00443D0E" w:rsidRPr="00ED65F8" w:rsidRDefault="009B7DCB" w:rsidP="00ED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Funding for 2022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0396E5C" w14:textId="42259F0A" w:rsidR="00443D0E" w:rsidRPr="00ED65F8" w:rsidRDefault="00443D0E" w:rsidP="00ED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Funding for </w:t>
            </w:r>
            <w:r w:rsidR="009B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2023</w:t>
            </w:r>
            <w:r w:rsidRPr="00ED6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and beyond</w:t>
            </w:r>
          </w:p>
        </w:tc>
      </w:tr>
      <w:tr w:rsidR="00443D0E" w:rsidRPr="00ED65F8" w14:paraId="21B49EF4" w14:textId="77777777" w:rsidTr="00997F45">
        <w:trPr>
          <w:trHeight w:val="340"/>
          <w:tblHeader/>
        </w:trPr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1F1C" w14:textId="77777777" w:rsidR="00443D0E" w:rsidRPr="00ED65F8" w:rsidRDefault="00443D0E" w:rsidP="00443D0E">
            <w:pPr>
              <w:spacing w:after="0" w:line="240" w:lineRule="auto"/>
              <w:ind w:left="17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4366" w14:textId="77777777" w:rsidR="00443D0E" w:rsidRPr="00ED65F8" w:rsidRDefault="00443D0E" w:rsidP="00ED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D6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(EUR)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6BCF" w14:textId="77777777" w:rsidR="00443D0E" w:rsidRPr="00ED65F8" w:rsidRDefault="00443D0E" w:rsidP="0053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D6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(USD)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footnoteReference w:id="2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B02D" w14:textId="77777777" w:rsidR="00443D0E" w:rsidRPr="00ED65F8" w:rsidRDefault="00443D0E" w:rsidP="00ED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D6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(EUR)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8F3B" w14:textId="77777777" w:rsidR="00443D0E" w:rsidRPr="00ED65F8" w:rsidRDefault="00443D0E" w:rsidP="00ED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D6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(USD)</w:t>
            </w:r>
          </w:p>
        </w:tc>
      </w:tr>
      <w:tr w:rsidR="00ED65F8" w:rsidRPr="00ED65F8" w14:paraId="3CFF206A" w14:textId="77777777" w:rsidTr="00997F45">
        <w:trPr>
          <w:trHeight w:val="46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942CC49" w14:textId="77777777" w:rsidR="00ED65F8" w:rsidRPr="00ED65F8" w:rsidRDefault="00ED65F8" w:rsidP="00FD1E70">
            <w:pPr>
              <w:spacing w:after="0" w:line="240" w:lineRule="auto"/>
              <w:ind w:left="174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D65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EU Member States </w:t>
            </w:r>
            <w:r w:rsidR="00FD1E7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</w:t>
            </w:r>
            <w:r w:rsidRPr="00ED65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nd</w:t>
            </w:r>
            <w:r w:rsidR="00FD1E7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European Commission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3D79A" w14:textId="67368646" w:rsidR="00ED65F8" w:rsidRPr="00865F4B" w:rsidRDefault="001840CA" w:rsidP="00997F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65F4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2,570,565,534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2E292" w14:textId="36DDF4A5" w:rsidR="00ED65F8" w:rsidRPr="00865F4B" w:rsidRDefault="00E34417" w:rsidP="00250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65F4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2,700,173,881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ADAA7" w14:textId="28E4A192" w:rsidR="00ED65F8" w:rsidRPr="00865F4B" w:rsidRDefault="001840CA" w:rsidP="00ED6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65F4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2,277,900,471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2FA75" w14:textId="548B433A" w:rsidR="00ED65F8" w:rsidRPr="00865F4B" w:rsidRDefault="001840CA" w:rsidP="00ED6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65F4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2,392,752,596</w:t>
            </w:r>
          </w:p>
        </w:tc>
      </w:tr>
      <w:tr w:rsidR="009B7DCB" w:rsidRPr="00ED65F8" w14:paraId="61BCF327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8B480B" w14:textId="77777777" w:rsidR="009B7DCB" w:rsidRPr="00FD1E70" w:rsidRDefault="009B7DCB" w:rsidP="009B7D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D1E7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European </w:t>
            </w:r>
          </w:p>
          <w:p w14:paraId="5457970D" w14:textId="0682D39E" w:rsidR="009B7DCB" w:rsidRPr="00FD1E70" w:rsidRDefault="009B7DCB" w:rsidP="009B7DCB">
            <w:pPr>
              <w:spacing w:after="0" w:line="240" w:lineRule="auto"/>
              <w:ind w:firstLineChars="100" w:firstLine="180"/>
            </w:pPr>
            <w:r w:rsidRPr="00FD1E7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Commission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AAB62" w14:textId="39804289" w:rsidR="009B7DCB" w:rsidRPr="00ED6D43" w:rsidRDefault="00C44100" w:rsidP="009B7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D6D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1,560,000,000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DAA64" w14:textId="6AFA8995" w:rsidR="009B7DCB" w:rsidRPr="00ED6D43" w:rsidRDefault="00C44100" w:rsidP="009B7D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D6D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1,638,655,462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E855C" w14:textId="68E63641" w:rsidR="009B7DCB" w:rsidRPr="00ED6D43" w:rsidRDefault="00ED6D43" w:rsidP="006F6B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</w:t>
            </w:r>
            <w:r w:rsidR="00C44100" w:rsidRPr="00ED6D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1,560,000,000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EFBC0" w14:textId="16EA3489" w:rsidR="009B7DCB" w:rsidRPr="00ED6D43" w:rsidRDefault="00C44100" w:rsidP="006F6B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D6D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1,638,655,462</w:t>
            </w:r>
          </w:p>
        </w:tc>
      </w:tr>
      <w:tr w:rsidR="00B671C7" w:rsidRPr="00ED65F8" w14:paraId="530BAF88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EB3036" w14:textId="6378549F" w:rsidR="00B671C7" w:rsidRPr="00FD1E70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United States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56A60" w14:textId="1A534F93" w:rsidR="00B671C7" w:rsidRPr="00ED6D4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D6D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768,865,770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A7F1" w14:textId="09207EE4" w:rsidR="00B671C7" w:rsidRPr="00ED6D4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D6D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807,632,111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D6B78" w14:textId="77777777" w:rsidR="00B671C7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0A6CC" w14:textId="77777777" w:rsidR="00B671C7" w:rsidRPr="00ED6D4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B671C7" w:rsidRPr="00ED65F8" w14:paraId="671F305D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C9096B" w14:textId="77777777" w:rsidR="00B671C7" w:rsidRPr="00FD1E70" w:rsidRDefault="000840C1" w:rsidP="00B671C7">
            <w:pPr>
              <w:spacing w:after="0" w:line="240" w:lineRule="auto"/>
              <w:ind w:firstLineChars="79" w:firstLine="174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hyperlink r:id="rId8" w:anchor="RANGE!_ftn1" w:history="1">
              <w:r w:rsidR="00B671C7" w:rsidRPr="00FD1E70">
                <w:rPr>
                  <w:rFonts w:ascii="Arial" w:eastAsia="Times New Roman" w:hAnsi="Arial" w:cs="Arial"/>
                  <w:sz w:val="18"/>
                  <w:szCs w:val="18"/>
                  <w:lang w:eastAsia="en-GB"/>
                </w:rPr>
                <w:t>Germany</w:t>
              </w:r>
            </w:hyperlink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B1713" w14:textId="420F91F9" w:rsidR="00B671C7" w:rsidRPr="00ED6D4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D6D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441,500,000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1F7F" w14:textId="466880AA" w:rsidR="00B671C7" w:rsidRPr="00ED6D4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D6D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463,760,504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2450B" w14:textId="316AF132" w:rsidR="00B671C7" w:rsidRPr="00ED6D4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D6D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611,950,000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FA524" w14:textId="1B63803E" w:rsidR="00B671C7" w:rsidRPr="00ED6D4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D6D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642,804,622</w:t>
            </w:r>
          </w:p>
        </w:tc>
      </w:tr>
      <w:tr w:rsidR="00B671C7" w:rsidRPr="00ED65F8" w14:paraId="2DB6E6EE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6AE39" w14:textId="77777777" w:rsidR="00B671C7" w:rsidRPr="00FD1E70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D1E7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United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Kingdom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69201" w14:textId="0B19A954" w:rsidR="00B671C7" w:rsidRPr="002B77A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186,852,174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C0D46" w14:textId="489B5D7E" w:rsidR="00B671C7" w:rsidRPr="002B77A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196,273,292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1943" w14:textId="7D18D865" w:rsidR="00B671C7" w:rsidRPr="002B77A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3E938" w14:textId="3D3291E7" w:rsidR="00B671C7" w:rsidRPr="002B77A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B671C7" w:rsidRPr="00ED65F8" w14:paraId="40BDEF8F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C60D47" w14:textId="77777777" w:rsidR="00B671C7" w:rsidRPr="00FD1E70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Canada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84E4F" w14:textId="6CA84BFB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213E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169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13E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13E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148</w:t>
            </w:r>
            <w:r w:rsidRPr="009B7DCB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10DA8" w14:textId="04CFE39D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213E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13E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13E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180</w:t>
            </w:r>
            <w:r w:rsidRPr="009B7DCB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5C185" w14:textId="365BA752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DDCD6" w14:textId="752ED1D9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B671C7" w:rsidRPr="00ED65F8" w14:paraId="410138B6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F14F19" w14:textId="5346A00E" w:rsidR="00B671C7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4215C" w14:textId="57772847" w:rsidR="00B671C7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0B7DE" w14:textId="11511AEA" w:rsidR="00B671C7" w:rsidRPr="006B3D9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764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A736C" w14:textId="77777777" w:rsidR="00B671C7" w:rsidRPr="006B3D9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AE3C7" w14:textId="77777777" w:rsidR="00B671C7" w:rsidRPr="006B3D9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B671C7" w:rsidRPr="00ED65F8" w14:paraId="5E16FC62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30F61" w14:textId="77777777" w:rsidR="00B671C7" w:rsidRPr="00FD1E70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D1E7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1D4BB" w14:textId="681F3E92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834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131</w:t>
            </w:r>
            <w:r w:rsidRPr="009B7DCB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D144" w14:textId="5DB96EC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159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489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AF48C" w14:textId="2DDB9DA3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46657" w14:textId="5D3B4BC8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B671C7" w:rsidRPr="00ED65F8" w14:paraId="12BFABA2" w14:textId="77777777" w:rsidTr="00535FE1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990E03" w14:textId="7DAAC982" w:rsidR="00B671C7" w:rsidRPr="00FD1E70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D1E7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France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B54D7" w14:textId="1C016B4D" w:rsidR="00B671C7" w:rsidRPr="002B77A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143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724</w:t>
            </w:r>
            <w:r w:rsidRPr="009B7DCB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2AE73" w14:textId="7D7E322D" w:rsidR="00B671C7" w:rsidRPr="002B77A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463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B2C4B" w14:textId="7777777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F3422" w14:textId="7777777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B671C7" w:rsidRPr="00ED65F8" w14:paraId="30F4B9EC" w14:textId="77777777" w:rsidTr="00535FE1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72A2D8" w14:textId="6729455E" w:rsidR="00B671C7" w:rsidRPr="00FD1E70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E2558" w14:textId="3557093B" w:rsidR="00B671C7" w:rsidRPr="002B77A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387</w:t>
            </w:r>
            <w:r w:rsidRPr="009B7DCB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B5186" w14:textId="6709ED5B" w:rsidR="00B671C7" w:rsidRPr="002B77A3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998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35022" w14:textId="7777777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5E2A6" w14:textId="7777777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B671C7" w:rsidRPr="00ED65F8" w14:paraId="7A4CD2ED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DD2135" w14:textId="73B04524" w:rsidR="00B671C7" w:rsidRPr="00FD1E70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Japan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FAD6B" w14:textId="4C59718F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83</w:t>
            </w:r>
            <w:r w:rsidRPr="006B3D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,388,291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CC06E" w14:textId="1E6661FA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6B3D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87,592,743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F1EA5" w14:textId="34B7CF00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5BE3" w14:textId="0A8D001B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B671C7" w:rsidRPr="00ED65F8" w14:paraId="1945BE6E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5A4F0E" w14:textId="51295629" w:rsidR="00B671C7" w:rsidRPr="00FD1E70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79CDB" w14:textId="2CACD35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6F430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69,554,345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9766B" w14:textId="5F071EC1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6F430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73,061,287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0C043" w14:textId="2F33C1D5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6F430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89,694,481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C9890" w14:textId="6F9FDB8C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6F430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94,216,892</w:t>
            </w:r>
          </w:p>
        </w:tc>
      </w:tr>
      <w:tr w:rsidR="00B671C7" w:rsidRPr="00ED65F8" w14:paraId="7DA52BEB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BFA956" w14:textId="09E2B82C" w:rsidR="00B671C7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Switzerland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028D4" w14:textId="59C035E4" w:rsidR="00B671C7" w:rsidRPr="006F430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036</w:t>
            </w:r>
            <w:r w:rsidRPr="009B7DCB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B05A9" w14:textId="3DE057BA" w:rsidR="00B671C7" w:rsidRPr="006F430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B77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50A86" w14:textId="77777777" w:rsidR="00B671C7" w:rsidRPr="006F430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18056" w14:textId="77777777" w:rsidR="00B671C7" w:rsidRPr="006F430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B671C7" w:rsidRPr="00ED65F8" w14:paraId="032A7B4A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43B2B1" w14:textId="1CBCACAF" w:rsidR="00B671C7" w:rsidRPr="00E34417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Qatar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B0172" w14:textId="0A41D281" w:rsidR="00B671C7" w:rsidRPr="00E34417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47,600,000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367C1" w14:textId="3270EBC8" w:rsidR="00B671C7" w:rsidRPr="00E34417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50,000,000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01BD2" w14:textId="31121CF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836C9" w14:textId="1EEE0A3F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B671C7" w:rsidRPr="00ED65F8" w14:paraId="7C1B4783" w14:textId="77777777" w:rsidTr="00E63BD8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476877" w14:textId="04D6964B" w:rsidR="00B671C7" w:rsidRPr="00E34417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Saudi Arabia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F6469" w14:textId="37507C0F" w:rsidR="00B671C7" w:rsidRPr="00E34417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375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9375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9375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689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BFF6A" w14:textId="25B429DC" w:rsidR="00B671C7" w:rsidRPr="00E34417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375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9375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698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9375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2553C" w14:textId="7777777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C9C77" w14:textId="7777777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B671C7" w:rsidRPr="00ED65F8" w14:paraId="5F25C136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B17302" w14:textId="3179FBD9" w:rsidR="00B671C7" w:rsidRPr="00E34417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Belgium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5E40C" w14:textId="2FBF7159" w:rsidR="00B671C7" w:rsidRPr="00E34417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74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C674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C674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  <w:r w:rsidRPr="009B7DCB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A95C5" w14:textId="5E6C420A" w:rsidR="00B671C7" w:rsidRPr="00E34417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674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C674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939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C674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989C" w14:textId="7777777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B5DAF" w14:textId="7777777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B671C7" w:rsidRPr="00ED65F8" w14:paraId="2738A44F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BEA74E" w14:textId="1AE833F4" w:rsidR="00B671C7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Finland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5546C" w14:textId="427BF676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47B18" w14:textId="408A04B2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3029D" w14:textId="09E2F87C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81209" w14:textId="63635C06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B671C7" w:rsidRPr="00ED65F8" w14:paraId="11349367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B4AB2B" w14:textId="5E7E1974" w:rsidR="00B671C7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773E8" w14:textId="26A34F68" w:rsidR="00B671C7" w:rsidRPr="00231988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  <w:r w:rsidRPr="009B7DCB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6323E" w14:textId="622A2192" w:rsidR="00B671C7" w:rsidRPr="00231988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25FBF" w14:textId="7777777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988" w14:textId="7777777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B671C7" w:rsidRPr="00ED65F8" w14:paraId="614303F2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1C751" w14:textId="77777777" w:rsidR="00B671C7" w:rsidRPr="00FD1E70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Austria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84EB5" w14:textId="37019C45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  <w:r w:rsidRPr="009B7DCB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05F41" w14:textId="4CBAD8B8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756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3198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310DC" w14:textId="3718E489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AB65E" w14:textId="51041F81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B671C7" w:rsidRPr="00ED65F8" w14:paraId="1A516142" w14:textId="77777777" w:rsidTr="00397123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FB45E9" w14:textId="4C6513EF" w:rsidR="00B671C7" w:rsidRPr="00FD1E70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Republic of Korea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5E42B" w14:textId="5CBAA1FF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C3552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C3552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137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C3552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600</w:t>
            </w:r>
            <w:r w:rsidRPr="009B7DCB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F2E5F" w14:textId="7EE59C3C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C3552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C3552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800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C3552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2C9CF" w14:textId="77864659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4AEC5" w14:textId="7545B206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B671C7" w:rsidRPr="00ED65F8" w14:paraId="49B2595A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CEDF7" w14:textId="77777777" w:rsidR="00B671C7" w:rsidRPr="00FD1E70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Australia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1E7A8" w14:textId="5C1AFAD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C674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C674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801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C674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10A72" w14:textId="75507BD4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C674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C674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446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C6747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9F58" w14:textId="40E0EC46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A3FA" w14:textId="0FD51EF6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B671C7" w:rsidRPr="00ED65F8" w14:paraId="5DCFAC58" w14:textId="77777777" w:rsidTr="00754DAB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CF1EC2" w14:textId="1DC55BEF" w:rsidR="00B671C7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Hungary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BCA4C" w14:textId="77777777" w:rsidR="00B671C7" w:rsidRPr="00070FA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CACF1" w14:textId="77777777" w:rsidR="00B671C7" w:rsidRPr="00070FA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3392B" w14:textId="3764A941" w:rsidR="00B671C7" w:rsidRPr="00070FA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5197D" w14:textId="2BBDFCC1" w:rsidR="00B671C7" w:rsidRPr="00070FA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522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679</w:t>
            </w:r>
          </w:p>
        </w:tc>
      </w:tr>
      <w:tr w:rsidR="00B671C7" w:rsidRPr="00ED65F8" w14:paraId="7330B84B" w14:textId="77777777" w:rsidTr="00754DAB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1ABFFD" w14:textId="629A9DCC" w:rsidR="00B671C7" w:rsidRPr="00FD1E70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43523" w14:textId="60A47E63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683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74C98" w14:textId="21918FA8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224A2" w14:textId="6840E4E3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42449" w14:textId="1C99D5E6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101</w:t>
            </w:r>
          </w:p>
        </w:tc>
      </w:tr>
      <w:tr w:rsidR="00B671C7" w:rsidRPr="00ED65F8" w14:paraId="1730D154" w14:textId="77777777" w:rsidTr="00754DAB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01C51E" w14:textId="6F9A2EB4" w:rsidR="00B671C7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40A7C" w14:textId="08FEB18B" w:rsidR="00B671C7" w:rsidRPr="00070FA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2F0D1" w14:textId="2DEDE89B" w:rsidR="00B671C7" w:rsidRPr="00070FA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414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D5D7C" w14:textId="77777777" w:rsidR="00B671C7" w:rsidRPr="00070FA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85CE6" w14:textId="77777777" w:rsidR="00B671C7" w:rsidRPr="00070FA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B671C7" w:rsidRPr="00ED65F8" w14:paraId="4623DF81" w14:textId="77777777" w:rsidTr="00CF70AA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B02CB" w14:textId="77777777" w:rsidR="00B671C7" w:rsidRPr="00FD1E70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D1E7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Czech Republic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6EECD" w14:textId="73718F2D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6B3D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4,694,767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40C22" w14:textId="2AE690D9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6B3D9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4,931,478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25024" w14:textId="6A4F9D83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3C1C" w14:textId="0B5A8BC6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B671C7" w:rsidRPr="00ED65F8" w14:paraId="4A1E5287" w14:textId="77777777" w:rsidTr="006B152A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FDDB49" w14:textId="28CEBD8D" w:rsidR="00B671C7" w:rsidRPr="00FD1E70" w:rsidRDefault="00B671C7" w:rsidP="00B671C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Poland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2505F" w14:textId="1E4A8CD6" w:rsidR="00B671C7" w:rsidRPr="006B3D9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C4F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4C4F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4C4F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811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1FF9E" w14:textId="2D09B394" w:rsidR="00B671C7" w:rsidRPr="006B3D9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C4F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4C4F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4C4F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7FF3B" w14:textId="7777777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74211" w14:textId="77777777" w:rsidR="00B671C7" w:rsidRPr="009B7DCB" w:rsidRDefault="00B671C7" w:rsidP="00B671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</w:tbl>
    <w:p w14:paraId="69422FD4" w14:textId="77777777" w:rsidR="00443D0E" w:rsidRDefault="00443D0E">
      <w:r>
        <w:br w:type="page"/>
      </w:r>
    </w:p>
    <w:tbl>
      <w:tblPr>
        <w:tblW w:w="8790" w:type="dxa"/>
        <w:tblInd w:w="108" w:type="dxa"/>
        <w:tblLook w:val="04A0" w:firstRow="1" w:lastRow="0" w:firstColumn="1" w:lastColumn="0" w:noHBand="0" w:noVBand="1"/>
      </w:tblPr>
      <w:tblGrid>
        <w:gridCol w:w="1920"/>
        <w:gridCol w:w="1624"/>
        <w:gridCol w:w="1986"/>
        <w:gridCol w:w="1560"/>
        <w:gridCol w:w="1700"/>
      </w:tblGrid>
      <w:tr w:rsidR="00443D0E" w:rsidRPr="00ED65F8" w14:paraId="7C29466C" w14:textId="77777777" w:rsidTr="00997F45">
        <w:trPr>
          <w:trHeight w:val="510"/>
          <w:tblHeader/>
        </w:trPr>
        <w:tc>
          <w:tcPr>
            <w:tcW w:w="1920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2B31BB4C" w14:textId="77777777" w:rsidR="00443D0E" w:rsidRDefault="00443D0E" w:rsidP="00443D0E">
            <w:pPr>
              <w:spacing w:after="0" w:line="240" w:lineRule="auto"/>
              <w:ind w:left="174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lastRenderedPageBreak/>
              <w:t>Country / Organisation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B1FF0" w14:textId="257981FE" w:rsidR="00443D0E" w:rsidRPr="00441188" w:rsidRDefault="000A0D1F" w:rsidP="00443D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Funding for 2022</w:t>
            </w: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3034FF0C" w14:textId="766A4BC0" w:rsidR="00443D0E" w:rsidRPr="00ED65F8" w:rsidRDefault="000A0D1F" w:rsidP="00443D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Funding for 2023</w:t>
            </w:r>
            <w:r w:rsidR="00443D0E" w:rsidRPr="00ED6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and beyond</w:t>
            </w:r>
          </w:p>
        </w:tc>
      </w:tr>
      <w:tr w:rsidR="00443D0E" w:rsidRPr="00ED65F8" w14:paraId="3F74AFE1" w14:textId="77777777" w:rsidTr="00997F45">
        <w:trPr>
          <w:trHeight w:val="340"/>
          <w:tblHeader/>
        </w:trPr>
        <w:tc>
          <w:tcPr>
            <w:tcW w:w="19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7F9FFC" w14:textId="77777777" w:rsidR="00443D0E" w:rsidRDefault="00443D0E" w:rsidP="00443D0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95F09" w14:textId="77777777" w:rsidR="00443D0E" w:rsidRPr="00443D0E" w:rsidRDefault="00443D0E" w:rsidP="0044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</w:t>
            </w:r>
            <w:r w:rsidRPr="00443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EUR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FC9F7" w14:textId="77777777" w:rsidR="00443D0E" w:rsidRPr="00443D0E" w:rsidRDefault="00443D0E" w:rsidP="00443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(USD)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3DF93" w14:textId="77777777" w:rsidR="00443D0E" w:rsidRPr="00ED65F8" w:rsidRDefault="00443D0E" w:rsidP="00443D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</w:t>
            </w:r>
            <w:r w:rsidRPr="00443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EUR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4D1E2" w14:textId="77777777" w:rsidR="00443D0E" w:rsidRPr="00ED65F8" w:rsidRDefault="00443D0E" w:rsidP="00443D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</w:t>
            </w:r>
            <w:r w:rsidRPr="00443D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USD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)</w:t>
            </w:r>
          </w:p>
        </w:tc>
      </w:tr>
      <w:tr w:rsidR="00397123" w:rsidRPr="00ED65F8" w14:paraId="04D8446E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8C3056" w14:textId="0B38820F" w:rsidR="00397123" w:rsidRPr="00FD1E70" w:rsidRDefault="00397123" w:rsidP="0039712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Slovak </w:t>
            </w:r>
            <w:r w:rsidRPr="00FD1E7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Republic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75F21" w14:textId="11E21F97" w:rsidR="00397123" w:rsidRPr="000A0D1F" w:rsidRDefault="00397123" w:rsidP="00397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BF5E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BF5E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BF5E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979FC" w14:textId="2AE2A8CB" w:rsidR="00397123" w:rsidRPr="000A0D1F" w:rsidRDefault="00397123" w:rsidP="00397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BF5E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BF5E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BF5E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9A245" w14:textId="54722B6B" w:rsidR="00397123" w:rsidRPr="000A0D1F" w:rsidRDefault="00397123" w:rsidP="00397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BF5E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BF5E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BF5E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31638" w14:textId="3AF88023" w:rsidR="00397123" w:rsidRPr="000A0D1F" w:rsidRDefault="00397123" w:rsidP="00397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BF5E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BF5E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BF5EF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840</w:t>
            </w:r>
          </w:p>
        </w:tc>
      </w:tr>
      <w:tr w:rsidR="00397123" w:rsidRPr="00ED65F8" w14:paraId="1F65CB16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1E661" w14:textId="77777777" w:rsidR="00397123" w:rsidRPr="00FD1E70" w:rsidRDefault="00397123" w:rsidP="0039712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FF4FA" w14:textId="5EABC76D" w:rsidR="00397123" w:rsidRPr="000A0D1F" w:rsidRDefault="00397123" w:rsidP="00397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337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5D736" w14:textId="2850D07F" w:rsidR="00397123" w:rsidRPr="000A0D1F" w:rsidRDefault="00397123" w:rsidP="00397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E1BE4" w14:textId="65DA5182" w:rsidR="00397123" w:rsidRPr="000A0D1F" w:rsidRDefault="00397123" w:rsidP="00397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0DB9C" w14:textId="1AD1BD82" w:rsidR="00397123" w:rsidRPr="000A0D1F" w:rsidRDefault="00397123" w:rsidP="00397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349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817</w:t>
            </w:r>
          </w:p>
        </w:tc>
      </w:tr>
      <w:tr w:rsidR="00397123" w:rsidRPr="00ED65F8" w14:paraId="1E40E95C" w14:textId="77777777" w:rsidTr="006F6B1F">
        <w:trPr>
          <w:trHeight w:val="33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2CD58C" w14:textId="77777777" w:rsidR="00397123" w:rsidRPr="00FD1E70" w:rsidRDefault="00397123" w:rsidP="0039712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 Zealand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92B70" w14:textId="03797F28" w:rsidR="00397123" w:rsidRPr="000A0D1F" w:rsidRDefault="00397123" w:rsidP="00397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923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674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4176A" w14:textId="11A9FB9A" w:rsidR="00397123" w:rsidRPr="000A0D1F" w:rsidRDefault="00397123" w:rsidP="00397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970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E3441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3265" w14:textId="41260568" w:rsidR="00397123" w:rsidRPr="000A0D1F" w:rsidRDefault="00397123" w:rsidP="00397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13451" w14:textId="6AAA450A" w:rsidR="00397123" w:rsidRPr="000A0D1F" w:rsidRDefault="00397123" w:rsidP="00397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A20FB" w:rsidRPr="00ED65F8" w14:paraId="7C455890" w14:textId="77777777" w:rsidTr="00397123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453169" w14:textId="761C0469" w:rsidR="002A20FB" w:rsidRPr="00FD1E70" w:rsidRDefault="002A20FB" w:rsidP="002A20F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Liechtenstein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54B74" w14:textId="2BE21680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A87B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489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A87B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C97D3" w14:textId="1B85E4C6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A87B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513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A87B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96F10" w14:textId="6B32AB37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6AADA" w14:textId="6F500091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A20FB" w:rsidRPr="00ED65F8" w14:paraId="7BFA068A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397C2" w14:textId="77777777" w:rsidR="002A20FB" w:rsidRPr="00FD1E70" w:rsidRDefault="002A20FB" w:rsidP="002A20F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1A24E" w14:textId="45318593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C3FFC" w14:textId="0F1F9355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F827C" w14:textId="4963D721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DA405" w14:textId="1640F01F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A20FB" w:rsidRPr="00ED65F8" w14:paraId="2C550CE6" w14:textId="77777777" w:rsidTr="002A20FB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D9DB36" w14:textId="6612EF64" w:rsidR="002A20FB" w:rsidRPr="00FD1E70" w:rsidRDefault="002A20FB" w:rsidP="002A20F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B82DA" w14:textId="7F76AB90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7D609" w14:textId="06A0A429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B063D" w14:textId="449F8534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B2C72" w14:textId="36C5F86E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0C7817" w:rsidRPr="00ED65F8" w14:paraId="199EF31D" w14:textId="77777777" w:rsidTr="002A20FB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145DFC" w14:textId="71C012B4" w:rsidR="000C7817" w:rsidRDefault="000C7817" w:rsidP="000C781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Romania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6609E" w14:textId="709A7966" w:rsidR="000C7817" w:rsidRPr="00070FAB" w:rsidRDefault="000C7817" w:rsidP="000C78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87B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A87B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55F98" w14:textId="7130418D" w:rsidR="000C7817" w:rsidRPr="00070FAB" w:rsidRDefault="000C7817" w:rsidP="000C78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87B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A87B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12E06" w14:textId="77777777" w:rsidR="000C7817" w:rsidRPr="000A0D1F" w:rsidRDefault="000C7817" w:rsidP="000C78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F73ED" w14:textId="77777777" w:rsidR="000C7817" w:rsidRPr="000A0D1F" w:rsidRDefault="000C7817" w:rsidP="000C78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A20FB" w:rsidRPr="00ED65F8" w14:paraId="636CD6F1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DC9438" w14:textId="77777777" w:rsidR="002A20FB" w:rsidRPr="00FD1E70" w:rsidRDefault="002A20FB" w:rsidP="002A20F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EF8D2" w14:textId="154FF1AD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190,400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C46E9" w14:textId="3EBF3924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 w:rsidRPr="006F6B1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4272" w14:textId="570FAD9F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62D52">
              <w:rPr>
                <w:rFonts w:ascii="Arial" w:hAnsi="Arial" w:cs="Arial"/>
                <w:sz w:val="18"/>
                <w:szCs w:val="18"/>
              </w:rPr>
              <w:t>190,400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6D52D" w14:textId="3AD9FE4D" w:rsidR="002A20FB" w:rsidRPr="000A0D1F" w:rsidRDefault="002A20FB" w:rsidP="002A20F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62D52">
              <w:rPr>
                <w:rFonts w:ascii="Arial" w:hAnsi="Arial" w:cs="Arial"/>
                <w:sz w:val="18"/>
                <w:szCs w:val="18"/>
              </w:rPr>
              <w:t>200,000</w:t>
            </w:r>
          </w:p>
        </w:tc>
      </w:tr>
      <w:tr w:rsidR="00273FED" w:rsidRPr="00ED65F8" w14:paraId="69D35758" w14:textId="77777777" w:rsidTr="00C27F2B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7ED336" w14:textId="77EFCCB1" w:rsidR="00273FED" w:rsidRPr="00FD1E70" w:rsidRDefault="00273FED" w:rsidP="00273FE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99B87" w14:textId="458CABCB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150,000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06CE0" w14:textId="40A77093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157,563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D9742" w14:textId="4C525852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07633" w14:textId="0E132AB1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73FED" w:rsidRPr="00ED65F8" w14:paraId="55AA7460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95232A" w14:textId="3CB8EF99" w:rsidR="00273FED" w:rsidRPr="00FD1E70" w:rsidRDefault="00273FED" w:rsidP="00273FE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D1E7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Bulgaria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2E7B6" w14:textId="1DCCA3F0" w:rsidR="00273FED" w:rsidRPr="00070FAB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008B6" w14:textId="4EBA027B" w:rsidR="00273FED" w:rsidRPr="00070FAB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147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AEE8D" w14:textId="77777777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E9F84" w14:textId="77777777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73FED" w:rsidRPr="00ED65F8" w14:paraId="584A7FAC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DBDF79" w14:textId="2916C162" w:rsidR="00273FED" w:rsidRPr="00FD1E70" w:rsidRDefault="00273FED" w:rsidP="00273FE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8FFB3" w14:textId="69058E29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213E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13E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6283C" w14:textId="152BB8A1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213E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13E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22DBC" w14:textId="3A09BC62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15805" w14:textId="228CC3D6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73FED" w:rsidRPr="00ED65F8" w14:paraId="0A479C96" w14:textId="77777777" w:rsidTr="006F6B1F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10CABE" w14:textId="01009D50" w:rsidR="00273FED" w:rsidRPr="00FD1E70" w:rsidRDefault="00273FED" w:rsidP="00273FE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D1E7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Cyprus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EAC05" w14:textId="5271F30F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A2338" w14:textId="401D5D7F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070FA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5E84C" w14:textId="4198A85A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D73FE" w14:textId="187F6F05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73FED" w:rsidRPr="00ED65F8" w14:paraId="53E289F5" w14:textId="77777777" w:rsidTr="002A20FB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4EDAA4" w14:textId="076CD8AB" w:rsidR="00273FED" w:rsidRPr="00FD1E70" w:rsidRDefault="00273FED" w:rsidP="00273FE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Brazil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6AF9B" w14:textId="381823D0" w:rsidR="00273FED" w:rsidRPr="002A20FB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95,</w:t>
            </w:r>
            <w:r w:rsidRPr="002A20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B81AF" w14:textId="5F5B830C" w:rsidR="00273FED" w:rsidRPr="002A20FB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100,</w:t>
            </w:r>
            <w:r w:rsidRPr="002A20F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AEF24" w14:textId="0AAFC8BE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50661" w14:textId="14B4D34E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73FED" w:rsidRPr="00ED65F8" w14:paraId="07A229DF" w14:textId="77777777" w:rsidTr="00F23EB2">
        <w:trPr>
          <w:trHeight w:val="241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7A145B" w14:textId="7603DAAD" w:rsidR="00273FED" w:rsidRPr="00FD1E70" w:rsidRDefault="00273FED" w:rsidP="00273FE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Malta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B9B36" w14:textId="0CE92559" w:rsidR="00273FED" w:rsidRPr="00070FAB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13E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13E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E2A47" w14:textId="674A7C9B" w:rsidR="00273FED" w:rsidRPr="00070FAB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13E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213E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8C075" w14:textId="658E7202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C1A1A" w14:textId="24B8B26F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73FED" w:rsidRPr="00ED65F8" w14:paraId="4DCE1F97" w14:textId="77777777" w:rsidTr="00F66966">
        <w:trPr>
          <w:trHeight w:val="30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6B5381" w14:textId="5CA82BB2" w:rsidR="00273FED" w:rsidRDefault="00273FED" w:rsidP="00273FE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F46DF" w14:textId="278B0C40" w:rsidR="00273FED" w:rsidRPr="004C4FD0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50,000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E85AB" w14:textId="30FA0E24" w:rsidR="00273FED" w:rsidRPr="004C4FD0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52,521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AD4DB" w14:textId="77777777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47FF7" w14:textId="77777777" w:rsidR="00273FED" w:rsidRPr="000A0D1F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</w:p>
        </w:tc>
      </w:tr>
      <w:tr w:rsidR="00273FED" w:rsidRPr="00ED65F8" w14:paraId="629CEDFB" w14:textId="77777777" w:rsidTr="00997F45">
        <w:trPr>
          <w:trHeight w:val="510"/>
          <w:tblHeader/>
        </w:trPr>
        <w:tc>
          <w:tcPr>
            <w:tcW w:w="19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DD1DDAB" w14:textId="77777777" w:rsidR="00273FED" w:rsidRPr="00ED65F8" w:rsidRDefault="00273FED" w:rsidP="00273FE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D6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1BED6" w14:textId="422E7477" w:rsidR="00273FED" w:rsidRPr="00E34417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344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4,097,359,067 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31026" w14:textId="3DA8626F" w:rsidR="00273FED" w:rsidRPr="00E34417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344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4,303,948,601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F7E0A" w14:textId="4CC719EC" w:rsidR="00273FED" w:rsidRPr="00E34417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344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2,282,041,497 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2FF67" w14:textId="4FBD1771" w:rsidR="00273FED" w:rsidRPr="00E34417" w:rsidRDefault="00273FED" w:rsidP="00273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E344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2,397,102,413</w:t>
            </w:r>
          </w:p>
        </w:tc>
      </w:tr>
    </w:tbl>
    <w:p w14:paraId="39628EAD" w14:textId="77777777" w:rsidR="00F0544F" w:rsidRPr="000A0D1F" w:rsidRDefault="00F0544F" w:rsidP="000F66FC">
      <w:pPr>
        <w:spacing w:line="320" w:lineRule="auto"/>
        <w:rPr>
          <w:rFonts w:ascii="Arial" w:hAnsi="Arial" w:cs="Arial"/>
          <w:sz w:val="20"/>
          <w:lang w:val="en-US"/>
        </w:rPr>
      </w:pPr>
    </w:p>
    <w:p w14:paraId="15084A2F" w14:textId="77777777" w:rsidR="0053406A" w:rsidRDefault="0053406A" w:rsidP="006F197B">
      <w:pPr>
        <w:spacing w:after="0" w:line="240" w:lineRule="auto"/>
        <w:rPr>
          <w:rFonts w:ascii="Arial" w:eastAsia="Times New Roman" w:hAnsi="Arial" w:cs="Arial"/>
          <w:color w:val="3F4A52"/>
          <w:sz w:val="18"/>
          <w:szCs w:val="24"/>
          <w:lang w:val="en-US"/>
        </w:rPr>
      </w:pPr>
    </w:p>
    <w:p w14:paraId="7A129D8D" w14:textId="77777777" w:rsidR="00FD1E70" w:rsidRDefault="00FD1E70" w:rsidP="006F197B">
      <w:pPr>
        <w:spacing w:after="0" w:line="240" w:lineRule="auto"/>
        <w:rPr>
          <w:rFonts w:ascii="Arial" w:eastAsia="Times New Roman" w:hAnsi="Arial" w:cs="Arial"/>
          <w:color w:val="3F4A52"/>
          <w:sz w:val="18"/>
          <w:szCs w:val="24"/>
          <w:lang w:val="en-US"/>
        </w:rPr>
      </w:pPr>
    </w:p>
    <w:p w14:paraId="37331812" w14:textId="77777777" w:rsidR="00FD1E70" w:rsidRDefault="00FD1E70" w:rsidP="006F197B">
      <w:pPr>
        <w:spacing w:after="0" w:line="240" w:lineRule="auto"/>
        <w:rPr>
          <w:rFonts w:ascii="Arial" w:eastAsia="Times New Roman" w:hAnsi="Arial" w:cs="Arial"/>
          <w:color w:val="3F4A52"/>
          <w:sz w:val="18"/>
          <w:szCs w:val="24"/>
          <w:lang w:val="en-US"/>
        </w:rPr>
      </w:pPr>
    </w:p>
    <w:p w14:paraId="3E2F291B" w14:textId="77777777" w:rsidR="00FC18BB" w:rsidRDefault="00FC18BB">
      <w:pPr>
        <w:rPr>
          <w:rFonts w:ascii="Arial" w:eastAsia="Times New Roman" w:hAnsi="Arial" w:cs="Arial"/>
          <w:color w:val="3F4A52"/>
          <w:sz w:val="18"/>
          <w:szCs w:val="24"/>
          <w:lang w:val="en-US"/>
        </w:rPr>
      </w:pPr>
      <w:r>
        <w:rPr>
          <w:rFonts w:ascii="Arial" w:eastAsia="Times New Roman" w:hAnsi="Arial" w:cs="Arial"/>
          <w:color w:val="3F4A52"/>
          <w:sz w:val="18"/>
          <w:szCs w:val="24"/>
          <w:lang w:val="en-US"/>
        </w:rPr>
        <w:br w:type="page"/>
      </w:r>
    </w:p>
    <w:p w14:paraId="3248BDFC" w14:textId="77777777" w:rsidR="0053406A" w:rsidRDefault="0053406A" w:rsidP="006F197B">
      <w:pPr>
        <w:spacing w:after="0" w:line="240" w:lineRule="auto"/>
        <w:rPr>
          <w:rFonts w:ascii="Arial" w:eastAsia="Times New Roman" w:hAnsi="Arial" w:cs="Arial"/>
          <w:color w:val="3F4A52"/>
          <w:sz w:val="18"/>
          <w:szCs w:val="24"/>
          <w:lang w:val="en-US"/>
        </w:rPr>
      </w:pPr>
    </w:p>
    <w:p w14:paraId="2BAD49D6" w14:textId="77777777" w:rsidR="006F197B" w:rsidRPr="00EB16D4" w:rsidRDefault="006F197B" w:rsidP="006F197B">
      <w:pPr>
        <w:spacing w:after="0" w:line="240" w:lineRule="auto"/>
        <w:rPr>
          <w:rFonts w:ascii="Arial" w:eastAsia="Times New Roman" w:hAnsi="Arial" w:cs="Arial"/>
          <w:color w:val="3F4A52"/>
          <w:sz w:val="18"/>
          <w:szCs w:val="24"/>
          <w:lang w:val="en-US"/>
        </w:rPr>
      </w:pPr>
      <w:r w:rsidRPr="00EB16D4">
        <w:rPr>
          <w:rFonts w:ascii="Arial" w:eastAsia="Times New Roman" w:hAnsi="Arial" w:cs="Arial"/>
          <w:color w:val="3F4A52"/>
          <w:sz w:val="18"/>
          <w:szCs w:val="24"/>
          <w:lang w:val="en-US"/>
        </w:rPr>
        <w:t>–––</w:t>
      </w:r>
    </w:p>
    <w:p w14:paraId="31F64FB0" w14:textId="77777777" w:rsidR="006F197B" w:rsidRDefault="006F197B" w:rsidP="006F197B">
      <w:pPr>
        <w:spacing w:after="0" w:line="240" w:lineRule="auto"/>
        <w:outlineLvl w:val="1"/>
        <w:rPr>
          <w:rFonts w:ascii="Arial" w:eastAsia="Times New Roman" w:hAnsi="Arial" w:cs="Arial"/>
          <w:b/>
          <w:color w:val="6E818F"/>
          <w:sz w:val="16"/>
          <w:szCs w:val="42"/>
          <w:lang w:val="en-US"/>
        </w:rPr>
      </w:pPr>
    </w:p>
    <w:p w14:paraId="515BEE93" w14:textId="77777777" w:rsidR="006F197B" w:rsidRPr="00EB16D4" w:rsidRDefault="006F197B" w:rsidP="006F197B">
      <w:pPr>
        <w:spacing w:after="0"/>
        <w:outlineLvl w:val="1"/>
        <w:rPr>
          <w:rFonts w:ascii="Arial" w:eastAsia="Times New Roman" w:hAnsi="Arial" w:cs="Arial"/>
          <w:color w:val="3F4A52"/>
          <w:sz w:val="16"/>
          <w:szCs w:val="42"/>
          <w:lang w:val="en-US"/>
        </w:rPr>
      </w:pPr>
      <w:r w:rsidRPr="00EB16D4">
        <w:rPr>
          <w:rFonts w:ascii="Arial" w:eastAsia="Times New Roman" w:hAnsi="Arial" w:cs="Arial"/>
          <w:color w:val="3F4A52"/>
          <w:sz w:val="16"/>
          <w:szCs w:val="42"/>
          <w:lang w:val="en-US"/>
        </w:rPr>
        <w:t xml:space="preserve">Table </w:t>
      </w:r>
      <w:r>
        <w:rPr>
          <w:rFonts w:ascii="Arial" w:eastAsia="Times New Roman" w:hAnsi="Arial" w:cs="Arial"/>
          <w:color w:val="3F4A52"/>
          <w:sz w:val="16"/>
          <w:szCs w:val="42"/>
          <w:lang w:val="en-US"/>
        </w:rPr>
        <w:t>3</w:t>
      </w:r>
    </w:p>
    <w:p w14:paraId="4EDC5CDC" w14:textId="77777777" w:rsidR="006F197B" w:rsidRPr="00345367" w:rsidRDefault="006F197B" w:rsidP="006F197B">
      <w:pPr>
        <w:spacing w:after="0"/>
        <w:outlineLvl w:val="1"/>
        <w:rPr>
          <w:rFonts w:ascii="Arial" w:eastAsia="Times New Roman" w:hAnsi="Arial" w:cs="Arial"/>
          <w:b/>
          <w:sz w:val="24"/>
          <w:szCs w:val="42"/>
          <w:lang w:val="en-US"/>
        </w:rPr>
      </w:pPr>
      <w:r w:rsidRPr="00345367">
        <w:rPr>
          <w:rFonts w:ascii="Arial" w:eastAsia="Times New Roman" w:hAnsi="Arial" w:cs="Arial"/>
          <w:b/>
          <w:sz w:val="24"/>
          <w:szCs w:val="42"/>
          <w:lang w:val="en-US"/>
        </w:rPr>
        <w:t xml:space="preserve">Loans pledged by </w:t>
      </w:r>
    </w:p>
    <w:p w14:paraId="76E34D7E" w14:textId="77777777" w:rsidR="006F197B" w:rsidRPr="00345367" w:rsidRDefault="006F197B" w:rsidP="006F197B">
      <w:pPr>
        <w:spacing w:after="0"/>
        <w:outlineLvl w:val="1"/>
        <w:rPr>
          <w:rFonts w:ascii="Arial" w:eastAsia="Times New Roman" w:hAnsi="Arial" w:cs="Arial"/>
          <w:b/>
          <w:sz w:val="24"/>
          <w:szCs w:val="42"/>
          <w:lang w:val="en-US"/>
        </w:rPr>
      </w:pPr>
      <w:r w:rsidRPr="00345367">
        <w:rPr>
          <w:rFonts w:ascii="Arial" w:eastAsia="Times New Roman" w:hAnsi="Arial" w:cs="Arial"/>
          <w:b/>
          <w:sz w:val="24"/>
          <w:szCs w:val="42"/>
          <w:lang w:val="en-US"/>
        </w:rPr>
        <w:t xml:space="preserve">Multilateral Development Banks </w:t>
      </w:r>
      <w:r w:rsidR="00111DC1" w:rsidRPr="00345367">
        <w:rPr>
          <w:rFonts w:ascii="Arial" w:eastAsia="Times New Roman" w:hAnsi="Arial" w:cs="Arial"/>
          <w:b/>
          <w:sz w:val="24"/>
          <w:szCs w:val="42"/>
          <w:lang w:val="en-US"/>
        </w:rPr>
        <w:t>and bilateral donors</w:t>
      </w:r>
    </w:p>
    <w:p w14:paraId="0920D85B" w14:textId="53C926E6" w:rsidR="006F197B" w:rsidRPr="00345367" w:rsidRDefault="000A0D1F" w:rsidP="006F197B">
      <w:pPr>
        <w:spacing w:after="0"/>
        <w:outlineLvl w:val="1"/>
        <w:rPr>
          <w:rFonts w:ascii="Arial" w:eastAsia="Times New Roman" w:hAnsi="Arial" w:cs="Arial"/>
          <w:sz w:val="24"/>
          <w:szCs w:val="42"/>
          <w:lang w:val="en-US"/>
        </w:rPr>
      </w:pPr>
      <w:r>
        <w:rPr>
          <w:rFonts w:ascii="Arial" w:eastAsia="Times New Roman" w:hAnsi="Arial" w:cs="Arial"/>
          <w:sz w:val="24"/>
          <w:szCs w:val="42"/>
          <w:lang w:val="en-US"/>
        </w:rPr>
        <w:t>2022</w:t>
      </w:r>
      <w:r w:rsidR="006F197B" w:rsidRPr="00345367">
        <w:rPr>
          <w:rFonts w:ascii="Arial" w:eastAsia="Times New Roman" w:hAnsi="Arial" w:cs="Arial"/>
          <w:sz w:val="24"/>
          <w:szCs w:val="42"/>
          <w:lang w:val="en-US"/>
        </w:rPr>
        <w:t xml:space="preserve"> and beyond</w:t>
      </w:r>
      <w:r w:rsidR="00A64545">
        <w:rPr>
          <w:rStyle w:val="FootnoteReference"/>
          <w:rFonts w:ascii="Arial" w:eastAsia="Times New Roman" w:hAnsi="Arial" w:cs="Arial"/>
          <w:sz w:val="24"/>
          <w:szCs w:val="42"/>
          <w:lang w:val="en-US"/>
        </w:rPr>
        <w:footnoteReference w:id="3"/>
      </w:r>
    </w:p>
    <w:p w14:paraId="4C18DF05" w14:textId="77777777" w:rsidR="006F197B" w:rsidRPr="00345367" w:rsidRDefault="006F197B" w:rsidP="006F197B">
      <w:pPr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42"/>
          <w:lang w:val="en-US"/>
        </w:rPr>
      </w:pPr>
    </w:p>
    <w:p w14:paraId="713092FD" w14:textId="77777777" w:rsidR="006F197B" w:rsidRPr="00345367" w:rsidRDefault="006F197B" w:rsidP="006F197B">
      <w:pPr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42"/>
          <w:lang w:val="en-US"/>
        </w:rPr>
      </w:pPr>
    </w:p>
    <w:tbl>
      <w:tblPr>
        <w:tblStyle w:val="TableGrid"/>
        <w:tblW w:w="4931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1733"/>
        <w:gridCol w:w="1832"/>
      </w:tblGrid>
      <w:tr w:rsidR="00345367" w:rsidRPr="00345367" w14:paraId="58488F04" w14:textId="77777777" w:rsidTr="00045A64">
        <w:trPr>
          <w:trHeight w:val="416"/>
        </w:trPr>
        <w:tc>
          <w:tcPr>
            <w:tcW w:w="5522" w:type="dxa"/>
            <w:tcBorders>
              <w:bottom w:val="single" w:sz="4" w:space="0" w:color="auto"/>
            </w:tcBorders>
          </w:tcPr>
          <w:p w14:paraId="6F83DB62" w14:textId="77777777" w:rsidR="006F197B" w:rsidRPr="00345367" w:rsidRDefault="006F197B" w:rsidP="00E37E53">
            <w:pP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  <w:r w:rsidRPr="00345367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>Institution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308438F6" w14:textId="77777777" w:rsidR="006F197B" w:rsidRPr="00345367" w:rsidRDefault="006F197B" w:rsidP="00E37E53">
            <w:pP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  <w:r w:rsidRPr="00345367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 xml:space="preserve">Loans </w:t>
            </w:r>
            <w:r w:rsidRPr="00345367">
              <w:rPr>
                <w:rFonts w:ascii="Arial" w:eastAsia="Times New Roman" w:hAnsi="Arial" w:cs="Arial"/>
                <w:sz w:val="15"/>
                <w:szCs w:val="24"/>
                <w:lang w:val="en-US"/>
              </w:rPr>
              <w:t>(EUR)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5B8A00AB" w14:textId="77777777" w:rsidR="006F197B" w:rsidRPr="00345367" w:rsidRDefault="006F197B" w:rsidP="00E37E53">
            <w:pP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  <w:r w:rsidRPr="00345367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 xml:space="preserve">Loans </w:t>
            </w:r>
            <w:r w:rsidRPr="00345367">
              <w:rPr>
                <w:rFonts w:ascii="Arial" w:eastAsia="Times New Roman" w:hAnsi="Arial" w:cs="Arial"/>
                <w:sz w:val="15"/>
                <w:szCs w:val="24"/>
                <w:lang w:val="en-US"/>
              </w:rPr>
              <w:t>(USD)</w:t>
            </w:r>
          </w:p>
        </w:tc>
      </w:tr>
      <w:tr w:rsidR="000A0D1F" w:rsidRPr="00345367" w14:paraId="7753037E" w14:textId="77777777" w:rsidTr="0094699A">
        <w:trPr>
          <w:trHeight w:val="595"/>
        </w:trPr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E8407" w14:textId="0D623965" w:rsidR="000A0D1F" w:rsidRPr="00345367" w:rsidRDefault="00DB76F4" w:rsidP="000A0D1F">
            <w:pPr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World Bank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</w:tcPr>
          <w:p w14:paraId="6E1BF49B" w14:textId="29A5D090" w:rsidR="000A0D1F" w:rsidRPr="009A346C" w:rsidRDefault="00DB76F4" w:rsidP="000A0D1F">
            <w:pPr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663,544,000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4183C616" w14:textId="5EEA3102" w:rsidR="000A0D1F" w:rsidRPr="009A346C" w:rsidRDefault="00DB76F4" w:rsidP="000A0D1F">
            <w:pPr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697,000,000</w:t>
            </w:r>
          </w:p>
        </w:tc>
      </w:tr>
      <w:tr w:rsidR="00DB76F4" w:rsidRPr="00345367" w14:paraId="42E268A8" w14:textId="77777777" w:rsidTr="0094699A">
        <w:trPr>
          <w:trHeight w:val="595"/>
        </w:trPr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B4E0D" w14:textId="27262AE7" w:rsidR="00DB76F4" w:rsidRPr="00345367" w:rsidRDefault="00DB76F4" w:rsidP="00DB76F4">
            <w:pPr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  <w:r w:rsidRPr="00345367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European Investment Bank</w:t>
            </w:r>
            <w:r>
              <w:rPr>
                <w:rStyle w:val="FootnoteReference"/>
                <w:rFonts w:ascii="Arial" w:eastAsia="Times New Roman" w:hAnsi="Arial" w:cs="Arial"/>
                <w:sz w:val="18"/>
                <w:szCs w:val="24"/>
                <w:lang w:val="en-US"/>
              </w:rPr>
              <w:footnoteReference w:id="4"/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</w:tcPr>
          <w:p w14:paraId="66CE24CF" w14:textId="4724F7FC" w:rsidR="00DB76F4" w:rsidRPr="009A346C" w:rsidRDefault="00DB76F4" w:rsidP="00DB76F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A34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1,477,000,000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0D66FC1C" w14:textId="704A5948" w:rsidR="00DB76F4" w:rsidRPr="009A346C" w:rsidRDefault="00DB76F4" w:rsidP="00DB76F4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A34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1,551,470,588</w:t>
            </w:r>
          </w:p>
        </w:tc>
      </w:tr>
      <w:tr w:rsidR="00DB76F4" w:rsidRPr="00345367" w14:paraId="0CAFABF1" w14:textId="77777777" w:rsidTr="0094699A">
        <w:trPr>
          <w:trHeight w:val="595"/>
        </w:trPr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6B3DA" w14:textId="0F596D24" w:rsidR="00DB76F4" w:rsidRPr="00345367" w:rsidRDefault="00DB76F4" w:rsidP="00DB76F4">
            <w:pPr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  <w:r w:rsidRPr="00345367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Bilateral Donor Loan Finance</w:t>
            </w:r>
            <w:r>
              <w:rPr>
                <w:rStyle w:val="FootnoteReference"/>
                <w:rFonts w:ascii="Arial" w:eastAsia="Times New Roman" w:hAnsi="Arial" w:cs="Arial"/>
                <w:sz w:val="18"/>
                <w:szCs w:val="24"/>
                <w:lang w:val="en-US"/>
              </w:rPr>
              <w:footnoteReference w:id="5"/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</w:tcPr>
          <w:p w14:paraId="507E873D" w14:textId="1CEE5E39" w:rsidR="00DB76F4" w:rsidRPr="009A346C" w:rsidRDefault="00DB76F4" w:rsidP="00DB76F4">
            <w:pP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  <w:r w:rsidRPr="009A34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230,000,000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21170F38" w14:textId="73B1AC2D" w:rsidR="00DB76F4" w:rsidRPr="009A346C" w:rsidRDefault="00DB76F4" w:rsidP="00DB76F4">
            <w:pP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  <w:r w:rsidRPr="009A34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241,596,639</w:t>
            </w:r>
          </w:p>
        </w:tc>
      </w:tr>
      <w:tr w:rsidR="00DB76F4" w:rsidRPr="00345367" w14:paraId="0172FB65" w14:textId="77777777" w:rsidTr="00045A64">
        <w:trPr>
          <w:trHeight w:val="595"/>
        </w:trPr>
        <w:tc>
          <w:tcPr>
            <w:tcW w:w="552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63F2CC" w14:textId="77777777" w:rsidR="00DB76F4" w:rsidRPr="00345367" w:rsidRDefault="00DB76F4" w:rsidP="00DB76F4">
            <w:pP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  <w:r w:rsidRPr="00345367"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>TOTAL</w:t>
            </w:r>
          </w:p>
        </w:tc>
        <w:tc>
          <w:tcPr>
            <w:tcW w:w="1733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66696D" w14:textId="1A5E7C10" w:rsidR="00DB76F4" w:rsidRPr="009A346C" w:rsidRDefault="00DB76F4" w:rsidP="00DB76F4">
            <w:pP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>2,370,544,000</w:t>
            </w:r>
          </w:p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E77B53" w14:textId="79400FA9" w:rsidR="00DB76F4" w:rsidRPr="009A346C" w:rsidRDefault="00DB76F4" w:rsidP="00DB76F4">
            <w:pP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val="en-US"/>
              </w:rPr>
              <w:t>2,490,067,227</w:t>
            </w:r>
          </w:p>
        </w:tc>
      </w:tr>
    </w:tbl>
    <w:p w14:paraId="3322F5CF" w14:textId="77777777" w:rsidR="006F197B" w:rsidRPr="00345367" w:rsidRDefault="006F197B" w:rsidP="006F197B">
      <w:pPr>
        <w:spacing w:line="320" w:lineRule="auto"/>
        <w:rPr>
          <w:rFonts w:ascii="Arial" w:hAnsi="Arial" w:cs="Arial"/>
          <w:b/>
          <w:sz w:val="18"/>
        </w:rPr>
      </w:pPr>
    </w:p>
    <w:p w14:paraId="5F3CCECE" w14:textId="449A200E" w:rsidR="006F197B" w:rsidRPr="001F4BE4" w:rsidRDefault="006F197B" w:rsidP="001F4BE4">
      <w:pPr>
        <w:spacing w:line="320" w:lineRule="auto"/>
        <w:jc w:val="both"/>
        <w:rPr>
          <w:rFonts w:ascii="Arial" w:hAnsi="Arial" w:cs="Arial"/>
          <w:sz w:val="18"/>
        </w:rPr>
      </w:pPr>
      <w:r w:rsidRPr="001F4BE4">
        <w:rPr>
          <w:rFonts w:ascii="Arial" w:hAnsi="Arial" w:cs="Arial"/>
          <w:b/>
          <w:sz w:val="18"/>
        </w:rPr>
        <w:t xml:space="preserve">In addition to grants, multilateral development banks (MDBs), and bilateral donors </w:t>
      </w:r>
      <w:r w:rsidRPr="00464A8C">
        <w:rPr>
          <w:rFonts w:ascii="Arial" w:hAnsi="Arial" w:cs="Arial"/>
          <w:b/>
          <w:sz w:val="18"/>
        </w:rPr>
        <w:t xml:space="preserve">pledged </w:t>
      </w:r>
      <w:r w:rsidR="000840C1">
        <w:rPr>
          <w:rFonts w:ascii="Arial" w:hAnsi="Arial" w:cs="Arial"/>
          <w:b/>
          <w:sz w:val="18"/>
        </w:rPr>
        <w:t>close to</w:t>
      </w:r>
      <w:r w:rsidRPr="00464A8C">
        <w:rPr>
          <w:rFonts w:ascii="Arial" w:hAnsi="Arial" w:cs="Arial"/>
          <w:b/>
          <w:sz w:val="18"/>
        </w:rPr>
        <w:t xml:space="preserve"> EUR </w:t>
      </w:r>
      <w:r w:rsidR="00DB76F4">
        <w:rPr>
          <w:rFonts w:ascii="Arial" w:hAnsi="Arial" w:cs="Arial"/>
          <w:b/>
          <w:sz w:val="18"/>
        </w:rPr>
        <w:t>2.4</w:t>
      </w:r>
      <w:r w:rsidR="008E203B">
        <w:rPr>
          <w:rFonts w:ascii="Arial" w:hAnsi="Arial" w:cs="Arial"/>
          <w:b/>
          <w:sz w:val="18"/>
        </w:rPr>
        <w:t xml:space="preserve"> billion / </w:t>
      </w:r>
      <w:r w:rsidRPr="00464A8C">
        <w:rPr>
          <w:rFonts w:ascii="Arial" w:hAnsi="Arial" w:cs="Arial"/>
          <w:b/>
          <w:sz w:val="18"/>
        </w:rPr>
        <w:t xml:space="preserve">USD </w:t>
      </w:r>
      <w:r w:rsidR="00DB76F4">
        <w:rPr>
          <w:rFonts w:ascii="Arial" w:hAnsi="Arial" w:cs="Arial"/>
          <w:b/>
          <w:sz w:val="18"/>
        </w:rPr>
        <w:t>2.5</w:t>
      </w:r>
      <w:r w:rsidRPr="00464A8C">
        <w:rPr>
          <w:rFonts w:ascii="Arial" w:hAnsi="Arial" w:cs="Arial"/>
          <w:b/>
          <w:sz w:val="18"/>
        </w:rPr>
        <w:t xml:space="preserve"> billion of loans</w:t>
      </w:r>
      <w:r w:rsidRPr="00464A8C">
        <w:rPr>
          <w:rFonts w:ascii="Arial" w:hAnsi="Arial" w:cs="Arial"/>
          <w:sz w:val="18"/>
        </w:rPr>
        <w:t xml:space="preserve"> </w:t>
      </w:r>
      <w:r w:rsidRPr="00464A8C">
        <w:rPr>
          <w:rFonts w:ascii="Arial" w:hAnsi="Arial" w:cs="Arial"/>
          <w:i/>
          <w:sz w:val="18"/>
        </w:rPr>
        <w:t>(see table 3)</w:t>
      </w:r>
      <w:r w:rsidRPr="00464A8C">
        <w:rPr>
          <w:rFonts w:ascii="Arial" w:hAnsi="Arial" w:cs="Arial"/>
          <w:sz w:val="18"/>
        </w:rPr>
        <w:t>. The terms of these loans are yet to be agreed. We urge a substantial part of these loans to be made on concessional terms either on IDA equivalent terms or consistent</w:t>
      </w:r>
      <w:r w:rsidRPr="001F4BE4">
        <w:rPr>
          <w:rFonts w:ascii="Arial" w:hAnsi="Arial" w:cs="Arial"/>
          <w:sz w:val="18"/>
        </w:rPr>
        <w:t xml:space="preserve"> with the revised OECD DAC principles agreed on 16 December 2014. We welcome this c</w:t>
      </w:r>
      <w:bookmarkStart w:id="1" w:name="_GoBack"/>
      <w:bookmarkEnd w:id="1"/>
      <w:r w:rsidRPr="001F4BE4">
        <w:rPr>
          <w:rFonts w:ascii="Arial" w:hAnsi="Arial" w:cs="Arial"/>
          <w:sz w:val="18"/>
        </w:rPr>
        <w:t>ommitment to the region and will support MDB</w:t>
      </w:r>
      <w:r w:rsidR="008428A2">
        <w:rPr>
          <w:rFonts w:ascii="Arial" w:hAnsi="Arial" w:cs="Arial"/>
          <w:sz w:val="18"/>
        </w:rPr>
        <w:t>’s and bilateral donors’</w:t>
      </w:r>
      <w:r w:rsidRPr="001F4BE4">
        <w:rPr>
          <w:rFonts w:ascii="Arial" w:hAnsi="Arial" w:cs="Arial"/>
          <w:sz w:val="18"/>
        </w:rPr>
        <w:t xml:space="preserve"> efforts to develop new ways of responding to protracted crises through increased access to sustainable lending.</w:t>
      </w:r>
    </w:p>
    <w:p w14:paraId="3AD69A8D" w14:textId="68997B90" w:rsidR="006F197B" w:rsidRPr="001F4BE4" w:rsidRDefault="008428A2" w:rsidP="001F4BE4">
      <w:pPr>
        <w:spacing w:line="32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Donors</w:t>
      </w:r>
      <w:r w:rsidR="006F197B" w:rsidRPr="001F4BE4">
        <w:rPr>
          <w:rFonts w:ascii="Arial" w:hAnsi="Arial" w:cs="Arial"/>
          <w:sz w:val="18"/>
        </w:rPr>
        <w:t xml:space="preserve"> will work in coordination with the refugee-hosting governments, humanitarian and development agencies, and multilateral development banks </w:t>
      </w:r>
      <w:r w:rsidR="006F197B" w:rsidRPr="001F4BE4">
        <w:rPr>
          <w:rFonts w:ascii="Arial" w:hAnsi="Arial" w:cs="Arial"/>
          <w:b/>
          <w:sz w:val="18"/>
        </w:rPr>
        <w:t>to ensure that these financial pledges are honoured promptly to ensure that vulnerable Syrians and host communities receive the assistance needed.</w:t>
      </w:r>
    </w:p>
    <w:p w14:paraId="55F3EFFC" w14:textId="1BA3504A" w:rsidR="006F197B" w:rsidRPr="001F4BE4" w:rsidRDefault="006F197B" w:rsidP="006F197B">
      <w:pPr>
        <w:spacing w:line="320" w:lineRule="auto"/>
        <w:rPr>
          <w:rFonts w:ascii="Arial" w:hAnsi="Arial" w:cs="Arial"/>
          <w:i/>
          <w:sz w:val="18"/>
        </w:rPr>
      </w:pPr>
      <w:r w:rsidRPr="001F4BE4">
        <w:rPr>
          <w:rFonts w:ascii="Arial" w:hAnsi="Arial" w:cs="Arial"/>
          <w:i/>
          <w:sz w:val="18"/>
        </w:rPr>
        <w:t>Conversion rates are based on UN opera</w:t>
      </w:r>
      <w:r w:rsidR="008A12B5">
        <w:rPr>
          <w:rFonts w:ascii="Arial" w:hAnsi="Arial" w:cs="Arial"/>
          <w:i/>
          <w:sz w:val="18"/>
        </w:rPr>
        <w:t>tional rates of exchange as of 1st May</w:t>
      </w:r>
      <w:r w:rsidRPr="001F4BE4">
        <w:rPr>
          <w:rFonts w:ascii="Arial" w:hAnsi="Arial" w:cs="Arial"/>
          <w:i/>
          <w:sz w:val="18"/>
        </w:rPr>
        <w:t xml:space="preserve"> 20</w:t>
      </w:r>
      <w:r w:rsidR="00896D52">
        <w:rPr>
          <w:rFonts w:ascii="Arial" w:hAnsi="Arial" w:cs="Arial"/>
          <w:i/>
          <w:sz w:val="18"/>
        </w:rPr>
        <w:t>2</w:t>
      </w:r>
      <w:r w:rsidR="008A12B5">
        <w:rPr>
          <w:rFonts w:ascii="Arial" w:hAnsi="Arial" w:cs="Arial"/>
          <w:i/>
          <w:sz w:val="18"/>
        </w:rPr>
        <w:t>2</w:t>
      </w:r>
      <w:r w:rsidRPr="001F4BE4">
        <w:rPr>
          <w:rFonts w:ascii="Arial" w:hAnsi="Arial" w:cs="Arial"/>
          <w:i/>
          <w:sz w:val="18"/>
        </w:rPr>
        <w:t>.</w:t>
      </w:r>
    </w:p>
    <w:p w14:paraId="0A4A6B72" w14:textId="77777777" w:rsidR="006F197B" w:rsidRPr="008A12B5" w:rsidRDefault="006F197B" w:rsidP="000F66FC">
      <w:pPr>
        <w:spacing w:line="320" w:lineRule="auto"/>
        <w:rPr>
          <w:rFonts w:ascii="Arial" w:hAnsi="Arial" w:cs="Arial"/>
          <w:sz w:val="20"/>
        </w:rPr>
      </w:pPr>
    </w:p>
    <w:sectPr w:rsidR="006F197B" w:rsidRPr="008A12B5" w:rsidSect="00534653">
      <w:headerReference w:type="default" r:id="rId9"/>
      <w:pgSz w:w="11906" w:h="16838"/>
      <w:pgMar w:top="2299" w:right="1417" w:bottom="788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2AA59" w16cid:durableId="202379D4"/>
  <w16cid:commentId w16cid:paraId="4CE9F485" w16cid:durableId="20237B4D"/>
  <w16cid:commentId w16cid:paraId="39F2B167" w16cid:durableId="2022909E"/>
  <w16cid:commentId w16cid:paraId="2E8C9D9A" w16cid:durableId="202290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845A3" w14:textId="77777777" w:rsidR="008D0E3D" w:rsidRDefault="008D0E3D" w:rsidP="00396CC1">
      <w:pPr>
        <w:spacing w:after="0" w:line="240" w:lineRule="auto"/>
      </w:pPr>
      <w:r>
        <w:separator/>
      </w:r>
    </w:p>
  </w:endnote>
  <w:endnote w:type="continuationSeparator" w:id="0">
    <w:p w14:paraId="0144C3B9" w14:textId="77777777" w:rsidR="008D0E3D" w:rsidRDefault="008D0E3D" w:rsidP="0039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B74D4" w14:textId="77777777" w:rsidR="008D0E3D" w:rsidRDefault="008D0E3D" w:rsidP="00396CC1">
      <w:pPr>
        <w:spacing w:after="0" w:line="240" w:lineRule="auto"/>
      </w:pPr>
      <w:r>
        <w:separator/>
      </w:r>
    </w:p>
  </w:footnote>
  <w:footnote w:type="continuationSeparator" w:id="0">
    <w:p w14:paraId="5D2F5D9A" w14:textId="77777777" w:rsidR="008D0E3D" w:rsidRDefault="008D0E3D" w:rsidP="00396CC1">
      <w:pPr>
        <w:spacing w:after="0" w:line="240" w:lineRule="auto"/>
      </w:pPr>
      <w:r>
        <w:continuationSeparator/>
      </w:r>
    </w:p>
  </w:footnote>
  <w:footnote w:id="1">
    <w:p w14:paraId="7A2D2128" w14:textId="3D508990" w:rsidR="000F66FC" w:rsidRPr="00350DD6" w:rsidRDefault="000F66FC">
      <w:pPr>
        <w:pStyle w:val="FootnoteText"/>
        <w:rPr>
          <w:rFonts w:ascii="Arial" w:hAnsi="Arial" w:cs="Arial"/>
        </w:rPr>
      </w:pPr>
      <w:r w:rsidRPr="00350DD6">
        <w:rPr>
          <w:rStyle w:val="FootnoteReference"/>
          <w:rFonts w:ascii="Arial" w:hAnsi="Arial" w:cs="Arial"/>
          <w:color w:val="3F4A52"/>
          <w:sz w:val="15"/>
        </w:rPr>
        <w:footnoteRef/>
      </w:r>
      <w:r w:rsidRPr="00350DD6">
        <w:rPr>
          <w:rFonts w:ascii="Arial" w:hAnsi="Arial" w:cs="Arial"/>
          <w:color w:val="3F4A52"/>
          <w:sz w:val="15"/>
        </w:rPr>
        <w:t xml:space="preserve"> This includes </w:t>
      </w:r>
      <w:r w:rsidR="00C34CB5">
        <w:rPr>
          <w:rFonts w:ascii="Arial" w:hAnsi="Arial" w:cs="Arial"/>
          <w:color w:val="3F4A52"/>
          <w:sz w:val="15"/>
        </w:rPr>
        <w:t xml:space="preserve">some reconfirmed multi-year </w:t>
      </w:r>
      <w:r w:rsidRPr="00350DD6">
        <w:rPr>
          <w:rFonts w:ascii="Arial" w:hAnsi="Arial" w:cs="Arial"/>
          <w:color w:val="3F4A52"/>
          <w:sz w:val="15"/>
        </w:rPr>
        <w:t xml:space="preserve">pledges from </w:t>
      </w:r>
      <w:r w:rsidR="00B72261">
        <w:rPr>
          <w:rFonts w:ascii="Arial" w:hAnsi="Arial" w:cs="Arial"/>
          <w:color w:val="3F4A52"/>
          <w:sz w:val="15"/>
        </w:rPr>
        <w:t>previous Brussels Conferences</w:t>
      </w:r>
      <w:r w:rsidR="000C098D">
        <w:rPr>
          <w:rFonts w:ascii="Arial" w:hAnsi="Arial" w:cs="Arial"/>
          <w:color w:val="3F4A52"/>
          <w:sz w:val="15"/>
        </w:rPr>
        <w:t>.</w:t>
      </w:r>
    </w:p>
  </w:footnote>
  <w:footnote w:id="2">
    <w:p w14:paraId="305E0075" w14:textId="3EF48F37" w:rsidR="00443D0E" w:rsidRDefault="00443D0E">
      <w:pPr>
        <w:pStyle w:val="FootnoteText"/>
        <w:rPr>
          <w:rFonts w:ascii="Arial" w:hAnsi="Arial" w:cs="Arial"/>
          <w:sz w:val="15"/>
          <w:szCs w:val="15"/>
        </w:rPr>
      </w:pPr>
      <w:r>
        <w:rPr>
          <w:rStyle w:val="FootnoteReference"/>
        </w:rPr>
        <w:footnoteRef/>
      </w:r>
      <w:r>
        <w:t xml:space="preserve"> </w:t>
      </w:r>
      <w:r w:rsidRPr="00534DF2">
        <w:rPr>
          <w:rFonts w:ascii="Arial" w:hAnsi="Arial" w:cs="Arial"/>
          <w:sz w:val="15"/>
          <w:szCs w:val="15"/>
        </w:rPr>
        <w:t>U</w:t>
      </w:r>
      <w:r>
        <w:rPr>
          <w:rFonts w:ascii="Arial" w:hAnsi="Arial" w:cs="Arial"/>
          <w:sz w:val="15"/>
          <w:szCs w:val="15"/>
        </w:rPr>
        <w:t>SD conversion rate is based on U</w:t>
      </w:r>
      <w:r w:rsidRPr="00534DF2">
        <w:rPr>
          <w:rFonts w:ascii="Arial" w:hAnsi="Arial" w:cs="Arial"/>
          <w:sz w:val="15"/>
          <w:szCs w:val="15"/>
        </w:rPr>
        <w:t xml:space="preserve">N operational </w:t>
      </w:r>
      <w:r>
        <w:rPr>
          <w:rFonts w:ascii="Arial" w:hAnsi="Arial" w:cs="Arial"/>
          <w:sz w:val="15"/>
          <w:szCs w:val="15"/>
        </w:rPr>
        <w:t xml:space="preserve">rates of </w:t>
      </w:r>
      <w:r w:rsidR="000A0D1F">
        <w:rPr>
          <w:rFonts w:ascii="Arial" w:hAnsi="Arial" w:cs="Arial"/>
          <w:sz w:val="15"/>
          <w:szCs w:val="15"/>
        </w:rPr>
        <w:t>exchange as of 1st May 2022</w:t>
      </w:r>
      <w:r>
        <w:rPr>
          <w:rFonts w:ascii="Arial" w:hAnsi="Arial" w:cs="Arial"/>
          <w:sz w:val="15"/>
          <w:szCs w:val="15"/>
        </w:rPr>
        <w:t>.</w:t>
      </w:r>
    </w:p>
    <w:p w14:paraId="6F27BFEF" w14:textId="5A977BD2" w:rsidR="00C65980" w:rsidRPr="00C65980" w:rsidRDefault="00C65980" w:rsidP="00C65980">
      <w:pPr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4571E0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15"/>
          <w:szCs w:val="15"/>
        </w:rPr>
        <w:t xml:space="preserve">These donors also </w:t>
      </w:r>
      <w:r w:rsidRPr="00FC18BB">
        <w:rPr>
          <w:rFonts w:ascii="Arial" w:hAnsi="Arial" w:cs="Arial"/>
          <w:sz w:val="15"/>
          <w:szCs w:val="15"/>
        </w:rPr>
        <w:t>announced loans</w:t>
      </w:r>
      <w:r>
        <w:rPr>
          <w:rFonts w:ascii="Arial" w:hAnsi="Arial" w:cs="Arial"/>
          <w:sz w:val="15"/>
          <w:szCs w:val="15"/>
        </w:rPr>
        <w:t xml:space="preserve">, see Table 3 for details. </w:t>
      </w:r>
    </w:p>
  </w:footnote>
  <w:footnote w:id="3">
    <w:p w14:paraId="0B0517D7" w14:textId="56367DE6" w:rsidR="00A64545" w:rsidRPr="004571E0" w:rsidRDefault="00A64545">
      <w:pPr>
        <w:pStyle w:val="FootnoteText"/>
      </w:pPr>
      <w:r w:rsidRPr="004571E0">
        <w:rPr>
          <w:rStyle w:val="FootnoteReference"/>
        </w:rPr>
        <w:footnoteRef/>
      </w:r>
      <w:r w:rsidRPr="004571E0">
        <w:t xml:space="preserve"> </w:t>
      </w:r>
      <w:r w:rsidRPr="004571E0">
        <w:rPr>
          <w:rFonts w:ascii="Arial" w:hAnsi="Arial" w:cs="Arial"/>
          <w:sz w:val="15"/>
        </w:rPr>
        <w:t>Amounts provided are indicative and will depend on the political evolution in the region.</w:t>
      </w:r>
    </w:p>
  </w:footnote>
  <w:footnote w:id="4">
    <w:p w14:paraId="7E48BA6E" w14:textId="77777777" w:rsidR="00DB76F4" w:rsidRPr="004571E0" w:rsidRDefault="00DB76F4" w:rsidP="000A0D1F">
      <w:pPr>
        <w:pStyle w:val="FootnoteText"/>
        <w:rPr>
          <w:lang w:val="en-US"/>
        </w:rPr>
      </w:pPr>
      <w:r w:rsidRPr="004571E0">
        <w:rPr>
          <w:rStyle w:val="FootnoteReference"/>
        </w:rPr>
        <w:footnoteRef/>
      </w:r>
      <w:r w:rsidRPr="004571E0">
        <w:t xml:space="preserve"> </w:t>
      </w:r>
      <w:r w:rsidRPr="004571E0">
        <w:rPr>
          <w:rFonts w:ascii="Arial" w:hAnsi="Arial" w:cs="Arial"/>
          <w:sz w:val="15"/>
        </w:rPr>
        <w:t>Will be subject to confirmation as EIB ma</w:t>
      </w:r>
      <w:r>
        <w:rPr>
          <w:rFonts w:ascii="Arial" w:hAnsi="Arial" w:cs="Arial"/>
          <w:sz w:val="15"/>
        </w:rPr>
        <w:t>ndates are evolving between 2022 and 2023</w:t>
      </w:r>
      <w:r w:rsidRPr="004571E0">
        <w:rPr>
          <w:rFonts w:ascii="Arial" w:hAnsi="Arial" w:cs="Arial"/>
          <w:sz w:val="15"/>
        </w:rPr>
        <w:t>.</w:t>
      </w:r>
    </w:p>
  </w:footnote>
  <w:footnote w:id="5">
    <w:p w14:paraId="02E49CC6" w14:textId="5BC38D9E" w:rsidR="00DB76F4" w:rsidRPr="004571E0" w:rsidRDefault="00DB76F4" w:rsidP="000A0D1F">
      <w:pPr>
        <w:spacing w:after="0" w:line="240" w:lineRule="auto"/>
        <w:rPr>
          <w:lang w:val="en-US"/>
        </w:rPr>
      </w:pPr>
      <w:r w:rsidRPr="004571E0">
        <w:rPr>
          <w:rStyle w:val="FootnoteReference"/>
        </w:rPr>
        <w:footnoteRef/>
      </w:r>
      <w:r w:rsidRPr="004571E0">
        <w:t xml:space="preserve"> </w:t>
      </w:r>
      <w:r>
        <w:rPr>
          <w:rFonts w:ascii="Arial" w:hAnsi="Arial" w:cs="Arial"/>
          <w:sz w:val="15"/>
          <w:szCs w:val="15"/>
        </w:rPr>
        <w:t>The f</w:t>
      </w:r>
      <w:r w:rsidRPr="004571E0">
        <w:rPr>
          <w:rFonts w:ascii="Arial" w:hAnsi="Arial" w:cs="Arial"/>
          <w:sz w:val="15"/>
          <w:szCs w:val="15"/>
        </w:rPr>
        <w:t xml:space="preserve">ollowing donors announced loans: </w:t>
      </w:r>
      <w:r w:rsidRPr="009A346C">
        <w:rPr>
          <w:rFonts w:ascii="Arial" w:hAnsi="Arial" w:cs="Arial"/>
          <w:sz w:val="15"/>
          <w:szCs w:val="15"/>
        </w:rPr>
        <w:t>France.</w:t>
      </w:r>
      <w:r>
        <w:rPr>
          <w:rFonts w:ascii="Arial" w:hAnsi="Arial" w:cs="Arial"/>
          <w:sz w:val="15"/>
          <w:szCs w:val="15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47BA" w14:textId="4613714C" w:rsidR="000F66FC" w:rsidRDefault="00C27C0A" w:rsidP="00B9493E">
    <w:pPr>
      <w:pStyle w:val="Header"/>
    </w:pPr>
    <w:r w:rsidRPr="00117BF1">
      <w:rPr>
        <w:rStyle w:val="Strong"/>
        <w:rFonts w:ascii="Arial" w:hAnsi="Arial" w:cs="Arial"/>
        <w:noProof/>
        <w:color w:val="000000"/>
        <w:sz w:val="26"/>
        <w:szCs w:val="26"/>
        <w:lang w:val="en-US"/>
      </w:rPr>
      <w:drawing>
        <wp:inline distT="0" distB="0" distL="0" distR="0" wp14:anchorId="4D0CE667" wp14:editId="2AF1B253">
          <wp:extent cx="2082297" cy="626357"/>
          <wp:effectExtent l="0" t="0" r="0" b="2540"/>
          <wp:docPr id="1" name="Picture 1" descr="C:\Users\marscja\AppData\Local\Microsoft\Windows\INetCache\Content.Outlook\NJ5VU178\LOGO Brussel-VI-2022  9-10 MAY 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scja\AppData\Local\Microsoft\Windows\INetCache\Content.Outlook\NJ5VU178\LOGO Brussel-VI-2022  9-10 MAY 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922" cy="6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A6FF4" w14:textId="77777777" w:rsidR="000251BD" w:rsidRDefault="000251BD" w:rsidP="00B9493E">
    <w:pPr>
      <w:pStyle w:val="Header"/>
    </w:pPr>
  </w:p>
  <w:p w14:paraId="3FA5C51F" w14:textId="77777777" w:rsidR="000251BD" w:rsidRDefault="000251BD" w:rsidP="00B9493E">
    <w:pPr>
      <w:pStyle w:val="Header"/>
    </w:pPr>
  </w:p>
  <w:p w14:paraId="55881C2A" w14:textId="77777777" w:rsidR="000F66FC" w:rsidRDefault="000F6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267CF"/>
    <w:multiLevelType w:val="hybridMultilevel"/>
    <w:tmpl w:val="D3C8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A3C0A"/>
    <w:multiLevelType w:val="multilevel"/>
    <w:tmpl w:val="228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94B7A"/>
    <w:rsid w:val="000043BD"/>
    <w:rsid w:val="000251BD"/>
    <w:rsid w:val="00045A64"/>
    <w:rsid w:val="00051E7A"/>
    <w:rsid w:val="0005323E"/>
    <w:rsid w:val="00062B74"/>
    <w:rsid w:val="00070FAB"/>
    <w:rsid w:val="00076153"/>
    <w:rsid w:val="000840C1"/>
    <w:rsid w:val="000A0D1F"/>
    <w:rsid w:val="000B193F"/>
    <w:rsid w:val="000C098D"/>
    <w:rsid w:val="000C7817"/>
    <w:rsid w:val="000D491C"/>
    <w:rsid w:val="000D4A71"/>
    <w:rsid w:val="000E20C9"/>
    <w:rsid w:val="000F1A72"/>
    <w:rsid w:val="000F66FC"/>
    <w:rsid w:val="00111DC1"/>
    <w:rsid w:val="001253F8"/>
    <w:rsid w:val="001336EF"/>
    <w:rsid w:val="0015629E"/>
    <w:rsid w:val="00156797"/>
    <w:rsid w:val="00175ED8"/>
    <w:rsid w:val="001840CA"/>
    <w:rsid w:val="00185322"/>
    <w:rsid w:val="00187FF5"/>
    <w:rsid w:val="001C6488"/>
    <w:rsid w:val="001D56C3"/>
    <w:rsid w:val="001E453C"/>
    <w:rsid w:val="001E5FE2"/>
    <w:rsid w:val="001E76DC"/>
    <w:rsid w:val="001F0FDA"/>
    <w:rsid w:val="001F4BE4"/>
    <w:rsid w:val="001F5648"/>
    <w:rsid w:val="001F7F14"/>
    <w:rsid w:val="00213EE6"/>
    <w:rsid w:val="002265B7"/>
    <w:rsid w:val="00231988"/>
    <w:rsid w:val="002359DD"/>
    <w:rsid w:val="00250156"/>
    <w:rsid w:val="0026568D"/>
    <w:rsid w:val="00273FED"/>
    <w:rsid w:val="00281C47"/>
    <w:rsid w:val="002A20FB"/>
    <w:rsid w:val="002B77A3"/>
    <w:rsid w:val="002D11AC"/>
    <w:rsid w:val="002F1708"/>
    <w:rsid w:val="00306DB3"/>
    <w:rsid w:val="00307879"/>
    <w:rsid w:val="00315616"/>
    <w:rsid w:val="00327B35"/>
    <w:rsid w:val="00332726"/>
    <w:rsid w:val="0033388A"/>
    <w:rsid w:val="00345367"/>
    <w:rsid w:val="00350DD6"/>
    <w:rsid w:val="00361114"/>
    <w:rsid w:val="0039645F"/>
    <w:rsid w:val="00396CC1"/>
    <w:rsid w:val="00397123"/>
    <w:rsid w:val="003A641D"/>
    <w:rsid w:val="003B591E"/>
    <w:rsid w:val="003C61CD"/>
    <w:rsid w:val="003C7D24"/>
    <w:rsid w:val="003D49DB"/>
    <w:rsid w:val="003F09EB"/>
    <w:rsid w:val="004067D3"/>
    <w:rsid w:val="00441188"/>
    <w:rsid w:val="00443D0E"/>
    <w:rsid w:val="004571E0"/>
    <w:rsid w:val="00464A8C"/>
    <w:rsid w:val="00473174"/>
    <w:rsid w:val="00495FDA"/>
    <w:rsid w:val="004A3AAE"/>
    <w:rsid w:val="004B105A"/>
    <w:rsid w:val="004C4FD0"/>
    <w:rsid w:val="004C7977"/>
    <w:rsid w:val="004E1746"/>
    <w:rsid w:val="004E3DB7"/>
    <w:rsid w:val="00505CEA"/>
    <w:rsid w:val="00511001"/>
    <w:rsid w:val="00511AF9"/>
    <w:rsid w:val="005260A9"/>
    <w:rsid w:val="0053406A"/>
    <w:rsid w:val="00534653"/>
    <w:rsid w:val="00534DF2"/>
    <w:rsid w:val="00573B1F"/>
    <w:rsid w:val="00582878"/>
    <w:rsid w:val="005949C4"/>
    <w:rsid w:val="005B0381"/>
    <w:rsid w:val="005D5BC2"/>
    <w:rsid w:val="005E06F5"/>
    <w:rsid w:val="005E62B4"/>
    <w:rsid w:val="005F3816"/>
    <w:rsid w:val="00652C7D"/>
    <w:rsid w:val="00655D4E"/>
    <w:rsid w:val="00660EDD"/>
    <w:rsid w:val="006921ED"/>
    <w:rsid w:val="006B3920"/>
    <w:rsid w:val="006B3D9B"/>
    <w:rsid w:val="006C0582"/>
    <w:rsid w:val="006D04EA"/>
    <w:rsid w:val="006E3F59"/>
    <w:rsid w:val="006F197B"/>
    <w:rsid w:val="006F1A9C"/>
    <w:rsid w:val="006F430B"/>
    <w:rsid w:val="006F6299"/>
    <w:rsid w:val="006F6B1F"/>
    <w:rsid w:val="00701133"/>
    <w:rsid w:val="007537F8"/>
    <w:rsid w:val="00762D52"/>
    <w:rsid w:val="0077595C"/>
    <w:rsid w:val="00794B7A"/>
    <w:rsid w:val="007A6974"/>
    <w:rsid w:val="007B6E8B"/>
    <w:rsid w:val="007F0D3B"/>
    <w:rsid w:val="00813556"/>
    <w:rsid w:val="00823ACA"/>
    <w:rsid w:val="00830AC1"/>
    <w:rsid w:val="00833EDC"/>
    <w:rsid w:val="008428A2"/>
    <w:rsid w:val="00865F4B"/>
    <w:rsid w:val="00875468"/>
    <w:rsid w:val="008878B6"/>
    <w:rsid w:val="00891FD7"/>
    <w:rsid w:val="00896D52"/>
    <w:rsid w:val="008A12B5"/>
    <w:rsid w:val="008A2401"/>
    <w:rsid w:val="008C797E"/>
    <w:rsid w:val="008D0E3D"/>
    <w:rsid w:val="008D34A4"/>
    <w:rsid w:val="008D3D3C"/>
    <w:rsid w:val="008E203B"/>
    <w:rsid w:val="0090189C"/>
    <w:rsid w:val="009211C5"/>
    <w:rsid w:val="0093439A"/>
    <w:rsid w:val="00937585"/>
    <w:rsid w:val="00951BAC"/>
    <w:rsid w:val="00971402"/>
    <w:rsid w:val="00986207"/>
    <w:rsid w:val="009908A6"/>
    <w:rsid w:val="009932C1"/>
    <w:rsid w:val="00997F45"/>
    <w:rsid w:val="009A02FF"/>
    <w:rsid w:val="009A346C"/>
    <w:rsid w:val="009A4D39"/>
    <w:rsid w:val="009B4C12"/>
    <w:rsid w:val="009B7DCB"/>
    <w:rsid w:val="009C2971"/>
    <w:rsid w:val="009C4EA3"/>
    <w:rsid w:val="009E3CC3"/>
    <w:rsid w:val="009F0AA5"/>
    <w:rsid w:val="00A020F1"/>
    <w:rsid w:val="00A111E7"/>
    <w:rsid w:val="00A159CD"/>
    <w:rsid w:val="00A52A3E"/>
    <w:rsid w:val="00A56E19"/>
    <w:rsid w:val="00A5735A"/>
    <w:rsid w:val="00A64545"/>
    <w:rsid w:val="00A67E4F"/>
    <w:rsid w:val="00A70B6F"/>
    <w:rsid w:val="00A71191"/>
    <w:rsid w:val="00A73688"/>
    <w:rsid w:val="00A87BC1"/>
    <w:rsid w:val="00AA4DE9"/>
    <w:rsid w:val="00AB06C8"/>
    <w:rsid w:val="00AD6E8F"/>
    <w:rsid w:val="00AE196C"/>
    <w:rsid w:val="00AE7F79"/>
    <w:rsid w:val="00AF0E6A"/>
    <w:rsid w:val="00B050E3"/>
    <w:rsid w:val="00B06801"/>
    <w:rsid w:val="00B07370"/>
    <w:rsid w:val="00B156E5"/>
    <w:rsid w:val="00B171E6"/>
    <w:rsid w:val="00B43160"/>
    <w:rsid w:val="00B502A3"/>
    <w:rsid w:val="00B62123"/>
    <w:rsid w:val="00B671C7"/>
    <w:rsid w:val="00B71F01"/>
    <w:rsid w:val="00B72261"/>
    <w:rsid w:val="00B768D8"/>
    <w:rsid w:val="00B9493E"/>
    <w:rsid w:val="00BA6FF7"/>
    <w:rsid w:val="00BC46AD"/>
    <w:rsid w:val="00BE7F7B"/>
    <w:rsid w:val="00BF2CC9"/>
    <w:rsid w:val="00BF5EF3"/>
    <w:rsid w:val="00C06971"/>
    <w:rsid w:val="00C12161"/>
    <w:rsid w:val="00C24D1B"/>
    <w:rsid w:val="00C27C0A"/>
    <w:rsid w:val="00C34CB5"/>
    <w:rsid w:val="00C3552F"/>
    <w:rsid w:val="00C44100"/>
    <w:rsid w:val="00C643C3"/>
    <w:rsid w:val="00C6533F"/>
    <w:rsid w:val="00C65980"/>
    <w:rsid w:val="00C6747C"/>
    <w:rsid w:val="00C92036"/>
    <w:rsid w:val="00CC79FA"/>
    <w:rsid w:val="00CE5369"/>
    <w:rsid w:val="00CF0782"/>
    <w:rsid w:val="00D0106B"/>
    <w:rsid w:val="00D019D2"/>
    <w:rsid w:val="00D02727"/>
    <w:rsid w:val="00D20013"/>
    <w:rsid w:val="00D2436B"/>
    <w:rsid w:val="00D279E2"/>
    <w:rsid w:val="00D64558"/>
    <w:rsid w:val="00D7072B"/>
    <w:rsid w:val="00DB6FDB"/>
    <w:rsid w:val="00DB76F4"/>
    <w:rsid w:val="00DC114B"/>
    <w:rsid w:val="00DC4617"/>
    <w:rsid w:val="00DC651D"/>
    <w:rsid w:val="00DD0D04"/>
    <w:rsid w:val="00DE4819"/>
    <w:rsid w:val="00DF58A9"/>
    <w:rsid w:val="00E01E79"/>
    <w:rsid w:val="00E17971"/>
    <w:rsid w:val="00E24B48"/>
    <w:rsid w:val="00E32943"/>
    <w:rsid w:val="00E33D3D"/>
    <w:rsid w:val="00E34417"/>
    <w:rsid w:val="00E714BE"/>
    <w:rsid w:val="00E80B77"/>
    <w:rsid w:val="00EA3602"/>
    <w:rsid w:val="00EB1042"/>
    <w:rsid w:val="00EB16D4"/>
    <w:rsid w:val="00EB5F78"/>
    <w:rsid w:val="00ED65F8"/>
    <w:rsid w:val="00ED6D43"/>
    <w:rsid w:val="00EE7B61"/>
    <w:rsid w:val="00F0544F"/>
    <w:rsid w:val="00F15D81"/>
    <w:rsid w:val="00F16FA0"/>
    <w:rsid w:val="00F3069F"/>
    <w:rsid w:val="00F34177"/>
    <w:rsid w:val="00F370A4"/>
    <w:rsid w:val="00F4059E"/>
    <w:rsid w:val="00F44EF7"/>
    <w:rsid w:val="00F46E21"/>
    <w:rsid w:val="00F51E84"/>
    <w:rsid w:val="00F56963"/>
    <w:rsid w:val="00F62B10"/>
    <w:rsid w:val="00F80A53"/>
    <w:rsid w:val="00F919A1"/>
    <w:rsid w:val="00FA54F4"/>
    <w:rsid w:val="00FB13D8"/>
    <w:rsid w:val="00FC18BB"/>
    <w:rsid w:val="00FC6E68"/>
    <w:rsid w:val="00FD1E70"/>
    <w:rsid w:val="00FE72CB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C21BFFA"/>
  <w15:docId w15:val="{55DCF312-0173-45BD-9C9B-4DEEECC9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4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05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6C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C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96CC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727"/>
  </w:style>
  <w:style w:type="paragraph" w:styleId="Footer">
    <w:name w:val="footer"/>
    <w:basedOn w:val="Normal"/>
    <w:link w:val="FooterChar"/>
    <w:uiPriority w:val="99"/>
    <w:unhideWhenUsed/>
    <w:rsid w:val="00D02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727"/>
  </w:style>
  <w:style w:type="character" w:styleId="CommentReference">
    <w:name w:val="annotation reference"/>
    <w:basedOn w:val="DefaultParagraphFont"/>
    <w:uiPriority w:val="99"/>
    <w:semiHidden/>
    <w:unhideWhenUsed/>
    <w:rsid w:val="009A4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D39"/>
    <w:rPr>
      <w:b/>
      <w:bCs/>
      <w:sz w:val="20"/>
      <w:szCs w:val="20"/>
    </w:rPr>
  </w:style>
  <w:style w:type="paragraph" w:customStyle="1" w:styleId="Default">
    <w:name w:val="Default"/>
    <w:rsid w:val="00C24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F09E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493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9493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active">
    <w:name w:val="active"/>
    <w:basedOn w:val="Normal"/>
    <w:rsid w:val="00B9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C05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50DD6"/>
    <w:pPr>
      <w:ind w:left="720"/>
      <w:contextualSpacing/>
    </w:pPr>
  </w:style>
  <w:style w:type="character" w:customStyle="1" w:styleId="Bodytext2">
    <w:name w:val="Body text|2_"/>
    <w:basedOn w:val="DefaultParagraphFont"/>
    <w:link w:val="Bodytext20"/>
    <w:rsid w:val="00ED65F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|2"/>
    <w:basedOn w:val="Normal"/>
    <w:link w:val="Bodytext2"/>
    <w:qFormat/>
    <w:rsid w:val="00ED65F8"/>
    <w:pPr>
      <w:widowControl w:val="0"/>
      <w:shd w:val="clear" w:color="auto" w:fill="FFFFFF"/>
      <w:spacing w:after="1000" w:line="235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euleda\AppData\Local\Microsoft\Windows\INetCache\Content.MSO\C1B32128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B95E-FBEF-4EFC-8769-0ECEB0E5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708</Words>
  <Characters>4458</Characters>
  <Application>Microsoft Office Word</Application>
  <DocSecurity>0</DocSecurity>
  <Lines>371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SEXTON Toby (EEAS)</dc:creator>
  <cp:lastModifiedBy>GLEICHGEWICHT Voja (ECHO)</cp:lastModifiedBy>
  <cp:revision>4</cp:revision>
  <cp:lastPrinted>2019-03-01T09:20:00Z</cp:lastPrinted>
  <dcterms:created xsi:type="dcterms:W3CDTF">2022-05-19T14:14:00Z</dcterms:created>
  <dcterms:modified xsi:type="dcterms:W3CDTF">2022-05-19T14:16:00Z</dcterms:modified>
</cp:coreProperties>
</file>