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5A3" w:rsidRPr="00FC49F3" w:rsidRDefault="004A15A3" w:rsidP="004A15A3">
      <w:pPr>
        <w:pStyle w:val="ListParagraph"/>
        <w:tabs>
          <w:tab w:val="left" w:pos="-1440"/>
          <w:tab w:val="left" w:pos="-720"/>
        </w:tabs>
        <w:spacing w:after="240"/>
        <w:ind w:left="0"/>
        <w:contextualSpacing w:val="0"/>
        <w:rPr>
          <w:rFonts w:ascii="Times New Roman" w:hAnsi="Times New Roman"/>
          <w:sz w:val="24"/>
          <w:szCs w:val="24"/>
          <w:highlight w:val="yellow"/>
        </w:rPr>
      </w:pPr>
      <w:bookmarkStart w:id="0" w:name="_GoBack"/>
      <w:bookmarkEnd w:id="0"/>
      <w:r>
        <w:rPr>
          <w:rFonts w:ascii="Times New Roman" w:hAnsi="Times New Roman"/>
          <w:b/>
          <w:sz w:val="24"/>
          <w:szCs w:val="24"/>
          <w:u w:val="single"/>
        </w:rPr>
        <w:t>Matrice du cadre logique et des activités</w:t>
      </w:r>
      <w:r>
        <w:rPr>
          <w:rFonts w:ascii="Times New Roman" w:hAnsi="Times New Roman"/>
          <w:b/>
          <w:sz w:val="24"/>
          <w:szCs w:val="24"/>
        </w:rPr>
        <w:t xml:space="preserve"> (annexe E3d) </w:t>
      </w:r>
    </w:p>
    <w:p w:rsidR="003739FA" w:rsidRPr="000C3C23" w:rsidRDefault="003739FA" w:rsidP="007310BD">
      <w:pPr>
        <w:tabs>
          <w:tab w:val="left" w:pos="-1440"/>
          <w:tab w:val="left" w:pos="-720"/>
        </w:tabs>
        <w:spacing w:before="120"/>
        <w:rPr>
          <w:i/>
          <w:highlight w:val="yellow"/>
        </w:rPr>
      </w:pPr>
      <w:r>
        <w:rPr>
          <w:i/>
          <w:sz w:val="22"/>
          <w:szCs w:val="22"/>
          <w:highlight w:val="yellow"/>
        </w:rPr>
        <w:t>La matrice du cadre logique (cadre logique) est un tableau qui reprend de manière structurée la hiérarchie des résultats de l’action aux niveaux de l’impact, des réalisations et des produits. Par</w:t>
      </w:r>
      <w:proofErr w:type="gramStart"/>
      <w:r>
        <w:rPr>
          <w:i/>
          <w:sz w:val="22"/>
          <w:szCs w:val="22"/>
          <w:highlight w:val="yellow"/>
        </w:rPr>
        <w:t xml:space="preserve"> «impact</w:t>
      </w:r>
      <w:proofErr w:type="gramEnd"/>
      <w:r>
        <w:rPr>
          <w:i/>
          <w:sz w:val="22"/>
          <w:szCs w:val="22"/>
          <w:highlight w:val="yellow"/>
        </w:rPr>
        <w:t>», il faut entendre les effets de l’action attendus à long terme permettant d’atteindre l’objectif général. Par</w:t>
      </w:r>
      <w:proofErr w:type="gramStart"/>
      <w:r>
        <w:rPr>
          <w:i/>
          <w:sz w:val="22"/>
          <w:szCs w:val="22"/>
          <w:highlight w:val="yellow"/>
        </w:rPr>
        <w:t xml:space="preserve"> «réalisations</w:t>
      </w:r>
      <w:proofErr w:type="gramEnd"/>
      <w:r>
        <w:rPr>
          <w:i/>
          <w:sz w:val="22"/>
          <w:szCs w:val="22"/>
          <w:highlight w:val="yellow"/>
        </w:rPr>
        <w:t>», il faut entendre les effets de l’action attendus à moyen terme permettant d’atteindre le ou les objectifs spécifiques. Les liens entre les différents niveaux sont aussi importants que les résultats eux-mêmes, étant donné qu’ils reflètent la logique d’intervention (théorie du changement) et les rôles des fournisseurs et autres parties prenantes.</w:t>
      </w:r>
    </w:p>
    <w:p w:rsidR="004A15A3" w:rsidRPr="005530B2" w:rsidRDefault="004A15A3" w:rsidP="004A15A3">
      <w:pPr>
        <w:pStyle w:val="ListParagraph"/>
        <w:tabs>
          <w:tab w:val="left" w:pos="-1440"/>
          <w:tab w:val="left" w:pos="-720"/>
        </w:tabs>
        <w:spacing w:before="120" w:after="240"/>
        <w:ind w:left="0"/>
        <w:contextualSpacing w:val="0"/>
        <w:rPr>
          <w:rFonts w:ascii="Times New Roman" w:hAnsi="Times New Roman"/>
          <w:i/>
          <w:highlight w:val="yellow"/>
        </w:rPr>
      </w:pPr>
      <w:r>
        <w:rPr>
          <w:rFonts w:ascii="Times New Roman" w:hAnsi="Times New Roman"/>
          <w:i/>
          <w:highlight w:val="yellow"/>
        </w:rPr>
        <w:t>La matrice du cadre logique (cadre logique) devrait être utilisée comme outil de compte rendu sur l’obtention des résultats au cours de la mise en œuvre. Les valeurs relatives aux indicateurs destinés à mesurer les résultats seront actualisées régulièrement dans la colonne prévue pour le suivi et pour rendre compte des résultats (voir</w:t>
      </w:r>
      <w:proofErr w:type="gramStart"/>
      <w:r>
        <w:rPr>
          <w:rFonts w:ascii="Times New Roman" w:hAnsi="Times New Roman"/>
          <w:i/>
          <w:highlight w:val="yellow"/>
        </w:rPr>
        <w:t xml:space="preserve"> «Valeur</w:t>
      </w:r>
      <w:proofErr w:type="gramEnd"/>
      <w:r>
        <w:rPr>
          <w:rFonts w:ascii="Times New Roman" w:hAnsi="Times New Roman"/>
          <w:i/>
          <w:highlight w:val="yellow"/>
        </w:rPr>
        <w:t xml:space="preserve"> actuelle»). Des colonnes pour les cibles intermédiaires peuvent être ajoutées, si nécessaire.</w:t>
      </w:r>
    </w:p>
    <w:p w:rsidR="009852C6" w:rsidRDefault="009852C6" w:rsidP="009852C6">
      <w:pPr>
        <w:tabs>
          <w:tab w:val="left" w:pos="-1440"/>
          <w:tab w:val="left" w:pos="-720"/>
        </w:tabs>
        <w:spacing w:before="120" w:after="0"/>
        <w:rPr>
          <w:i/>
          <w:sz w:val="22"/>
          <w:szCs w:val="22"/>
        </w:rPr>
      </w:pPr>
      <w:r>
        <w:rPr>
          <w:i/>
          <w:sz w:val="22"/>
          <w:szCs w:val="22"/>
          <w:highlight w:val="yellow"/>
        </w:rPr>
        <w:t>Le cadre logique peut être révisé selon les besoins, dans le respect des dispositions de l’article 9.4 des conditions générales (annexe E3h2).</w:t>
      </w:r>
      <w:r>
        <w:rPr>
          <w:i/>
          <w:sz w:val="22"/>
          <w:szCs w:val="22"/>
        </w:rPr>
        <w:t xml:space="preserve"> </w:t>
      </w:r>
    </w:p>
    <w:p w:rsidR="00BD4D11" w:rsidRDefault="00BD4D11" w:rsidP="005530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2925"/>
        <w:gridCol w:w="1716"/>
        <w:gridCol w:w="1914"/>
        <w:gridCol w:w="1561"/>
        <w:gridCol w:w="1710"/>
        <w:gridCol w:w="1821"/>
        <w:gridCol w:w="1714"/>
      </w:tblGrid>
      <w:tr w:rsidR="00C40511" w:rsidRPr="00A57801" w:rsidTr="00A57801">
        <w:trPr>
          <w:cantSplit/>
          <w:trHeight w:val="1313"/>
          <w:tblHeader/>
          <w:jc w:val="center"/>
        </w:trPr>
        <w:tc>
          <w:tcPr>
            <w:tcW w:w="0" w:type="auto"/>
            <w:tcBorders>
              <w:bottom w:val="single" w:sz="4" w:space="0" w:color="auto"/>
            </w:tcBorders>
            <w:shd w:val="clear" w:color="auto" w:fill="BFBFBF"/>
            <w:textDirection w:val="btLr"/>
          </w:tcPr>
          <w:p w:rsidR="00C40511" w:rsidRPr="00A57801" w:rsidRDefault="00C40511" w:rsidP="00A57801">
            <w:pPr>
              <w:spacing w:before="60" w:afterLines="60" w:after="144"/>
              <w:ind w:left="113" w:right="113"/>
              <w:jc w:val="center"/>
              <w:rPr>
                <w:b/>
                <w:i/>
                <w:sz w:val="18"/>
                <w:szCs w:val="18"/>
              </w:rPr>
            </w:pPr>
            <w:r>
              <w:rPr>
                <w:b/>
                <w:i/>
                <w:sz w:val="18"/>
                <w:szCs w:val="18"/>
              </w:rPr>
              <w:t>Résultats</w:t>
            </w:r>
          </w:p>
        </w:tc>
        <w:tc>
          <w:tcPr>
            <w:tcW w:w="0" w:type="auto"/>
            <w:tcBorders>
              <w:bottom w:val="single" w:sz="4" w:space="0" w:color="auto"/>
            </w:tcBorders>
            <w:shd w:val="clear" w:color="auto" w:fill="BFBFBF"/>
          </w:tcPr>
          <w:p w:rsidR="00C40511" w:rsidRPr="00A57801" w:rsidRDefault="00C40511" w:rsidP="00A57801">
            <w:pPr>
              <w:spacing w:after="0"/>
              <w:jc w:val="center"/>
              <w:rPr>
                <w:b/>
                <w:i/>
                <w:sz w:val="18"/>
                <w:szCs w:val="18"/>
              </w:rPr>
            </w:pPr>
            <w:r>
              <w:rPr>
                <w:b/>
                <w:i/>
                <w:sz w:val="18"/>
                <w:szCs w:val="18"/>
              </w:rPr>
              <w:t>Chaîne des résultats</w:t>
            </w:r>
          </w:p>
        </w:tc>
        <w:tc>
          <w:tcPr>
            <w:tcW w:w="0" w:type="auto"/>
            <w:tcBorders>
              <w:bottom w:val="single" w:sz="4" w:space="0" w:color="auto"/>
            </w:tcBorders>
            <w:shd w:val="clear" w:color="auto" w:fill="BFBFBF"/>
          </w:tcPr>
          <w:p w:rsidR="00C40511" w:rsidRPr="00A57801" w:rsidRDefault="00C40511" w:rsidP="00A57801">
            <w:pPr>
              <w:spacing w:after="0"/>
              <w:jc w:val="center"/>
              <w:rPr>
                <w:b/>
                <w:i/>
                <w:sz w:val="18"/>
                <w:szCs w:val="18"/>
              </w:rPr>
            </w:pPr>
            <w:r>
              <w:rPr>
                <w:b/>
                <w:i/>
                <w:sz w:val="18"/>
                <w:szCs w:val="18"/>
              </w:rPr>
              <w:t>Indicateur</w:t>
            </w:r>
          </w:p>
        </w:tc>
        <w:tc>
          <w:tcPr>
            <w:tcW w:w="0" w:type="auto"/>
            <w:tcBorders>
              <w:bottom w:val="single" w:sz="4" w:space="0" w:color="auto"/>
            </w:tcBorders>
            <w:shd w:val="clear" w:color="auto" w:fill="BFBFBF"/>
          </w:tcPr>
          <w:p w:rsidR="00C40511" w:rsidRPr="00A57801" w:rsidRDefault="00C40511" w:rsidP="00A57801">
            <w:pPr>
              <w:spacing w:after="0"/>
              <w:jc w:val="center"/>
              <w:rPr>
                <w:b/>
                <w:i/>
                <w:sz w:val="18"/>
                <w:szCs w:val="18"/>
              </w:rPr>
            </w:pPr>
            <w:r>
              <w:rPr>
                <w:b/>
                <w:i/>
                <w:sz w:val="18"/>
                <w:szCs w:val="18"/>
              </w:rPr>
              <w:t>Niveau de référence</w:t>
            </w:r>
          </w:p>
          <w:p w:rsidR="00C40511" w:rsidRPr="00A57801" w:rsidRDefault="00C40511" w:rsidP="00A57801">
            <w:pPr>
              <w:spacing w:after="0"/>
              <w:jc w:val="center"/>
              <w:rPr>
                <w:b/>
                <w:i/>
                <w:sz w:val="18"/>
                <w:szCs w:val="18"/>
              </w:rPr>
            </w:pPr>
            <w:r>
              <w:rPr>
                <w:b/>
                <w:i/>
                <w:sz w:val="18"/>
                <w:szCs w:val="18"/>
              </w:rPr>
              <w:t>(valeur et année de référence)</w:t>
            </w:r>
          </w:p>
        </w:tc>
        <w:tc>
          <w:tcPr>
            <w:tcW w:w="0" w:type="auto"/>
            <w:tcBorders>
              <w:bottom w:val="single" w:sz="4" w:space="0" w:color="auto"/>
            </w:tcBorders>
            <w:shd w:val="clear" w:color="auto" w:fill="BFBFBF"/>
          </w:tcPr>
          <w:p w:rsidR="00C40511" w:rsidRPr="00A57801" w:rsidRDefault="00C40511" w:rsidP="00A57801">
            <w:pPr>
              <w:spacing w:after="0"/>
              <w:jc w:val="center"/>
              <w:rPr>
                <w:b/>
                <w:i/>
                <w:sz w:val="18"/>
                <w:szCs w:val="18"/>
              </w:rPr>
            </w:pPr>
            <w:r>
              <w:rPr>
                <w:b/>
                <w:i/>
                <w:sz w:val="18"/>
                <w:szCs w:val="18"/>
              </w:rPr>
              <w:t>Cible</w:t>
            </w:r>
          </w:p>
          <w:p w:rsidR="00C40511" w:rsidRPr="00A57801" w:rsidRDefault="00C40511" w:rsidP="00A57801">
            <w:pPr>
              <w:spacing w:after="0"/>
              <w:jc w:val="center"/>
              <w:rPr>
                <w:b/>
                <w:i/>
                <w:sz w:val="18"/>
                <w:szCs w:val="18"/>
              </w:rPr>
            </w:pPr>
            <w:r>
              <w:rPr>
                <w:b/>
                <w:i/>
                <w:sz w:val="18"/>
                <w:szCs w:val="18"/>
              </w:rPr>
              <w:t>(valeur et année de référence)</w:t>
            </w:r>
          </w:p>
        </w:tc>
        <w:tc>
          <w:tcPr>
            <w:tcW w:w="0" w:type="auto"/>
            <w:tcBorders>
              <w:bottom w:val="single" w:sz="4" w:space="0" w:color="auto"/>
            </w:tcBorders>
            <w:shd w:val="clear" w:color="auto" w:fill="BFBFBF"/>
          </w:tcPr>
          <w:p w:rsidR="00C40511" w:rsidRPr="00A57801" w:rsidRDefault="00C40511" w:rsidP="00A57801">
            <w:pPr>
              <w:spacing w:after="0"/>
              <w:jc w:val="center"/>
              <w:rPr>
                <w:b/>
                <w:i/>
                <w:sz w:val="18"/>
                <w:szCs w:val="18"/>
              </w:rPr>
            </w:pPr>
            <w:r>
              <w:rPr>
                <w:b/>
                <w:i/>
                <w:sz w:val="18"/>
                <w:szCs w:val="18"/>
              </w:rPr>
              <w:t>Valeur actuelle*</w:t>
            </w:r>
          </w:p>
          <w:p w:rsidR="00C40511" w:rsidRPr="00A57801" w:rsidRDefault="00C40511" w:rsidP="00A57801">
            <w:pPr>
              <w:spacing w:after="0"/>
              <w:jc w:val="center"/>
              <w:rPr>
                <w:b/>
                <w:i/>
                <w:sz w:val="18"/>
                <w:szCs w:val="18"/>
              </w:rPr>
            </w:pPr>
            <w:r>
              <w:rPr>
                <w:b/>
                <w:i/>
                <w:sz w:val="18"/>
                <w:szCs w:val="18"/>
              </w:rPr>
              <w:t>(</w:t>
            </w:r>
            <w:proofErr w:type="gramStart"/>
            <w:r>
              <w:rPr>
                <w:b/>
                <w:i/>
                <w:sz w:val="18"/>
                <w:szCs w:val="18"/>
              </w:rPr>
              <w:t>année</w:t>
            </w:r>
            <w:proofErr w:type="gramEnd"/>
            <w:r>
              <w:rPr>
                <w:b/>
                <w:i/>
                <w:sz w:val="18"/>
                <w:szCs w:val="18"/>
              </w:rPr>
              <w:t xml:space="preserve"> de référence)</w:t>
            </w:r>
          </w:p>
          <w:p w:rsidR="00C40511" w:rsidRPr="00A57801" w:rsidRDefault="00C40511" w:rsidP="00A57801">
            <w:pPr>
              <w:spacing w:after="0"/>
              <w:jc w:val="center"/>
              <w:rPr>
                <w:b/>
                <w:i/>
                <w:sz w:val="18"/>
                <w:szCs w:val="18"/>
              </w:rPr>
            </w:pPr>
            <w:r>
              <w:rPr>
                <w:b/>
                <w:i/>
                <w:sz w:val="18"/>
                <w:szCs w:val="18"/>
              </w:rPr>
              <w:t>(* à inclure dans les rapports intermédiaires et le rapport final)</w:t>
            </w:r>
          </w:p>
        </w:tc>
        <w:tc>
          <w:tcPr>
            <w:tcW w:w="0" w:type="auto"/>
            <w:tcBorders>
              <w:bottom w:val="single" w:sz="4" w:space="0" w:color="auto"/>
            </w:tcBorders>
            <w:shd w:val="clear" w:color="auto" w:fill="BFBFBF"/>
          </w:tcPr>
          <w:p w:rsidR="00C40511" w:rsidRPr="00A57801" w:rsidRDefault="00C40511" w:rsidP="00A57801">
            <w:pPr>
              <w:spacing w:after="0"/>
              <w:jc w:val="center"/>
              <w:rPr>
                <w:b/>
                <w:i/>
                <w:sz w:val="18"/>
                <w:szCs w:val="18"/>
              </w:rPr>
            </w:pPr>
            <w:r>
              <w:rPr>
                <w:b/>
                <w:i/>
                <w:sz w:val="18"/>
                <w:szCs w:val="18"/>
              </w:rPr>
              <w:t xml:space="preserve">Sources des données </w:t>
            </w:r>
          </w:p>
        </w:tc>
        <w:tc>
          <w:tcPr>
            <w:tcW w:w="0" w:type="auto"/>
            <w:tcBorders>
              <w:bottom w:val="single" w:sz="4" w:space="0" w:color="auto"/>
            </w:tcBorders>
            <w:shd w:val="clear" w:color="auto" w:fill="BFBFBF"/>
          </w:tcPr>
          <w:p w:rsidR="00C40511" w:rsidRPr="00A57801" w:rsidRDefault="00C40511" w:rsidP="00A57801">
            <w:pPr>
              <w:spacing w:after="0"/>
              <w:jc w:val="center"/>
              <w:rPr>
                <w:b/>
                <w:i/>
                <w:sz w:val="18"/>
                <w:szCs w:val="18"/>
              </w:rPr>
            </w:pPr>
            <w:r>
              <w:rPr>
                <w:b/>
                <w:i/>
                <w:sz w:val="18"/>
                <w:szCs w:val="18"/>
              </w:rPr>
              <w:t>Hypothèses</w:t>
            </w:r>
          </w:p>
        </w:tc>
      </w:tr>
      <w:tr w:rsidR="00C40511" w:rsidRPr="00A57801" w:rsidTr="00A57801">
        <w:trPr>
          <w:trHeight w:val="1409"/>
          <w:jc w:val="center"/>
        </w:trPr>
        <w:tc>
          <w:tcPr>
            <w:tcW w:w="0" w:type="auto"/>
            <w:vMerge w:val="restart"/>
            <w:shd w:val="clear" w:color="auto" w:fill="D0CECE"/>
            <w:textDirection w:val="btLr"/>
          </w:tcPr>
          <w:p w:rsidR="00C40511" w:rsidRPr="00A57801" w:rsidRDefault="00C40511" w:rsidP="00A57801">
            <w:pPr>
              <w:tabs>
                <w:tab w:val="left" w:pos="0"/>
                <w:tab w:val="left" w:pos="132"/>
              </w:tabs>
              <w:spacing w:before="60" w:afterLines="60" w:after="144"/>
              <w:ind w:left="113" w:right="113"/>
              <w:jc w:val="center"/>
              <w:rPr>
                <w:b/>
                <w:i/>
                <w:sz w:val="18"/>
                <w:szCs w:val="18"/>
              </w:rPr>
            </w:pPr>
            <w:r>
              <w:rPr>
                <w:b/>
                <w:i/>
                <w:sz w:val="18"/>
                <w:szCs w:val="18"/>
              </w:rPr>
              <w:t>Impact (objectif général)</w:t>
            </w:r>
          </w:p>
        </w:tc>
        <w:tc>
          <w:tcPr>
            <w:tcW w:w="0" w:type="auto"/>
            <w:shd w:val="clear" w:color="auto" w:fill="DEEAF6"/>
          </w:tcPr>
          <w:p w:rsidR="00C40511" w:rsidRPr="00A57801" w:rsidRDefault="00C40511" w:rsidP="0094437E">
            <w:pPr>
              <w:autoSpaceDE w:val="0"/>
              <w:autoSpaceDN w:val="0"/>
              <w:adjustRightInd w:val="0"/>
              <w:spacing w:before="60"/>
              <w:jc w:val="left"/>
              <w:rPr>
                <w:i/>
                <w:sz w:val="18"/>
                <w:szCs w:val="18"/>
              </w:rPr>
            </w:pPr>
            <w:r>
              <w:rPr>
                <w:i/>
                <w:sz w:val="18"/>
                <w:szCs w:val="18"/>
              </w:rPr>
              <w:t>Selon la définition du CAD de l’OCDE, l’impact est</w:t>
            </w:r>
            <w:proofErr w:type="gramStart"/>
            <w:r>
              <w:rPr>
                <w:i/>
                <w:sz w:val="18"/>
                <w:szCs w:val="18"/>
              </w:rPr>
              <w:t xml:space="preserve"> «l’objectif</w:t>
            </w:r>
            <w:proofErr w:type="gramEnd"/>
            <w:r>
              <w:rPr>
                <w:i/>
                <w:sz w:val="18"/>
                <w:szCs w:val="18"/>
              </w:rPr>
              <w:t xml:space="preserve"> global de l’action entraînant des effets à long terme, positifs et négatifs, primaires et secondaires, induits par une action de développement, directement ou indirectement, intentionnellement ou non».</w:t>
            </w:r>
          </w:p>
          <w:p w:rsidR="00C40511" w:rsidRPr="00A57801" w:rsidRDefault="00C40511" w:rsidP="00A57801">
            <w:pPr>
              <w:autoSpaceDE w:val="0"/>
              <w:autoSpaceDN w:val="0"/>
              <w:adjustRightInd w:val="0"/>
              <w:spacing w:before="60" w:afterLines="60" w:after="144"/>
              <w:jc w:val="left"/>
              <w:rPr>
                <w:i/>
                <w:sz w:val="18"/>
                <w:szCs w:val="18"/>
              </w:rPr>
            </w:pPr>
            <w:r>
              <w:rPr>
                <w:i/>
                <w:sz w:val="18"/>
                <w:szCs w:val="18"/>
              </w:rPr>
              <w:t xml:space="preserve">L’impact est l’effet attendu à long terme de l’action concourant à l’objectif global auquel l’action </w:t>
            </w:r>
            <w:r>
              <w:rPr>
                <w:i/>
                <w:sz w:val="18"/>
                <w:szCs w:val="18"/>
                <w:u w:val="single"/>
              </w:rPr>
              <w:t>contribue</w:t>
            </w:r>
            <w:r>
              <w:rPr>
                <w:i/>
                <w:sz w:val="18"/>
                <w:szCs w:val="18"/>
              </w:rPr>
              <w:t xml:space="preserve"> au niveau national, régional ou sectoriel, dans le contexte politique, social, économique et environnemental </w:t>
            </w:r>
            <w:r>
              <w:rPr>
                <w:i/>
                <w:sz w:val="18"/>
                <w:szCs w:val="18"/>
              </w:rPr>
              <w:lastRenderedPageBreak/>
              <w:t>mondial, qui résulte des interventions de tous les acteurs et de toutes les parties prenantes concernés.</w:t>
            </w:r>
          </w:p>
          <w:p w:rsidR="00C40511" w:rsidRPr="00A57801" w:rsidRDefault="00C40511" w:rsidP="00A57801">
            <w:pPr>
              <w:autoSpaceDE w:val="0"/>
              <w:autoSpaceDN w:val="0"/>
              <w:adjustRightInd w:val="0"/>
              <w:spacing w:before="60" w:afterLines="60" w:after="144"/>
              <w:jc w:val="left"/>
              <w:rPr>
                <w:i/>
                <w:sz w:val="18"/>
                <w:szCs w:val="18"/>
              </w:rPr>
            </w:pPr>
            <w:r>
              <w:rPr>
                <w:i/>
                <w:color w:val="FF0000"/>
                <w:sz w:val="18"/>
                <w:szCs w:val="18"/>
              </w:rPr>
              <w:t>Veuillez supprimer cette ligne une fois le cadre logique achevé</w:t>
            </w:r>
            <w:r>
              <w:rPr>
                <w:i/>
                <w:sz w:val="18"/>
                <w:szCs w:val="18"/>
              </w:rPr>
              <w:t>.</w:t>
            </w:r>
          </w:p>
        </w:tc>
        <w:tc>
          <w:tcPr>
            <w:tcW w:w="0" w:type="auto"/>
            <w:shd w:val="clear" w:color="auto" w:fill="DEEAF6"/>
          </w:tcPr>
          <w:p w:rsidR="00C40511" w:rsidRPr="00A57801" w:rsidRDefault="00C40511" w:rsidP="00A57801">
            <w:pPr>
              <w:autoSpaceDE w:val="0"/>
              <w:autoSpaceDN w:val="0"/>
              <w:adjustRightInd w:val="0"/>
              <w:spacing w:before="60" w:afterLines="60" w:after="144"/>
              <w:jc w:val="left"/>
              <w:rPr>
                <w:i/>
                <w:sz w:val="18"/>
                <w:szCs w:val="18"/>
              </w:rPr>
            </w:pPr>
            <w:r>
              <w:rPr>
                <w:i/>
                <w:sz w:val="18"/>
                <w:szCs w:val="18"/>
              </w:rPr>
              <w:lastRenderedPageBreak/>
              <w:t xml:space="preserve">Variable quantitative et/ou qualitative qui permet de mesurer de manière simple et fiable si une action a produit le résultat attendu. </w:t>
            </w:r>
          </w:p>
          <w:p w:rsidR="00C40511" w:rsidRPr="00A57801" w:rsidRDefault="00C40511" w:rsidP="00A57801">
            <w:pPr>
              <w:autoSpaceDE w:val="0"/>
              <w:autoSpaceDN w:val="0"/>
              <w:adjustRightInd w:val="0"/>
              <w:spacing w:before="60" w:afterLines="60" w:after="144"/>
              <w:jc w:val="left"/>
              <w:rPr>
                <w:i/>
                <w:sz w:val="18"/>
                <w:szCs w:val="18"/>
              </w:rPr>
            </w:pPr>
            <w:r>
              <w:rPr>
                <w:i/>
                <w:sz w:val="18"/>
                <w:szCs w:val="18"/>
              </w:rPr>
              <w:t>À présenter, s’il y a lieu, ventilée par sexe, âge, zone urbaine/rurale, handicap,</w:t>
            </w:r>
            <w:r w:rsidR="00E208E2">
              <w:rPr>
                <w:i/>
                <w:sz w:val="18"/>
                <w:szCs w:val="18"/>
              </w:rPr>
              <w:t> </w:t>
            </w:r>
            <w:r>
              <w:rPr>
                <w:i/>
                <w:sz w:val="18"/>
                <w:szCs w:val="18"/>
              </w:rPr>
              <w:t>etc.</w:t>
            </w:r>
          </w:p>
        </w:tc>
        <w:tc>
          <w:tcPr>
            <w:tcW w:w="0" w:type="auto"/>
            <w:shd w:val="clear" w:color="auto" w:fill="DEEAF6"/>
          </w:tcPr>
          <w:p w:rsidR="00C40511" w:rsidRPr="00A57801" w:rsidRDefault="00C40511" w:rsidP="00A57801">
            <w:pPr>
              <w:autoSpaceDE w:val="0"/>
              <w:autoSpaceDN w:val="0"/>
              <w:adjustRightInd w:val="0"/>
              <w:spacing w:before="60" w:afterLines="60" w:after="144"/>
              <w:jc w:val="left"/>
              <w:rPr>
                <w:i/>
                <w:sz w:val="18"/>
                <w:szCs w:val="18"/>
              </w:rPr>
            </w:pPr>
            <w:r>
              <w:rPr>
                <w:i/>
                <w:sz w:val="18"/>
                <w:szCs w:val="18"/>
              </w:rPr>
              <w:t>La valeur, avant l’intervention, du ou des indicateurs à l’aune duquel/desquels l’évolution peut être évaluée ou des comparaisons peuvent être effectuées.</w:t>
            </w:r>
          </w:p>
          <w:p w:rsidR="00C40511" w:rsidRPr="00A57801" w:rsidRDefault="00C40511" w:rsidP="00A57801">
            <w:pPr>
              <w:autoSpaceDE w:val="0"/>
              <w:autoSpaceDN w:val="0"/>
              <w:adjustRightInd w:val="0"/>
              <w:spacing w:before="60" w:afterLines="60" w:after="144"/>
              <w:jc w:val="left"/>
              <w:rPr>
                <w:i/>
                <w:sz w:val="18"/>
                <w:szCs w:val="18"/>
              </w:rPr>
            </w:pPr>
            <w:r>
              <w:rPr>
                <w:i/>
                <w:sz w:val="18"/>
                <w:szCs w:val="18"/>
              </w:rPr>
              <w:t>(Idéalement, à tirer de la stratégie du partenaire)</w:t>
            </w:r>
          </w:p>
        </w:tc>
        <w:tc>
          <w:tcPr>
            <w:tcW w:w="0" w:type="auto"/>
            <w:shd w:val="clear" w:color="auto" w:fill="DEEAF6"/>
          </w:tcPr>
          <w:p w:rsidR="00C40511" w:rsidRPr="00A57801" w:rsidRDefault="00C40511" w:rsidP="00A57801">
            <w:pPr>
              <w:autoSpaceDE w:val="0"/>
              <w:autoSpaceDN w:val="0"/>
              <w:adjustRightInd w:val="0"/>
              <w:spacing w:before="60" w:afterLines="60" w:after="144"/>
              <w:jc w:val="left"/>
              <w:rPr>
                <w:i/>
                <w:sz w:val="18"/>
                <w:szCs w:val="18"/>
              </w:rPr>
            </w:pPr>
            <w:r>
              <w:rPr>
                <w:i/>
                <w:sz w:val="18"/>
                <w:szCs w:val="18"/>
              </w:rPr>
              <w:t>La valeur finale visée du ou des indicateurs.</w:t>
            </w:r>
          </w:p>
          <w:p w:rsidR="00C40511" w:rsidRPr="00A57801" w:rsidRDefault="00C40511" w:rsidP="00A57801">
            <w:pPr>
              <w:autoSpaceDE w:val="0"/>
              <w:autoSpaceDN w:val="0"/>
              <w:adjustRightInd w:val="0"/>
              <w:spacing w:before="60" w:afterLines="60" w:after="144"/>
              <w:jc w:val="left"/>
              <w:rPr>
                <w:i/>
                <w:sz w:val="18"/>
                <w:szCs w:val="18"/>
              </w:rPr>
            </w:pPr>
            <w:r>
              <w:rPr>
                <w:i/>
                <w:sz w:val="18"/>
                <w:szCs w:val="18"/>
              </w:rPr>
              <w:t>(Idéalement, à tirer de la stratégie du partenaire)</w:t>
            </w:r>
          </w:p>
        </w:tc>
        <w:tc>
          <w:tcPr>
            <w:tcW w:w="0" w:type="auto"/>
            <w:shd w:val="clear" w:color="auto" w:fill="DEEAF6"/>
          </w:tcPr>
          <w:p w:rsidR="00C40511" w:rsidRPr="00A57801" w:rsidRDefault="00C40511" w:rsidP="00A57801">
            <w:pPr>
              <w:autoSpaceDE w:val="0"/>
              <w:autoSpaceDN w:val="0"/>
              <w:adjustRightInd w:val="0"/>
              <w:spacing w:before="60" w:afterLines="60" w:after="144"/>
              <w:jc w:val="left"/>
              <w:rPr>
                <w:i/>
                <w:sz w:val="18"/>
                <w:szCs w:val="18"/>
              </w:rPr>
            </w:pPr>
            <w:r>
              <w:rPr>
                <w:i/>
                <w:sz w:val="18"/>
                <w:szCs w:val="18"/>
              </w:rPr>
              <w:t>La dernière valeur disponible du ou des indicateurs au moment de l’établissement du rapport</w:t>
            </w:r>
          </w:p>
          <w:p w:rsidR="00C40511" w:rsidRPr="00A57801" w:rsidRDefault="00C40511" w:rsidP="00A57801">
            <w:pPr>
              <w:autoSpaceDE w:val="0"/>
              <w:autoSpaceDN w:val="0"/>
              <w:adjustRightInd w:val="0"/>
              <w:spacing w:before="60" w:afterLines="60" w:after="144"/>
              <w:jc w:val="left"/>
              <w:rPr>
                <w:i/>
                <w:sz w:val="18"/>
                <w:szCs w:val="18"/>
              </w:rPr>
            </w:pPr>
            <w:r>
              <w:rPr>
                <w:i/>
                <w:sz w:val="18"/>
                <w:szCs w:val="18"/>
              </w:rPr>
              <w:t>(* à mettre à jour dans les rapports intermédiaires et le rapport final)</w:t>
            </w:r>
          </w:p>
        </w:tc>
        <w:tc>
          <w:tcPr>
            <w:tcW w:w="0" w:type="auto"/>
            <w:shd w:val="clear" w:color="auto" w:fill="DEEAF6"/>
          </w:tcPr>
          <w:p w:rsidR="00C40511" w:rsidRPr="00A57801" w:rsidRDefault="00C40511" w:rsidP="00A57801">
            <w:pPr>
              <w:autoSpaceDE w:val="0"/>
              <w:autoSpaceDN w:val="0"/>
              <w:adjustRightInd w:val="0"/>
              <w:spacing w:before="60" w:afterLines="60" w:after="144"/>
              <w:jc w:val="left"/>
              <w:rPr>
                <w:i/>
                <w:sz w:val="18"/>
                <w:szCs w:val="18"/>
              </w:rPr>
            </w:pPr>
            <w:r>
              <w:rPr>
                <w:i/>
                <w:sz w:val="18"/>
                <w:szCs w:val="18"/>
              </w:rPr>
              <w:t>Idéalement, à tirer de la stratégie du partenaire.</w:t>
            </w:r>
          </w:p>
        </w:tc>
        <w:tc>
          <w:tcPr>
            <w:tcW w:w="0" w:type="auto"/>
            <w:shd w:val="clear" w:color="auto" w:fill="D9D9D9"/>
          </w:tcPr>
          <w:p w:rsidR="00C40511" w:rsidRPr="00A57801" w:rsidRDefault="00C40511" w:rsidP="00A57801">
            <w:pPr>
              <w:spacing w:before="60" w:afterLines="60" w:after="144"/>
              <w:rPr>
                <w:i/>
                <w:sz w:val="18"/>
                <w:szCs w:val="18"/>
              </w:rPr>
            </w:pPr>
            <w:r>
              <w:rPr>
                <w:i/>
                <w:sz w:val="18"/>
                <w:szCs w:val="18"/>
              </w:rPr>
              <w:t>Sans objet</w:t>
            </w:r>
          </w:p>
        </w:tc>
      </w:tr>
      <w:tr w:rsidR="00C40511" w:rsidRPr="00A57801" w:rsidTr="00C40511">
        <w:trPr>
          <w:trHeight w:val="402"/>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jc w:val="center"/>
              <w:rPr>
                <w:b/>
                <w:i/>
                <w:sz w:val="18"/>
                <w:szCs w:val="18"/>
              </w:rPr>
            </w:pPr>
          </w:p>
        </w:tc>
        <w:tc>
          <w:tcPr>
            <w:tcW w:w="0" w:type="auto"/>
            <w:vMerge w:val="restart"/>
            <w:shd w:val="clear" w:color="auto" w:fill="auto"/>
          </w:tcPr>
          <w:p w:rsidR="00C40511" w:rsidRPr="00AF5182" w:rsidRDefault="00C40511" w:rsidP="00A57801">
            <w:pPr>
              <w:autoSpaceDE w:val="0"/>
              <w:autoSpaceDN w:val="0"/>
              <w:adjustRightInd w:val="0"/>
              <w:spacing w:before="60" w:afterLines="60" w:after="144"/>
              <w:rPr>
                <w:sz w:val="18"/>
                <w:szCs w:val="18"/>
              </w:rPr>
            </w:pP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Indicateur d’impact nº 1:</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Valeur de référence pour l’indicateur d’impact nº 1</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Cible pour l’indicateur d’impact nº 1</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Valeur actuelle pour l’indicateur d’impact nº 1</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Sources de données pour l’indicateur d’impact nº 1</w:t>
            </w:r>
          </w:p>
        </w:tc>
        <w:tc>
          <w:tcPr>
            <w:tcW w:w="0" w:type="auto"/>
            <w:vMerge w:val="restart"/>
            <w:shd w:val="clear" w:color="auto" w:fill="D9D9D9"/>
          </w:tcPr>
          <w:p w:rsidR="00C40511" w:rsidRPr="00A57801" w:rsidRDefault="00C40511" w:rsidP="00A57801">
            <w:pPr>
              <w:spacing w:before="60" w:afterLines="60" w:after="144"/>
              <w:rPr>
                <w:sz w:val="18"/>
                <w:szCs w:val="18"/>
              </w:rPr>
            </w:pPr>
            <w:r>
              <w:rPr>
                <w:i/>
                <w:sz w:val="18"/>
                <w:szCs w:val="18"/>
              </w:rPr>
              <w:t>Sans objet</w:t>
            </w:r>
          </w:p>
        </w:tc>
      </w:tr>
      <w:tr w:rsidR="00C40511" w:rsidRPr="00A57801" w:rsidTr="00C40511">
        <w:trPr>
          <w:trHeight w:val="402"/>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jc w:val="center"/>
              <w:rPr>
                <w:b/>
                <w:i/>
                <w:sz w:val="18"/>
                <w:szCs w:val="18"/>
              </w:rPr>
            </w:pPr>
          </w:p>
        </w:tc>
        <w:tc>
          <w:tcPr>
            <w:tcW w:w="0" w:type="auto"/>
            <w:vMerge/>
            <w:shd w:val="clear" w:color="auto" w:fill="auto"/>
          </w:tcPr>
          <w:p w:rsidR="00C40511" w:rsidRPr="00AF5182" w:rsidDel="00F11A37" w:rsidRDefault="00C40511" w:rsidP="00A57801">
            <w:pPr>
              <w:autoSpaceDE w:val="0"/>
              <w:autoSpaceDN w:val="0"/>
              <w:adjustRightInd w:val="0"/>
              <w:spacing w:before="60" w:afterLines="60" w:after="144"/>
              <w:rPr>
                <w:sz w:val="18"/>
                <w:szCs w:val="18"/>
              </w:rPr>
            </w:pP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Indicateur d’impact nº 2:</w:t>
            </w:r>
          </w:p>
        </w:tc>
        <w:tc>
          <w:tcPr>
            <w:tcW w:w="0" w:type="auto"/>
            <w:shd w:val="clear" w:color="auto" w:fill="auto"/>
          </w:tcPr>
          <w:p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Valeur de référence pour l’indicateur d’impact nº 2</w:t>
            </w:r>
          </w:p>
        </w:tc>
        <w:tc>
          <w:tcPr>
            <w:tcW w:w="0" w:type="auto"/>
            <w:shd w:val="clear" w:color="auto" w:fill="auto"/>
          </w:tcPr>
          <w:p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Cible pour l’indicateur d’impact nº 2</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rStyle w:val="CommentReference"/>
                <w:sz w:val="18"/>
                <w:szCs w:val="18"/>
              </w:rPr>
            </w:pPr>
            <w:r>
              <w:rPr>
                <w:sz w:val="18"/>
                <w:szCs w:val="18"/>
              </w:rPr>
              <w:t>Valeur actuelle pour l’indicateur d’impact nº 2</w:t>
            </w:r>
          </w:p>
        </w:tc>
        <w:tc>
          <w:tcPr>
            <w:tcW w:w="0" w:type="auto"/>
            <w:shd w:val="clear" w:color="auto" w:fill="auto"/>
          </w:tcPr>
          <w:p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Sources de données pour l’indicateur d’impact nº 2</w:t>
            </w:r>
          </w:p>
        </w:tc>
        <w:tc>
          <w:tcPr>
            <w:tcW w:w="0" w:type="auto"/>
            <w:vMerge/>
            <w:shd w:val="clear" w:color="auto" w:fill="D9D9D9"/>
          </w:tcPr>
          <w:p w:rsidR="00C40511" w:rsidRPr="00A57801" w:rsidRDefault="00C40511" w:rsidP="00A57801">
            <w:pPr>
              <w:spacing w:before="60" w:afterLines="60" w:after="144"/>
              <w:rPr>
                <w:sz w:val="18"/>
                <w:szCs w:val="18"/>
              </w:rPr>
            </w:pPr>
          </w:p>
        </w:tc>
      </w:tr>
      <w:tr w:rsidR="00C40511" w:rsidRPr="00A57801" w:rsidTr="00C40511">
        <w:trPr>
          <w:trHeight w:val="402"/>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jc w:val="center"/>
              <w:rPr>
                <w:b/>
                <w:i/>
                <w:sz w:val="18"/>
                <w:szCs w:val="18"/>
              </w:rPr>
            </w:pPr>
          </w:p>
        </w:tc>
        <w:tc>
          <w:tcPr>
            <w:tcW w:w="0" w:type="auto"/>
            <w:vMerge/>
            <w:shd w:val="clear" w:color="auto" w:fill="auto"/>
          </w:tcPr>
          <w:p w:rsidR="00C40511" w:rsidRPr="00AF5182" w:rsidDel="00F11A37" w:rsidRDefault="00C40511" w:rsidP="00A57801">
            <w:pPr>
              <w:autoSpaceDE w:val="0"/>
              <w:autoSpaceDN w:val="0"/>
              <w:adjustRightInd w:val="0"/>
              <w:spacing w:before="60" w:afterLines="60" w:after="144"/>
              <w:rPr>
                <w:sz w:val="18"/>
                <w:szCs w:val="18"/>
              </w:rPr>
            </w:pPr>
          </w:p>
        </w:tc>
        <w:tc>
          <w:tcPr>
            <w:tcW w:w="0" w:type="auto"/>
            <w:shd w:val="clear" w:color="auto" w:fill="auto"/>
          </w:tcPr>
          <w:p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Indicateur d’impact nº :</w:t>
            </w:r>
          </w:p>
        </w:tc>
        <w:tc>
          <w:tcPr>
            <w:tcW w:w="0" w:type="auto"/>
            <w:shd w:val="clear" w:color="auto" w:fill="auto"/>
          </w:tcPr>
          <w:p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Valeur de référence pour l’indicateur d’impact nº </w:t>
            </w:r>
          </w:p>
        </w:tc>
        <w:tc>
          <w:tcPr>
            <w:tcW w:w="0" w:type="auto"/>
            <w:shd w:val="clear" w:color="auto" w:fill="auto"/>
          </w:tcPr>
          <w:p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Cible pour l’indicateur d’impact nº </w:t>
            </w:r>
          </w:p>
        </w:tc>
        <w:tc>
          <w:tcPr>
            <w:tcW w:w="0" w:type="auto"/>
            <w:shd w:val="clear" w:color="auto" w:fill="auto"/>
          </w:tcPr>
          <w:p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Valeur actuelle pour l’indicateur d’impact nº </w:t>
            </w:r>
          </w:p>
        </w:tc>
        <w:tc>
          <w:tcPr>
            <w:tcW w:w="0" w:type="auto"/>
            <w:shd w:val="clear" w:color="auto" w:fill="auto"/>
          </w:tcPr>
          <w:p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Sources de données pour l’indicateur d’impact nº </w:t>
            </w:r>
          </w:p>
        </w:tc>
        <w:tc>
          <w:tcPr>
            <w:tcW w:w="0" w:type="auto"/>
            <w:vMerge/>
            <w:shd w:val="clear" w:color="auto" w:fill="D9D9D9"/>
          </w:tcPr>
          <w:p w:rsidR="00C40511" w:rsidRPr="00A57801" w:rsidRDefault="00C40511" w:rsidP="00A57801">
            <w:pPr>
              <w:spacing w:before="60" w:afterLines="60" w:after="144"/>
              <w:rPr>
                <w:sz w:val="18"/>
                <w:szCs w:val="18"/>
              </w:rPr>
            </w:pPr>
          </w:p>
        </w:tc>
      </w:tr>
      <w:tr w:rsidR="00C40511" w:rsidRPr="00A57801" w:rsidTr="00A57801">
        <w:trPr>
          <w:trHeight w:val="699"/>
          <w:jc w:val="center"/>
        </w:trPr>
        <w:tc>
          <w:tcPr>
            <w:tcW w:w="0" w:type="auto"/>
            <w:vMerge w:val="restart"/>
            <w:shd w:val="clear" w:color="auto" w:fill="D9D9D9"/>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r>
              <w:rPr>
                <w:b/>
                <w:i/>
                <w:sz w:val="18"/>
                <w:szCs w:val="18"/>
              </w:rPr>
              <w:t>Réalisation(s) [Objectif(s) spécifique(s)]</w:t>
            </w:r>
          </w:p>
        </w:tc>
        <w:tc>
          <w:tcPr>
            <w:tcW w:w="0" w:type="auto"/>
            <w:tcBorders>
              <w:bottom w:val="single" w:sz="4" w:space="0" w:color="auto"/>
            </w:tcBorders>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Selon la définition du CAD de l’OCDE</w:t>
            </w:r>
            <w:r w:rsidR="000C3C23">
              <w:rPr>
                <w:rStyle w:val="FootnoteReference"/>
                <w:i/>
                <w:sz w:val="18"/>
                <w:szCs w:val="18"/>
              </w:rPr>
              <w:footnoteReference w:id="1"/>
            </w:r>
            <w:r>
              <w:rPr>
                <w:i/>
                <w:sz w:val="18"/>
                <w:szCs w:val="18"/>
              </w:rPr>
              <w:t>, les réalisations sont «ce que l’action doit accomplir ou a accompli à court ou à moyen terme».</w:t>
            </w:r>
          </w:p>
          <w:p w:rsidR="00C40511" w:rsidRPr="00A57801" w:rsidRDefault="00C40511" w:rsidP="00A57801">
            <w:pPr>
              <w:autoSpaceDE w:val="0"/>
              <w:autoSpaceDN w:val="0"/>
              <w:adjustRightInd w:val="0"/>
              <w:spacing w:before="60" w:afterLines="60" w:after="144"/>
              <w:rPr>
                <w:i/>
                <w:sz w:val="18"/>
                <w:szCs w:val="18"/>
                <w:u w:val="single"/>
              </w:rPr>
            </w:pPr>
            <w:r>
              <w:rPr>
                <w:i/>
                <w:sz w:val="18"/>
                <w:szCs w:val="18"/>
              </w:rPr>
              <w:t xml:space="preserve">Le principal effet à moyen terme de l’intervention axée sur les changements comportementaux et institutionnels bénéfiques pour le groupe cible et résultant </w:t>
            </w:r>
            <w:r>
              <w:rPr>
                <w:i/>
                <w:sz w:val="18"/>
                <w:szCs w:val="18"/>
                <w:u w:val="single"/>
              </w:rPr>
              <w:t>des produits correspondants de l’action</w:t>
            </w:r>
            <w:r>
              <w:rPr>
                <w:i/>
                <w:sz w:val="18"/>
                <w:szCs w:val="18"/>
              </w:rPr>
              <w:t>.</w:t>
            </w:r>
          </w:p>
          <w:p w:rsidR="00C40511" w:rsidRPr="00A57801" w:rsidRDefault="00C40511" w:rsidP="00A57801">
            <w:pPr>
              <w:autoSpaceDE w:val="0"/>
              <w:autoSpaceDN w:val="0"/>
              <w:adjustRightInd w:val="0"/>
              <w:spacing w:before="60" w:afterLines="60" w:after="144"/>
              <w:rPr>
                <w:i/>
                <w:iCs/>
                <w:sz w:val="18"/>
                <w:szCs w:val="18"/>
              </w:rPr>
            </w:pPr>
            <w:r>
              <w:rPr>
                <w:i/>
                <w:iCs/>
                <w:sz w:val="18"/>
                <w:szCs w:val="18"/>
              </w:rPr>
              <w:lastRenderedPageBreak/>
              <w:t>Il est de bonne pratique de limiter le nombre d’objectifs spécifiques (souvent un seul suffit), mais pour les actions de grande envergure, d’autres réalisations peuvent être incluses.</w:t>
            </w:r>
          </w:p>
          <w:p w:rsidR="00C40511" w:rsidRPr="00A57801" w:rsidRDefault="00C40511" w:rsidP="00A57801">
            <w:pPr>
              <w:autoSpaceDE w:val="0"/>
              <w:autoSpaceDN w:val="0"/>
              <w:adjustRightInd w:val="0"/>
              <w:spacing w:before="60" w:afterLines="60" w:after="144"/>
              <w:rPr>
                <w:i/>
                <w:sz w:val="18"/>
                <w:szCs w:val="18"/>
              </w:rPr>
            </w:pPr>
            <w:r>
              <w:rPr>
                <w:i/>
                <w:color w:val="FF0000"/>
                <w:sz w:val="18"/>
                <w:szCs w:val="18"/>
              </w:rPr>
              <w:t>Veuillez supprimer cette ligne une fois le cadre logique achevé</w:t>
            </w:r>
            <w:r>
              <w:rPr>
                <w:i/>
                <w:sz w:val="18"/>
                <w:szCs w:val="18"/>
              </w:rPr>
              <w:t>.</w:t>
            </w:r>
          </w:p>
        </w:tc>
        <w:tc>
          <w:tcPr>
            <w:tcW w:w="0" w:type="auto"/>
            <w:tcBorders>
              <w:bottom w:val="single" w:sz="4" w:space="0" w:color="auto"/>
            </w:tcBorders>
            <w:shd w:val="clear" w:color="auto" w:fill="DBE5F1" w:themeFill="accent1" w:themeFillTint="33"/>
          </w:tcPr>
          <w:p w:rsidR="00C40511" w:rsidRPr="00A57801" w:rsidRDefault="00C40511" w:rsidP="00A57801">
            <w:pPr>
              <w:autoSpaceDE w:val="0"/>
              <w:autoSpaceDN w:val="0"/>
              <w:adjustRightInd w:val="0"/>
              <w:spacing w:before="60" w:afterLines="60" w:after="144"/>
              <w:jc w:val="left"/>
              <w:rPr>
                <w:i/>
                <w:sz w:val="18"/>
                <w:szCs w:val="18"/>
              </w:rPr>
            </w:pPr>
            <w:r>
              <w:rPr>
                <w:i/>
                <w:sz w:val="18"/>
                <w:szCs w:val="18"/>
              </w:rPr>
              <w:lastRenderedPageBreak/>
              <w:t xml:space="preserve">Variable quantitative et/ou qualitative qui permet de mesurer de manière simple et fiable si une action a produit le résultat attendu. </w:t>
            </w:r>
          </w:p>
          <w:p w:rsidR="00C40511" w:rsidRPr="00892C8E" w:rsidRDefault="00C40511" w:rsidP="00A57801">
            <w:pPr>
              <w:autoSpaceDE w:val="0"/>
              <w:autoSpaceDN w:val="0"/>
              <w:adjustRightInd w:val="0"/>
              <w:spacing w:before="60" w:afterLines="60" w:after="144"/>
              <w:rPr>
                <w:i/>
                <w:sz w:val="18"/>
                <w:szCs w:val="18"/>
              </w:rPr>
            </w:pPr>
            <w:r>
              <w:rPr>
                <w:i/>
                <w:sz w:val="18"/>
                <w:szCs w:val="18"/>
              </w:rPr>
              <w:t xml:space="preserve">À présenter, s’il y a lieu, ventilée par sexe, âge, zone </w:t>
            </w:r>
            <w:r>
              <w:rPr>
                <w:i/>
                <w:sz w:val="18"/>
                <w:szCs w:val="18"/>
              </w:rPr>
              <w:lastRenderedPageBreak/>
              <w:t>urbaine/rurale, handicap,</w:t>
            </w:r>
            <w:r w:rsidR="00E208E2">
              <w:rPr>
                <w:i/>
                <w:sz w:val="18"/>
                <w:szCs w:val="18"/>
              </w:rPr>
              <w:t> </w:t>
            </w:r>
            <w:r>
              <w:rPr>
                <w:i/>
                <w:sz w:val="18"/>
                <w:szCs w:val="18"/>
              </w:rPr>
              <w:t>etc.</w:t>
            </w:r>
          </w:p>
        </w:tc>
        <w:tc>
          <w:tcPr>
            <w:tcW w:w="0" w:type="auto"/>
            <w:tcBorders>
              <w:bottom w:val="single" w:sz="4" w:space="0" w:color="auto"/>
            </w:tcBorders>
            <w:shd w:val="clear" w:color="auto" w:fill="DBE5F1" w:themeFill="accent1" w:themeFillTint="33"/>
          </w:tcPr>
          <w:p w:rsidR="00C40511" w:rsidRPr="00A57801" w:rsidRDefault="00C40511" w:rsidP="00A57801">
            <w:pPr>
              <w:spacing w:before="60" w:afterLines="60" w:after="144"/>
              <w:rPr>
                <w:i/>
                <w:sz w:val="18"/>
                <w:szCs w:val="18"/>
              </w:rPr>
            </w:pPr>
            <w:r>
              <w:rPr>
                <w:i/>
                <w:sz w:val="18"/>
                <w:szCs w:val="18"/>
              </w:rPr>
              <w:lastRenderedPageBreak/>
              <w:t>La valeur, avant l’intervention, du ou des indicateurs à l’aune duquel/desquels l’évolution peut être évaluée ou des comparaisons peuvent être effectuées.</w:t>
            </w:r>
          </w:p>
        </w:tc>
        <w:tc>
          <w:tcPr>
            <w:tcW w:w="0" w:type="auto"/>
            <w:tcBorders>
              <w:bottom w:val="single" w:sz="4" w:space="0" w:color="auto"/>
            </w:tcBorders>
            <w:shd w:val="clear" w:color="auto" w:fill="DBE5F1" w:themeFill="accent1" w:themeFillTint="33"/>
          </w:tcPr>
          <w:p w:rsidR="00C40511" w:rsidRPr="00A57801" w:rsidRDefault="00C40511" w:rsidP="00A57801">
            <w:pPr>
              <w:spacing w:before="60" w:afterLines="60" w:after="144"/>
              <w:rPr>
                <w:i/>
                <w:sz w:val="18"/>
                <w:szCs w:val="18"/>
              </w:rPr>
            </w:pPr>
            <w:r>
              <w:rPr>
                <w:i/>
                <w:sz w:val="18"/>
                <w:szCs w:val="18"/>
              </w:rPr>
              <w:t>La valeur finale visée du ou des indicateurs.</w:t>
            </w:r>
          </w:p>
        </w:tc>
        <w:tc>
          <w:tcPr>
            <w:tcW w:w="0" w:type="auto"/>
            <w:tcBorders>
              <w:bottom w:val="single" w:sz="4" w:space="0" w:color="auto"/>
            </w:tcBorders>
            <w:shd w:val="clear" w:color="auto" w:fill="DBE5F1" w:themeFill="accent1" w:themeFillTint="33"/>
          </w:tcPr>
          <w:p w:rsidR="00C40511" w:rsidRPr="00A57801" w:rsidRDefault="00C40511" w:rsidP="00A57801">
            <w:pPr>
              <w:autoSpaceDE w:val="0"/>
              <w:autoSpaceDN w:val="0"/>
              <w:adjustRightInd w:val="0"/>
              <w:spacing w:before="60" w:afterLines="60" w:after="144"/>
              <w:jc w:val="left"/>
              <w:rPr>
                <w:i/>
                <w:sz w:val="18"/>
                <w:szCs w:val="18"/>
              </w:rPr>
            </w:pPr>
            <w:r>
              <w:rPr>
                <w:i/>
                <w:sz w:val="18"/>
                <w:szCs w:val="18"/>
              </w:rPr>
              <w:t>La dernière valeur disponible du ou des indicateurs au moment de l’établissement du rapport</w:t>
            </w:r>
          </w:p>
          <w:p w:rsidR="00C40511" w:rsidRPr="00892C8E" w:rsidRDefault="00C40511" w:rsidP="00A57801">
            <w:pPr>
              <w:autoSpaceDE w:val="0"/>
              <w:autoSpaceDN w:val="0"/>
              <w:adjustRightInd w:val="0"/>
              <w:spacing w:before="60" w:afterLines="60" w:after="144"/>
              <w:rPr>
                <w:i/>
                <w:sz w:val="18"/>
                <w:szCs w:val="18"/>
              </w:rPr>
            </w:pPr>
            <w:r>
              <w:rPr>
                <w:i/>
                <w:sz w:val="18"/>
                <w:szCs w:val="18"/>
              </w:rPr>
              <w:t>(* à mettre à jour dans les rapports intermédiaires et le rapport final)</w:t>
            </w:r>
          </w:p>
        </w:tc>
        <w:tc>
          <w:tcPr>
            <w:tcW w:w="0" w:type="auto"/>
            <w:tcBorders>
              <w:bottom w:val="single" w:sz="4" w:space="0" w:color="auto"/>
            </w:tcBorders>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Sources d’informations et méthodes utilisées pour recueillir les données et faire rapport (qui, quand, à quelle fréquence,</w:t>
            </w:r>
            <w:r w:rsidR="00E208E2">
              <w:rPr>
                <w:i/>
                <w:sz w:val="18"/>
                <w:szCs w:val="18"/>
              </w:rPr>
              <w:t> </w:t>
            </w:r>
            <w:r>
              <w:rPr>
                <w:i/>
                <w:sz w:val="18"/>
                <w:szCs w:val="18"/>
              </w:rPr>
              <w:t>etc.).</w:t>
            </w:r>
          </w:p>
        </w:tc>
        <w:tc>
          <w:tcPr>
            <w:tcW w:w="0" w:type="auto"/>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Conditions externes nécessaires et positives pour la mise en œuvre de l’intervention qui échappent au contrôle des personnes chargées de la gestion de cette dernière.</w:t>
            </w:r>
          </w:p>
        </w:tc>
      </w:tr>
      <w:tr w:rsidR="00C40511" w:rsidRPr="00A57801" w:rsidTr="00A57801">
        <w:trPr>
          <w:trHeight w:val="636"/>
          <w:jc w:val="center"/>
        </w:trPr>
        <w:tc>
          <w:tcPr>
            <w:tcW w:w="0" w:type="auto"/>
            <w:vMerge/>
            <w:shd w:val="clear" w:color="auto" w:fill="D9D9D9"/>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auto"/>
          </w:tcPr>
          <w:p w:rsidR="00C40511" w:rsidRPr="00AF5182" w:rsidRDefault="00C40511" w:rsidP="00A57801">
            <w:pPr>
              <w:autoSpaceDE w:val="0"/>
              <w:autoSpaceDN w:val="0"/>
              <w:adjustRightInd w:val="0"/>
              <w:spacing w:before="60" w:afterLines="60" w:after="144"/>
              <w:rPr>
                <w:sz w:val="18"/>
                <w:szCs w:val="18"/>
              </w:rPr>
            </w:pPr>
            <w:r>
              <w:rPr>
                <w:sz w:val="18"/>
                <w:szCs w:val="18"/>
              </w:rPr>
              <w:t>Effet nº 1</w:t>
            </w:r>
          </w:p>
        </w:tc>
        <w:tc>
          <w:tcPr>
            <w:tcW w:w="0" w:type="auto"/>
            <w:tcBorders>
              <w:bottom w:val="single" w:sz="4" w:space="0" w:color="auto"/>
            </w:tcBorders>
            <w:shd w:val="clear" w:color="auto" w:fill="auto"/>
          </w:tcPr>
          <w:p w:rsidR="00C40511" w:rsidRPr="00AF5182" w:rsidRDefault="005D5229" w:rsidP="00A57801">
            <w:pPr>
              <w:autoSpaceDE w:val="0"/>
              <w:autoSpaceDN w:val="0"/>
              <w:adjustRightInd w:val="0"/>
              <w:spacing w:before="100" w:beforeAutospacing="1" w:after="100" w:afterAutospacing="1"/>
              <w:jc w:val="left"/>
              <w:rPr>
                <w:sz w:val="18"/>
                <w:szCs w:val="18"/>
              </w:rPr>
            </w:pPr>
            <w:r>
              <w:rPr>
                <w:sz w:val="18"/>
                <w:szCs w:val="18"/>
              </w:rPr>
              <w:br/>
              <w:t xml:space="preserve">1.1 – </w:t>
            </w:r>
            <w:r>
              <w:rPr>
                <w:sz w:val="18"/>
                <w:szCs w:val="18"/>
                <w:u w:val="single"/>
              </w:rPr>
              <w:t>Indicateur 1 concernant la réalisation nº 1</w:t>
            </w:r>
          </w:p>
        </w:tc>
        <w:tc>
          <w:tcPr>
            <w:tcW w:w="0" w:type="auto"/>
            <w:tcBorders>
              <w:bottom w:val="single" w:sz="4" w:space="0" w:color="auto"/>
            </w:tcBorders>
            <w:shd w:val="clear" w:color="auto" w:fill="auto"/>
          </w:tcPr>
          <w:p w:rsidR="00C40511" w:rsidRPr="00AF5182" w:rsidRDefault="00C40511" w:rsidP="00A57801">
            <w:pPr>
              <w:spacing w:before="60" w:afterLines="60" w:after="144"/>
              <w:jc w:val="left"/>
              <w:rPr>
                <w:sz w:val="18"/>
                <w:szCs w:val="18"/>
              </w:rPr>
            </w:pPr>
            <w:r>
              <w:rPr>
                <w:sz w:val="18"/>
                <w:szCs w:val="18"/>
              </w:rPr>
              <w:t xml:space="preserve">1.1 – Valeur de référence pour l’indicateur 1.1 (même unité de mesure) </w:t>
            </w:r>
          </w:p>
        </w:tc>
        <w:tc>
          <w:tcPr>
            <w:tcW w:w="0" w:type="auto"/>
            <w:tcBorders>
              <w:bottom w:val="single" w:sz="4" w:space="0" w:color="auto"/>
            </w:tcBorders>
            <w:shd w:val="clear" w:color="auto" w:fill="auto"/>
          </w:tcPr>
          <w:p w:rsidR="00C40511" w:rsidRPr="00AF5182" w:rsidRDefault="00C40511" w:rsidP="00A57801">
            <w:pPr>
              <w:spacing w:before="60" w:afterLines="60" w:after="144"/>
              <w:jc w:val="left"/>
              <w:rPr>
                <w:sz w:val="18"/>
                <w:szCs w:val="18"/>
              </w:rPr>
            </w:pPr>
            <w:r>
              <w:rPr>
                <w:sz w:val="18"/>
                <w:szCs w:val="18"/>
              </w:rPr>
              <w:t xml:space="preserve">1.1 – </w:t>
            </w:r>
            <w:r>
              <w:rPr>
                <w:sz w:val="18"/>
                <w:szCs w:val="18"/>
                <w:u w:val="single"/>
              </w:rPr>
              <w:t>Objectif pour</w:t>
            </w:r>
            <w:r>
              <w:rPr>
                <w:sz w:val="18"/>
                <w:szCs w:val="18"/>
              </w:rPr>
              <w:t xml:space="preserve"> l’indicateur 1.1 </w:t>
            </w:r>
          </w:p>
        </w:tc>
        <w:tc>
          <w:tcPr>
            <w:tcW w:w="0" w:type="auto"/>
            <w:tcBorders>
              <w:bottom w:val="single" w:sz="4" w:space="0" w:color="auto"/>
            </w:tcBorders>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1.1 – Valeur actuelle pour l’indicateur 1.1 </w:t>
            </w:r>
          </w:p>
        </w:tc>
        <w:tc>
          <w:tcPr>
            <w:tcW w:w="0" w:type="auto"/>
            <w:tcBorders>
              <w:bottom w:val="single" w:sz="4" w:space="0" w:color="auto"/>
            </w:tcBorders>
            <w:shd w:val="clear" w:color="auto" w:fill="auto"/>
          </w:tcPr>
          <w:p w:rsidR="00C40511" w:rsidRPr="00AF5182" w:rsidRDefault="00C40511" w:rsidP="0090635E">
            <w:pPr>
              <w:autoSpaceDE w:val="0"/>
              <w:autoSpaceDN w:val="0"/>
              <w:adjustRightInd w:val="0"/>
              <w:spacing w:before="60" w:afterLines="60" w:after="144"/>
              <w:jc w:val="left"/>
              <w:rPr>
                <w:sz w:val="18"/>
                <w:szCs w:val="18"/>
              </w:rPr>
            </w:pPr>
            <w:r>
              <w:rPr>
                <w:sz w:val="18"/>
                <w:szCs w:val="18"/>
              </w:rPr>
              <w:t xml:space="preserve">1.1 – Source de données pour l’indicateur 1.1 </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636"/>
          <w:jc w:val="center"/>
        </w:trPr>
        <w:tc>
          <w:tcPr>
            <w:tcW w:w="0" w:type="auto"/>
            <w:vMerge/>
            <w:shd w:val="clear" w:color="auto" w:fill="D9D9D9"/>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shd w:val="clear" w:color="auto" w:fill="auto"/>
          </w:tcPr>
          <w:p w:rsidR="00C40511" w:rsidRPr="00A57801" w:rsidRDefault="00C40511" w:rsidP="00A57801">
            <w:pPr>
              <w:autoSpaceDE w:val="0"/>
              <w:autoSpaceDN w:val="0"/>
              <w:adjustRightInd w:val="0"/>
              <w:spacing w:before="60" w:afterLines="60" w:after="144"/>
              <w:rPr>
                <w:rFonts w:eastAsia="Calibri"/>
                <w:color w:val="0D0D0D"/>
                <w:sz w:val="18"/>
                <w:szCs w:val="18"/>
              </w:rPr>
            </w:pPr>
          </w:p>
        </w:tc>
        <w:tc>
          <w:tcPr>
            <w:tcW w:w="0" w:type="auto"/>
            <w:tcBorders>
              <w:bottom w:val="single" w:sz="4" w:space="0" w:color="auto"/>
            </w:tcBorders>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1.2 – </w:t>
            </w:r>
            <w:r>
              <w:rPr>
                <w:sz w:val="18"/>
                <w:szCs w:val="18"/>
                <w:u w:val="single"/>
              </w:rPr>
              <w:t>Indicateur 2 concernant la réalisation nº 1</w:t>
            </w:r>
          </w:p>
        </w:tc>
        <w:tc>
          <w:tcPr>
            <w:tcW w:w="0" w:type="auto"/>
            <w:tcBorders>
              <w:bottom w:val="single" w:sz="4" w:space="0" w:color="auto"/>
            </w:tcBorders>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1.2 – </w:t>
            </w:r>
            <w:r>
              <w:rPr>
                <w:sz w:val="18"/>
                <w:szCs w:val="18"/>
                <w:u w:val="single"/>
              </w:rPr>
              <w:t>Valeur de référence pour l’indicateur 1.2</w:t>
            </w:r>
            <w:r>
              <w:rPr>
                <w:sz w:val="18"/>
                <w:szCs w:val="18"/>
              </w:rPr>
              <w:t xml:space="preserve"> (même unité de mesure) </w:t>
            </w:r>
            <w:r>
              <w:rPr>
                <w:sz w:val="18"/>
                <w:szCs w:val="18"/>
                <w:u w:val="single"/>
              </w:rPr>
              <w:t xml:space="preserve"> </w:t>
            </w:r>
          </w:p>
        </w:tc>
        <w:tc>
          <w:tcPr>
            <w:tcW w:w="0" w:type="auto"/>
            <w:tcBorders>
              <w:bottom w:val="single" w:sz="4" w:space="0" w:color="auto"/>
            </w:tcBorders>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1.2 – </w:t>
            </w:r>
            <w:r>
              <w:rPr>
                <w:sz w:val="18"/>
                <w:szCs w:val="18"/>
                <w:u w:val="single"/>
              </w:rPr>
              <w:t>Cible pour</w:t>
            </w:r>
            <w:r>
              <w:rPr>
                <w:sz w:val="18"/>
                <w:szCs w:val="18"/>
              </w:rPr>
              <w:t xml:space="preserve"> l’indicateur 1.2 </w:t>
            </w:r>
          </w:p>
        </w:tc>
        <w:tc>
          <w:tcPr>
            <w:tcW w:w="0" w:type="auto"/>
            <w:tcBorders>
              <w:bottom w:val="single" w:sz="4" w:space="0" w:color="auto"/>
            </w:tcBorders>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1.2 – Valeur actuelle pour l’indicateur 1.2 </w:t>
            </w:r>
          </w:p>
        </w:tc>
        <w:tc>
          <w:tcPr>
            <w:tcW w:w="0" w:type="auto"/>
            <w:tcBorders>
              <w:bottom w:val="single" w:sz="4" w:space="0" w:color="auto"/>
            </w:tcBorders>
            <w:shd w:val="clear" w:color="auto" w:fill="auto"/>
          </w:tcPr>
          <w:p w:rsidR="00C40511" w:rsidRPr="00AF5182" w:rsidRDefault="00C40511" w:rsidP="0090635E">
            <w:pPr>
              <w:autoSpaceDE w:val="0"/>
              <w:autoSpaceDN w:val="0"/>
              <w:adjustRightInd w:val="0"/>
              <w:spacing w:before="60" w:afterLines="60" w:after="144"/>
              <w:jc w:val="left"/>
              <w:rPr>
                <w:sz w:val="18"/>
                <w:szCs w:val="18"/>
              </w:rPr>
            </w:pPr>
            <w:r>
              <w:rPr>
                <w:sz w:val="18"/>
                <w:szCs w:val="18"/>
              </w:rPr>
              <w:t xml:space="preserve">1.2 – Source de données pour l’indicateur 1.2 </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329"/>
          <w:jc w:val="center"/>
        </w:trPr>
        <w:tc>
          <w:tcPr>
            <w:tcW w:w="0" w:type="auto"/>
            <w:vMerge/>
            <w:shd w:val="clear" w:color="auto" w:fill="D9D9D9"/>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shd w:val="clear" w:color="auto" w:fill="auto"/>
          </w:tcPr>
          <w:p w:rsidR="00C40511" w:rsidRPr="00A57801" w:rsidRDefault="00C40511" w:rsidP="00A57801">
            <w:pPr>
              <w:autoSpaceDE w:val="0"/>
              <w:autoSpaceDN w:val="0"/>
              <w:adjustRightInd w:val="0"/>
              <w:spacing w:before="60" w:afterLines="60" w:after="144"/>
              <w:rPr>
                <w:rFonts w:eastAsia="Calibri"/>
                <w:color w:val="0D0D0D"/>
                <w:sz w:val="18"/>
                <w:szCs w:val="18"/>
              </w:rPr>
            </w:pPr>
          </w:p>
        </w:tc>
        <w:tc>
          <w:tcPr>
            <w:tcW w:w="0" w:type="auto"/>
            <w:shd w:val="clear" w:color="auto" w:fill="auto"/>
          </w:tcPr>
          <w:p w:rsidR="00C40511" w:rsidRPr="00AF5182" w:rsidRDefault="00E208E2" w:rsidP="00A57801">
            <w:pPr>
              <w:tabs>
                <w:tab w:val="center" w:pos="928"/>
              </w:tabs>
              <w:autoSpaceDE w:val="0"/>
              <w:autoSpaceDN w:val="0"/>
              <w:adjustRightInd w:val="0"/>
              <w:spacing w:before="60" w:afterLines="60" w:after="144"/>
              <w:jc w:val="left"/>
              <w:rPr>
                <w:sz w:val="18"/>
                <w:szCs w:val="18"/>
              </w:rPr>
            </w:pPr>
            <w:r>
              <w:rPr>
                <w:sz w:val="18"/>
                <w:szCs w:val="18"/>
              </w:rPr>
              <w:t>[…]</w:t>
            </w:r>
          </w:p>
        </w:tc>
        <w:tc>
          <w:tcPr>
            <w:tcW w:w="0" w:type="auto"/>
            <w:shd w:val="clear" w:color="auto" w:fill="auto"/>
          </w:tcPr>
          <w:p w:rsidR="00C40511" w:rsidRPr="00AF5182" w:rsidDel="00F11A37"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shd w:val="clear" w:color="auto" w:fill="auto"/>
          </w:tcPr>
          <w:p w:rsidR="00C40511" w:rsidRPr="00AF5182" w:rsidDel="00F11A37"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shd w:val="clear" w:color="auto" w:fill="auto"/>
          </w:tcPr>
          <w:p w:rsidR="00C40511" w:rsidRPr="00AF5182" w:rsidDel="00F11A37"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shd w:val="clear" w:color="auto" w:fill="auto"/>
          </w:tcPr>
          <w:p w:rsidR="00C40511" w:rsidRPr="00AF5182" w:rsidDel="00F11A37" w:rsidRDefault="008E5A48" w:rsidP="00A57801">
            <w:pPr>
              <w:autoSpaceDE w:val="0"/>
              <w:autoSpaceDN w:val="0"/>
              <w:adjustRightInd w:val="0"/>
              <w:spacing w:before="60" w:afterLines="60" w:after="144"/>
              <w:jc w:val="left"/>
              <w:rPr>
                <w:sz w:val="18"/>
                <w:szCs w:val="18"/>
              </w:rPr>
            </w:pPr>
            <w:r>
              <w:rPr>
                <w:sz w:val="18"/>
                <w:szCs w:val="18"/>
              </w:rPr>
              <w:t>[…]</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593"/>
          <w:jc w:val="center"/>
        </w:trPr>
        <w:tc>
          <w:tcPr>
            <w:tcW w:w="0" w:type="auto"/>
            <w:vMerge/>
            <w:shd w:val="clear" w:color="auto" w:fill="D9D9D9"/>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auto"/>
          </w:tcPr>
          <w:p w:rsidR="00C40511" w:rsidRPr="00AF5182" w:rsidRDefault="00C40511" w:rsidP="00A57801">
            <w:pPr>
              <w:autoSpaceDE w:val="0"/>
              <w:autoSpaceDN w:val="0"/>
              <w:adjustRightInd w:val="0"/>
              <w:spacing w:before="60" w:afterLines="60" w:after="144"/>
              <w:rPr>
                <w:sz w:val="18"/>
                <w:szCs w:val="18"/>
              </w:rPr>
            </w:pPr>
            <w:r>
              <w:rPr>
                <w:sz w:val="18"/>
                <w:szCs w:val="18"/>
              </w:rPr>
              <w:t>Effet nº 2</w:t>
            </w:r>
          </w:p>
        </w:tc>
        <w:tc>
          <w:tcPr>
            <w:tcW w:w="0" w:type="auto"/>
            <w:shd w:val="clear" w:color="auto" w:fill="auto"/>
          </w:tcPr>
          <w:p w:rsidR="00C40511" w:rsidRPr="00AF5182" w:rsidRDefault="00C40511" w:rsidP="00A57801">
            <w:pPr>
              <w:tabs>
                <w:tab w:val="center" w:pos="928"/>
              </w:tabs>
              <w:autoSpaceDE w:val="0"/>
              <w:autoSpaceDN w:val="0"/>
              <w:adjustRightInd w:val="0"/>
              <w:spacing w:before="60" w:afterLines="60" w:after="144"/>
              <w:jc w:val="left"/>
              <w:rPr>
                <w:sz w:val="18"/>
                <w:szCs w:val="18"/>
              </w:rPr>
            </w:pPr>
            <w:r>
              <w:rPr>
                <w:sz w:val="18"/>
                <w:szCs w:val="18"/>
              </w:rPr>
              <w:t xml:space="preserve">2.1 – Indicateur concernant </w:t>
            </w:r>
            <w:r>
              <w:rPr>
                <w:sz w:val="18"/>
                <w:szCs w:val="18"/>
                <w:u w:val="single"/>
              </w:rPr>
              <w:t>la réalisation nº 2</w:t>
            </w:r>
            <w:r>
              <w:rPr>
                <w:sz w:val="18"/>
                <w:szCs w:val="18"/>
              </w:rPr>
              <w:t xml:space="preserve"> </w:t>
            </w:r>
          </w:p>
        </w:tc>
        <w:tc>
          <w:tcPr>
            <w:tcW w:w="0" w:type="auto"/>
            <w:shd w:val="clear" w:color="auto" w:fill="auto"/>
          </w:tcPr>
          <w:p w:rsidR="00C40511" w:rsidRPr="007310BD" w:rsidRDefault="00C40511" w:rsidP="00A57801">
            <w:pPr>
              <w:autoSpaceDE w:val="0"/>
              <w:autoSpaceDN w:val="0"/>
              <w:adjustRightInd w:val="0"/>
              <w:spacing w:before="60" w:afterLines="60" w:after="144"/>
              <w:jc w:val="left"/>
              <w:rPr>
                <w:sz w:val="18"/>
                <w:szCs w:val="18"/>
                <w:u w:val="single"/>
              </w:rPr>
            </w:pPr>
            <w:r>
              <w:rPr>
                <w:sz w:val="18"/>
                <w:szCs w:val="18"/>
                <w:u w:val="single"/>
              </w:rPr>
              <w:t>2.1 – Valeur de référence pour l’indicateur 2.1</w:t>
            </w:r>
            <w:r>
              <w:rPr>
                <w:sz w:val="18"/>
                <w:szCs w:val="18"/>
              </w:rPr>
              <w:t xml:space="preserve"> (même unité de mesure)</w:t>
            </w:r>
          </w:p>
        </w:tc>
        <w:tc>
          <w:tcPr>
            <w:tcW w:w="0" w:type="auto"/>
            <w:shd w:val="clear" w:color="auto" w:fill="auto"/>
          </w:tcPr>
          <w:p w:rsidR="00C40511" w:rsidRPr="007310BD" w:rsidRDefault="00C40511" w:rsidP="00A57801">
            <w:pPr>
              <w:autoSpaceDE w:val="0"/>
              <w:autoSpaceDN w:val="0"/>
              <w:adjustRightInd w:val="0"/>
              <w:spacing w:before="60" w:afterLines="60" w:after="144"/>
              <w:jc w:val="left"/>
              <w:rPr>
                <w:sz w:val="18"/>
                <w:szCs w:val="18"/>
                <w:u w:val="single"/>
              </w:rPr>
            </w:pPr>
            <w:r>
              <w:rPr>
                <w:sz w:val="18"/>
                <w:szCs w:val="18"/>
                <w:u w:val="single"/>
              </w:rPr>
              <w:t xml:space="preserve">2.1 – Cible Objectif pour l’indicateur 2.1 </w:t>
            </w:r>
          </w:p>
        </w:tc>
        <w:tc>
          <w:tcPr>
            <w:tcW w:w="0" w:type="auto"/>
            <w:shd w:val="clear" w:color="auto" w:fill="auto"/>
          </w:tcPr>
          <w:p w:rsidR="00C40511" w:rsidRPr="007310BD" w:rsidRDefault="00C40511" w:rsidP="00A57801">
            <w:pPr>
              <w:autoSpaceDE w:val="0"/>
              <w:autoSpaceDN w:val="0"/>
              <w:adjustRightInd w:val="0"/>
              <w:spacing w:before="60" w:afterLines="60" w:after="144"/>
              <w:jc w:val="left"/>
              <w:rPr>
                <w:sz w:val="18"/>
                <w:szCs w:val="18"/>
                <w:u w:val="single"/>
              </w:rPr>
            </w:pPr>
            <w:r>
              <w:rPr>
                <w:sz w:val="18"/>
                <w:szCs w:val="18"/>
                <w:u w:val="single"/>
              </w:rPr>
              <w:t xml:space="preserve">2.1 – Valeur actuelle pour l’indicateur 2.1 </w:t>
            </w:r>
          </w:p>
        </w:tc>
        <w:tc>
          <w:tcPr>
            <w:tcW w:w="0" w:type="auto"/>
            <w:shd w:val="clear" w:color="auto" w:fill="auto"/>
          </w:tcPr>
          <w:p w:rsidR="00C40511" w:rsidRPr="007310BD" w:rsidRDefault="00C40511" w:rsidP="0090635E">
            <w:pPr>
              <w:autoSpaceDE w:val="0"/>
              <w:autoSpaceDN w:val="0"/>
              <w:adjustRightInd w:val="0"/>
              <w:spacing w:before="60" w:afterLines="60" w:after="144"/>
              <w:jc w:val="left"/>
              <w:rPr>
                <w:sz w:val="18"/>
                <w:szCs w:val="18"/>
                <w:u w:val="single"/>
              </w:rPr>
            </w:pPr>
            <w:r>
              <w:rPr>
                <w:sz w:val="18"/>
                <w:szCs w:val="18"/>
                <w:u w:val="single"/>
              </w:rPr>
              <w:t>2.1 – Source de données pour l’indicateur 2.1</w:t>
            </w:r>
            <w:r>
              <w:rPr>
                <w:sz w:val="18"/>
                <w:szCs w:val="18"/>
              </w:rPr>
              <w:t xml:space="preserve"> </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278"/>
          <w:jc w:val="center"/>
        </w:trPr>
        <w:tc>
          <w:tcPr>
            <w:tcW w:w="0" w:type="auto"/>
            <w:vMerge/>
            <w:shd w:val="clear" w:color="auto" w:fill="D9D9D9"/>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shd w:val="clear" w:color="auto" w:fill="auto"/>
          </w:tcPr>
          <w:p w:rsidR="00C40511" w:rsidRPr="00AF5182" w:rsidRDefault="00C40511" w:rsidP="00A57801">
            <w:pPr>
              <w:autoSpaceDE w:val="0"/>
              <w:autoSpaceDN w:val="0"/>
              <w:adjustRightInd w:val="0"/>
              <w:spacing w:before="60" w:afterLines="60" w:after="144"/>
              <w:rPr>
                <w:sz w:val="18"/>
                <w:szCs w:val="18"/>
              </w:rPr>
            </w:pP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2.2 – Indicateur concernant la réalisation nº </w:t>
            </w:r>
            <w:r>
              <w:rPr>
                <w:sz w:val="18"/>
                <w:szCs w:val="18"/>
                <w:u w:val="single"/>
              </w:rPr>
              <w:t>2</w:t>
            </w:r>
          </w:p>
        </w:tc>
        <w:tc>
          <w:tcPr>
            <w:tcW w:w="0" w:type="auto"/>
            <w:shd w:val="clear" w:color="auto" w:fill="auto"/>
          </w:tcPr>
          <w:p w:rsidR="00C40511" w:rsidRPr="007310BD" w:rsidRDefault="00C40511" w:rsidP="00A57801">
            <w:pPr>
              <w:spacing w:before="60" w:afterLines="60" w:after="144"/>
              <w:jc w:val="left"/>
              <w:rPr>
                <w:sz w:val="18"/>
                <w:szCs w:val="18"/>
                <w:u w:val="single"/>
              </w:rPr>
            </w:pPr>
            <w:r>
              <w:rPr>
                <w:sz w:val="18"/>
                <w:szCs w:val="18"/>
                <w:u w:val="single"/>
              </w:rPr>
              <w:t>2.2 – Valeur de référence pour l’indicateur 2.2</w:t>
            </w:r>
            <w:r>
              <w:rPr>
                <w:sz w:val="18"/>
                <w:szCs w:val="18"/>
              </w:rPr>
              <w:t xml:space="preserve"> (même unité de mesure)</w:t>
            </w:r>
          </w:p>
        </w:tc>
        <w:tc>
          <w:tcPr>
            <w:tcW w:w="0" w:type="auto"/>
            <w:shd w:val="clear" w:color="auto" w:fill="auto"/>
          </w:tcPr>
          <w:p w:rsidR="00C40511" w:rsidRPr="00AF5182" w:rsidRDefault="00C40511" w:rsidP="00A57801">
            <w:pPr>
              <w:spacing w:before="60" w:afterLines="60" w:after="144"/>
              <w:jc w:val="left"/>
              <w:rPr>
                <w:sz w:val="18"/>
                <w:szCs w:val="18"/>
              </w:rPr>
            </w:pPr>
            <w:r>
              <w:rPr>
                <w:sz w:val="18"/>
                <w:szCs w:val="18"/>
                <w:u w:val="single"/>
              </w:rPr>
              <w:t xml:space="preserve">2.2 – Cible pour l’indicateur 2.2 </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u w:val="single"/>
              </w:rPr>
              <w:t xml:space="preserve">2.2 – Valeur actuelle pour l’indicateur 2.2 </w:t>
            </w:r>
          </w:p>
        </w:tc>
        <w:tc>
          <w:tcPr>
            <w:tcW w:w="0" w:type="auto"/>
            <w:shd w:val="clear" w:color="auto" w:fill="auto"/>
          </w:tcPr>
          <w:p w:rsidR="00C40511" w:rsidRPr="00AF5182" w:rsidRDefault="00C40511" w:rsidP="0090635E">
            <w:pPr>
              <w:autoSpaceDE w:val="0"/>
              <w:autoSpaceDN w:val="0"/>
              <w:adjustRightInd w:val="0"/>
              <w:spacing w:before="60" w:afterLines="60" w:after="144"/>
              <w:jc w:val="left"/>
              <w:rPr>
                <w:sz w:val="18"/>
                <w:szCs w:val="18"/>
              </w:rPr>
            </w:pPr>
            <w:r>
              <w:rPr>
                <w:sz w:val="18"/>
                <w:szCs w:val="18"/>
                <w:u w:val="single"/>
              </w:rPr>
              <w:t>2.2 – Source de données pour l’indicateur 2.2</w:t>
            </w:r>
            <w:r>
              <w:rPr>
                <w:sz w:val="18"/>
                <w:szCs w:val="18"/>
              </w:rPr>
              <w:t xml:space="preserve"> </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278"/>
          <w:jc w:val="center"/>
        </w:trPr>
        <w:tc>
          <w:tcPr>
            <w:tcW w:w="0" w:type="auto"/>
            <w:vMerge/>
            <w:shd w:val="clear" w:color="auto" w:fill="D9D9D9"/>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shd w:val="clear" w:color="auto" w:fill="auto"/>
          </w:tcPr>
          <w:p w:rsidR="00C40511" w:rsidRPr="00AF5182" w:rsidRDefault="00C40511" w:rsidP="00A57801">
            <w:pPr>
              <w:autoSpaceDE w:val="0"/>
              <w:autoSpaceDN w:val="0"/>
              <w:adjustRightInd w:val="0"/>
              <w:spacing w:before="60" w:afterLines="60" w:after="144"/>
              <w:rPr>
                <w:sz w:val="18"/>
                <w:szCs w:val="18"/>
              </w:rPr>
            </w:pPr>
            <w:r>
              <w:rPr>
                <w:sz w:val="18"/>
                <w:szCs w:val="18"/>
              </w:rPr>
              <w:t>Réalisation nº </w:t>
            </w:r>
          </w:p>
        </w:tc>
        <w:tc>
          <w:tcPr>
            <w:tcW w:w="0" w:type="auto"/>
            <w:shd w:val="clear" w:color="auto" w:fill="auto"/>
          </w:tcPr>
          <w:p w:rsidR="00C40511" w:rsidRPr="007310BD"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auto"/>
          </w:tcPr>
          <w:p w:rsidR="00C40511" w:rsidRPr="007310BD" w:rsidRDefault="00C40511" w:rsidP="00A57801">
            <w:pPr>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auto"/>
          </w:tcPr>
          <w:p w:rsidR="00C40511" w:rsidRPr="00AF5182" w:rsidRDefault="00C40511" w:rsidP="00A57801">
            <w:pPr>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8E5A48">
              <w:rPr>
                <w:sz w:val="18"/>
                <w:szCs w:val="18"/>
              </w:rPr>
              <w:t>[…]</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1627"/>
          <w:jc w:val="center"/>
        </w:trPr>
        <w:tc>
          <w:tcPr>
            <w:tcW w:w="0" w:type="auto"/>
            <w:vMerge w:val="restart"/>
            <w:shd w:val="clear" w:color="auto" w:fill="D9D9D9"/>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r>
              <w:rPr>
                <w:b/>
                <w:i/>
                <w:sz w:val="18"/>
                <w:szCs w:val="18"/>
              </w:rPr>
              <w:lastRenderedPageBreak/>
              <w:t>Produits</w:t>
            </w:r>
          </w:p>
        </w:tc>
        <w:tc>
          <w:tcPr>
            <w:tcW w:w="0" w:type="auto"/>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Selon la définition du CAD de l’OCDE, les produits sont</w:t>
            </w:r>
            <w:proofErr w:type="gramStart"/>
            <w:r>
              <w:rPr>
                <w:i/>
                <w:sz w:val="18"/>
                <w:szCs w:val="18"/>
              </w:rPr>
              <w:t xml:space="preserve"> «les</w:t>
            </w:r>
            <w:proofErr w:type="gramEnd"/>
            <w:r>
              <w:rPr>
                <w:i/>
                <w:sz w:val="18"/>
                <w:szCs w:val="18"/>
              </w:rPr>
              <w:t xml:space="preserve"> produits, équipements et services qui résultent des interventions dans le domaine du développement».</w:t>
            </w:r>
          </w:p>
          <w:p w:rsidR="00C40511" w:rsidRPr="00A57801" w:rsidRDefault="00C40511" w:rsidP="00A57801">
            <w:pPr>
              <w:autoSpaceDE w:val="0"/>
              <w:autoSpaceDN w:val="0"/>
              <w:adjustRightInd w:val="0"/>
              <w:spacing w:before="60" w:afterLines="60" w:after="144"/>
              <w:rPr>
                <w:i/>
                <w:sz w:val="18"/>
                <w:szCs w:val="18"/>
              </w:rPr>
            </w:pPr>
            <w:r>
              <w:rPr>
                <w:i/>
                <w:sz w:val="18"/>
                <w:szCs w:val="18"/>
              </w:rPr>
              <w:t>Il s’agit des produits directs/concrets (infrastructure, biens et services) issus de l’intervention. Ils peuvent également inclure les changements résultant de l’action qui sont pertinents pour parvenir aux réalisations. Ces changements portent sur l’amélioration des capacités, des aptitudes, des compétences, des systèmes et des politiques d’un groupe de personnes ou d’une organisation, et sont générés par l’action de l’UE.</w:t>
            </w:r>
          </w:p>
          <w:p w:rsidR="00C40511" w:rsidRDefault="00C40511" w:rsidP="00A57801">
            <w:pPr>
              <w:autoSpaceDE w:val="0"/>
              <w:autoSpaceDN w:val="0"/>
              <w:adjustRightInd w:val="0"/>
              <w:spacing w:before="60" w:afterLines="60" w:after="144"/>
              <w:rPr>
                <w:i/>
                <w:sz w:val="18"/>
                <w:szCs w:val="18"/>
              </w:rPr>
            </w:pPr>
            <w:r>
              <w:rPr>
                <w:i/>
                <w:sz w:val="18"/>
                <w:szCs w:val="18"/>
              </w:rPr>
              <w:t>Il convient de mettre les produits en relation avec les réalisations correspondantes grâce à une numérotation claire.</w:t>
            </w:r>
          </w:p>
          <w:p w:rsidR="00C40511" w:rsidRPr="00A57801" w:rsidRDefault="00C40511" w:rsidP="00A57801">
            <w:pPr>
              <w:autoSpaceDE w:val="0"/>
              <w:autoSpaceDN w:val="0"/>
              <w:adjustRightInd w:val="0"/>
              <w:spacing w:before="60" w:afterLines="60" w:after="144"/>
              <w:rPr>
                <w:i/>
                <w:strike/>
                <w:sz w:val="18"/>
                <w:szCs w:val="18"/>
              </w:rPr>
            </w:pPr>
            <w:r>
              <w:rPr>
                <w:i/>
                <w:color w:val="FF0000"/>
                <w:sz w:val="18"/>
                <w:szCs w:val="18"/>
              </w:rPr>
              <w:t>Veuillez supprimer cette ligne une fois le cadre logique achevé</w:t>
            </w:r>
            <w:r>
              <w:rPr>
                <w:i/>
                <w:sz w:val="18"/>
                <w:szCs w:val="18"/>
              </w:rPr>
              <w:t>.</w:t>
            </w:r>
          </w:p>
        </w:tc>
        <w:tc>
          <w:tcPr>
            <w:tcW w:w="0" w:type="auto"/>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 xml:space="preserve">(voir ci-dessus) </w:t>
            </w:r>
          </w:p>
        </w:tc>
        <w:tc>
          <w:tcPr>
            <w:tcW w:w="0" w:type="auto"/>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 xml:space="preserve">(voir ci-dessus) </w:t>
            </w:r>
          </w:p>
        </w:tc>
        <w:tc>
          <w:tcPr>
            <w:tcW w:w="0" w:type="auto"/>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 xml:space="preserve">(voir ci-dessus) </w:t>
            </w:r>
          </w:p>
        </w:tc>
        <w:tc>
          <w:tcPr>
            <w:tcW w:w="0" w:type="auto"/>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 xml:space="preserve">(voir ci-dessus) </w:t>
            </w:r>
          </w:p>
        </w:tc>
        <w:tc>
          <w:tcPr>
            <w:tcW w:w="0" w:type="auto"/>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 xml:space="preserve">(voir ci-dessus) </w:t>
            </w:r>
          </w:p>
        </w:tc>
        <w:tc>
          <w:tcPr>
            <w:tcW w:w="0" w:type="auto"/>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Conditions externes nécessaires et positives pour la mise en œuvre de l’intervention qui échappent au contrôle des personnes chargées de la gestion de cette dernière.</w:t>
            </w:r>
          </w:p>
        </w:tc>
      </w:tr>
      <w:tr w:rsidR="00C40511" w:rsidRPr="00A57801" w:rsidTr="00A57801">
        <w:trPr>
          <w:trHeight w:val="730"/>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FFFFFF" w:themeFill="background1"/>
          </w:tcPr>
          <w:p w:rsidR="00C40511" w:rsidRPr="007310BD" w:rsidRDefault="00C40511" w:rsidP="00A57801">
            <w:pPr>
              <w:tabs>
                <w:tab w:val="left" w:pos="0"/>
                <w:tab w:val="left" w:pos="132"/>
              </w:tabs>
              <w:spacing w:after="0"/>
              <w:rPr>
                <w:rFonts w:eastAsia="Calibri"/>
                <w:sz w:val="18"/>
                <w:szCs w:val="18"/>
              </w:rPr>
            </w:pPr>
            <w:r>
              <w:rPr>
                <w:sz w:val="18"/>
                <w:szCs w:val="18"/>
              </w:rPr>
              <w:t>1.1 Produit 1 lié à la réalisation nº 1</w:t>
            </w:r>
          </w:p>
        </w:tc>
        <w:tc>
          <w:tcPr>
            <w:tcW w:w="0" w:type="auto"/>
            <w:shd w:val="clear" w:color="auto" w:fill="FFFFFF" w:themeFill="background1"/>
          </w:tcPr>
          <w:p w:rsidR="00C40511" w:rsidRPr="007310BD" w:rsidRDefault="00C40511" w:rsidP="00A57801">
            <w:pPr>
              <w:autoSpaceDE w:val="0"/>
              <w:autoSpaceDN w:val="0"/>
              <w:adjustRightInd w:val="0"/>
              <w:spacing w:before="60" w:afterLines="60" w:after="144"/>
              <w:jc w:val="left"/>
              <w:rPr>
                <w:sz w:val="18"/>
                <w:szCs w:val="18"/>
                <w:u w:val="single"/>
              </w:rPr>
            </w:pPr>
            <w:r>
              <w:rPr>
                <w:sz w:val="18"/>
                <w:szCs w:val="18"/>
                <w:u w:val="single"/>
              </w:rPr>
              <w:t xml:space="preserve">1.1.1 Indicateur 1 concernant le produit 1 </w:t>
            </w:r>
          </w:p>
        </w:tc>
        <w:tc>
          <w:tcPr>
            <w:tcW w:w="0" w:type="auto"/>
            <w:shd w:val="clear" w:color="auto" w:fill="FFFFFF" w:themeFill="background1"/>
          </w:tcPr>
          <w:p w:rsidR="00C40511" w:rsidRPr="007310BD" w:rsidRDefault="00C40511" w:rsidP="00A57801">
            <w:pPr>
              <w:spacing w:before="60" w:afterLines="60" w:after="144"/>
              <w:jc w:val="left"/>
              <w:rPr>
                <w:sz w:val="18"/>
                <w:szCs w:val="18"/>
                <w:u w:val="single"/>
              </w:rPr>
            </w:pPr>
            <w:r>
              <w:rPr>
                <w:sz w:val="18"/>
                <w:szCs w:val="18"/>
                <w:u w:val="single"/>
              </w:rPr>
              <w:t>1.1.1 Valeur de référence pour l’indicateur 1.1.1</w:t>
            </w:r>
            <w:r>
              <w:rPr>
                <w:sz w:val="18"/>
                <w:szCs w:val="18"/>
              </w:rPr>
              <w:t xml:space="preserve"> (même unité de mesure)</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1.1.1</w:t>
            </w:r>
            <w:r>
              <w:rPr>
                <w:sz w:val="18"/>
                <w:szCs w:val="18"/>
                <w:u w:val="single"/>
              </w:rPr>
              <w:t xml:space="preserve"> Cible pour l’indicateur 1.1.1 </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1.1.1</w:t>
            </w:r>
            <w:r>
              <w:rPr>
                <w:sz w:val="18"/>
                <w:szCs w:val="18"/>
                <w:u w:val="single"/>
              </w:rPr>
              <w:t xml:space="preserve"> Valeur actuelle pour l’indicateur 1.1.1</w:t>
            </w:r>
          </w:p>
        </w:tc>
        <w:tc>
          <w:tcPr>
            <w:tcW w:w="0" w:type="auto"/>
            <w:shd w:val="clear" w:color="auto" w:fill="FFFFFF" w:themeFill="background1"/>
          </w:tcPr>
          <w:p w:rsidR="00C40511" w:rsidRPr="00AF5182" w:rsidRDefault="00C40511" w:rsidP="0090635E">
            <w:pPr>
              <w:autoSpaceDE w:val="0"/>
              <w:autoSpaceDN w:val="0"/>
              <w:adjustRightInd w:val="0"/>
              <w:spacing w:before="60" w:afterLines="60" w:after="144"/>
              <w:jc w:val="left"/>
              <w:rPr>
                <w:sz w:val="18"/>
                <w:szCs w:val="18"/>
              </w:rPr>
            </w:pPr>
            <w:r>
              <w:rPr>
                <w:sz w:val="18"/>
                <w:szCs w:val="18"/>
              </w:rPr>
              <w:t>1.1.1</w:t>
            </w:r>
            <w:r>
              <w:rPr>
                <w:sz w:val="18"/>
                <w:szCs w:val="18"/>
                <w:u w:val="single"/>
              </w:rPr>
              <w:t xml:space="preserve"> Source de données pour l’indicateur 1.1.1 </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361"/>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hemeFill="background1"/>
          </w:tcPr>
          <w:p w:rsidR="00C40511" w:rsidRPr="007310BD" w:rsidRDefault="00C40511" w:rsidP="00A57801">
            <w:pPr>
              <w:tabs>
                <w:tab w:val="left" w:pos="0"/>
                <w:tab w:val="left" w:pos="132"/>
              </w:tabs>
              <w:spacing w:after="0"/>
              <w:rPr>
                <w:rFonts w:eastAsia="Calibri"/>
                <w:sz w:val="18"/>
                <w:szCs w:val="18"/>
              </w:rPr>
            </w:pPr>
          </w:p>
        </w:tc>
        <w:tc>
          <w:tcPr>
            <w:tcW w:w="0" w:type="auto"/>
            <w:shd w:val="clear" w:color="auto" w:fill="FFFFFF" w:themeFill="background1"/>
          </w:tcPr>
          <w:p w:rsidR="00C40511" w:rsidRPr="007310BD" w:rsidRDefault="00C40511" w:rsidP="00A57801">
            <w:pPr>
              <w:autoSpaceDE w:val="0"/>
              <w:autoSpaceDN w:val="0"/>
              <w:adjustRightInd w:val="0"/>
              <w:spacing w:before="60" w:afterLines="60" w:after="144"/>
              <w:jc w:val="left"/>
              <w:rPr>
                <w:sz w:val="18"/>
                <w:szCs w:val="18"/>
                <w:u w:val="single"/>
              </w:rPr>
            </w:pPr>
            <w:r>
              <w:rPr>
                <w:sz w:val="18"/>
                <w:szCs w:val="18"/>
              </w:rPr>
              <w:t>1.1.2</w:t>
            </w:r>
            <w:r>
              <w:rPr>
                <w:sz w:val="18"/>
                <w:szCs w:val="18"/>
                <w:u w:val="single"/>
              </w:rPr>
              <w:t xml:space="preserve"> Indicateur 2 concernant le produit 1 </w:t>
            </w:r>
          </w:p>
        </w:tc>
        <w:tc>
          <w:tcPr>
            <w:tcW w:w="0" w:type="auto"/>
            <w:shd w:val="clear" w:color="auto" w:fill="FFFFFF" w:themeFill="background1"/>
          </w:tcPr>
          <w:p w:rsidR="00C40511" w:rsidRPr="007310BD" w:rsidRDefault="00C40511" w:rsidP="00A57801">
            <w:pPr>
              <w:spacing w:before="60" w:afterLines="60" w:after="144"/>
              <w:jc w:val="left"/>
              <w:rPr>
                <w:sz w:val="18"/>
                <w:szCs w:val="18"/>
              </w:rPr>
            </w:pPr>
            <w:r>
              <w:rPr>
                <w:sz w:val="18"/>
                <w:szCs w:val="18"/>
              </w:rPr>
              <w:t>1.1.2</w:t>
            </w:r>
            <w:r>
              <w:rPr>
                <w:sz w:val="18"/>
                <w:szCs w:val="18"/>
                <w:u w:val="single"/>
              </w:rPr>
              <w:t xml:space="preserve"> Valeur de référence pour l’indicateur 1.1.2</w:t>
            </w:r>
            <w:r>
              <w:rPr>
                <w:sz w:val="18"/>
                <w:szCs w:val="18"/>
              </w:rPr>
              <w:t xml:space="preserve"> (même unité de mesure)</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1.1.2</w:t>
            </w:r>
            <w:r>
              <w:rPr>
                <w:sz w:val="18"/>
                <w:szCs w:val="18"/>
                <w:u w:val="single"/>
              </w:rPr>
              <w:t xml:space="preserve"> Cible pour l’indicateur 1.1.2</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1.1.2</w:t>
            </w:r>
            <w:r>
              <w:rPr>
                <w:sz w:val="18"/>
                <w:szCs w:val="18"/>
                <w:u w:val="single"/>
              </w:rPr>
              <w:t xml:space="preserve"> Valeur actuelle pour l’indicateur 1.1.2</w:t>
            </w:r>
          </w:p>
        </w:tc>
        <w:tc>
          <w:tcPr>
            <w:tcW w:w="0" w:type="auto"/>
            <w:shd w:val="clear" w:color="auto" w:fill="FFFFFF" w:themeFill="background1"/>
          </w:tcPr>
          <w:p w:rsidR="00C40511" w:rsidRPr="00AF5182" w:rsidRDefault="00C40511" w:rsidP="0090635E">
            <w:pPr>
              <w:autoSpaceDE w:val="0"/>
              <w:autoSpaceDN w:val="0"/>
              <w:adjustRightInd w:val="0"/>
              <w:spacing w:before="60" w:afterLines="60" w:after="144"/>
              <w:jc w:val="left"/>
              <w:rPr>
                <w:sz w:val="18"/>
                <w:szCs w:val="18"/>
              </w:rPr>
            </w:pPr>
            <w:r>
              <w:rPr>
                <w:sz w:val="18"/>
                <w:szCs w:val="18"/>
              </w:rPr>
              <w:t>1.1.2</w:t>
            </w:r>
            <w:r>
              <w:rPr>
                <w:sz w:val="18"/>
                <w:szCs w:val="18"/>
                <w:u w:val="single"/>
              </w:rPr>
              <w:t xml:space="preserve"> Source de données pour l’indicateur 1.1.2 </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361"/>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hemeFill="background1"/>
          </w:tcPr>
          <w:p w:rsidR="00C40511" w:rsidRPr="007310BD" w:rsidRDefault="00C40511" w:rsidP="00A57801">
            <w:pPr>
              <w:tabs>
                <w:tab w:val="left" w:pos="0"/>
                <w:tab w:val="left" w:pos="132"/>
              </w:tabs>
              <w:spacing w:after="0"/>
              <w:rPr>
                <w:rFonts w:eastAsia="Calibri"/>
                <w:sz w:val="18"/>
                <w:szCs w:val="18"/>
              </w:rPr>
            </w:pPr>
          </w:p>
        </w:tc>
        <w:tc>
          <w:tcPr>
            <w:tcW w:w="0" w:type="auto"/>
            <w:shd w:val="clear" w:color="auto" w:fill="FFFFFF" w:themeFill="background1"/>
          </w:tcPr>
          <w:p w:rsidR="00C40511" w:rsidRPr="007310BD"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FFFFFF" w:themeFill="background1"/>
          </w:tcPr>
          <w:p w:rsidR="00C40511" w:rsidRPr="00AF5182" w:rsidRDefault="00C40511" w:rsidP="00A57801">
            <w:pPr>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8E5A48">
              <w:rPr>
                <w:sz w:val="18"/>
                <w:szCs w:val="18"/>
              </w:rPr>
              <w:t>[…]</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396"/>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FFFFFF" w:themeFill="background1"/>
          </w:tcPr>
          <w:p w:rsidR="00C40511" w:rsidRPr="007310BD" w:rsidRDefault="00C40511" w:rsidP="00A57801">
            <w:pPr>
              <w:autoSpaceDE w:val="0"/>
              <w:autoSpaceDN w:val="0"/>
              <w:adjustRightInd w:val="0"/>
              <w:spacing w:before="60" w:afterLines="60" w:after="144"/>
              <w:rPr>
                <w:rFonts w:eastAsia="Calibri"/>
                <w:sz w:val="18"/>
                <w:szCs w:val="18"/>
              </w:rPr>
            </w:pPr>
            <w:r>
              <w:rPr>
                <w:sz w:val="18"/>
                <w:szCs w:val="18"/>
              </w:rPr>
              <w:t>1.2 Produit 2 lié à la réalisation nº 1</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1.2.1.</w:t>
            </w:r>
            <w:r>
              <w:rPr>
                <w:sz w:val="18"/>
                <w:szCs w:val="18"/>
                <w:u w:val="single"/>
              </w:rPr>
              <w:t xml:space="preserve"> Indicateur 1 concernant le produit 2 </w:t>
            </w:r>
          </w:p>
        </w:tc>
        <w:tc>
          <w:tcPr>
            <w:tcW w:w="0" w:type="auto"/>
            <w:shd w:val="clear" w:color="auto" w:fill="FFFFFF" w:themeFill="background1"/>
          </w:tcPr>
          <w:p w:rsidR="00C40511" w:rsidRPr="007310BD" w:rsidRDefault="00C40511" w:rsidP="00A57801">
            <w:pPr>
              <w:spacing w:before="60" w:afterLines="60" w:after="144"/>
              <w:jc w:val="left"/>
              <w:rPr>
                <w:sz w:val="18"/>
                <w:szCs w:val="18"/>
                <w:u w:val="single"/>
              </w:rPr>
            </w:pPr>
            <w:r>
              <w:rPr>
                <w:sz w:val="18"/>
                <w:szCs w:val="18"/>
              </w:rPr>
              <w:t>1.2.1.</w:t>
            </w:r>
            <w:r>
              <w:rPr>
                <w:sz w:val="18"/>
                <w:szCs w:val="18"/>
                <w:u w:val="single"/>
              </w:rPr>
              <w:t xml:space="preserve"> Valeur de référence pour l’indicateur 1.2.1</w:t>
            </w:r>
            <w:r>
              <w:rPr>
                <w:sz w:val="18"/>
                <w:szCs w:val="18"/>
              </w:rPr>
              <w:t xml:space="preserve"> (même unité de mesure)</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1.2.1.</w:t>
            </w:r>
            <w:r>
              <w:rPr>
                <w:sz w:val="18"/>
                <w:szCs w:val="18"/>
                <w:u w:val="single"/>
              </w:rPr>
              <w:t xml:space="preserve"> Cible pour l’indicateur 1.2.1</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1.2.1.</w:t>
            </w:r>
            <w:r>
              <w:rPr>
                <w:sz w:val="18"/>
                <w:szCs w:val="18"/>
                <w:u w:val="single"/>
              </w:rPr>
              <w:t xml:space="preserve"> Valeur actuelle pour l’indicateur 1.2.1</w:t>
            </w:r>
          </w:p>
        </w:tc>
        <w:tc>
          <w:tcPr>
            <w:tcW w:w="0" w:type="auto"/>
            <w:shd w:val="clear" w:color="auto" w:fill="FFFFFF" w:themeFill="background1"/>
          </w:tcPr>
          <w:p w:rsidR="00C40511" w:rsidRPr="00AF5182" w:rsidRDefault="00C40511" w:rsidP="0090635E">
            <w:pPr>
              <w:autoSpaceDE w:val="0"/>
              <w:autoSpaceDN w:val="0"/>
              <w:adjustRightInd w:val="0"/>
              <w:spacing w:before="60" w:afterLines="60" w:after="144"/>
              <w:jc w:val="left"/>
              <w:rPr>
                <w:sz w:val="18"/>
                <w:szCs w:val="18"/>
              </w:rPr>
            </w:pPr>
            <w:r>
              <w:rPr>
                <w:sz w:val="18"/>
                <w:szCs w:val="18"/>
              </w:rPr>
              <w:t>1.2.1.</w:t>
            </w:r>
            <w:r>
              <w:rPr>
                <w:sz w:val="18"/>
                <w:szCs w:val="18"/>
                <w:u w:val="single"/>
              </w:rPr>
              <w:t xml:space="preserve"> Source de données pour l’indicateur 1.2.1 </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396"/>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hemeFill="background1"/>
          </w:tcPr>
          <w:p w:rsidR="00C40511" w:rsidRPr="007310BD" w:rsidRDefault="00C40511" w:rsidP="00A57801">
            <w:pPr>
              <w:autoSpaceDE w:val="0"/>
              <w:autoSpaceDN w:val="0"/>
              <w:adjustRightInd w:val="0"/>
              <w:spacing w:before="60" w:afterLines="60" w:after="144"/>
              <w:rPr>
                <w:sz w:val="18"/>
                <w:szCs w:val="18"/>
              </w:rPr>
            </w:pP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1.2.2</w:t>
            </w:r>
            <w:r>
              <w:rPr>
                <w:sz w:val="18"/>
                <w:szCs w:val="18"/>
                <w:u w:val="single"/>
              </w:rPr>
              <w:t xml:space="preserve"> Indicateur 2 concernant le produit 2 </w:t>
            </w:r>
          </w:p>
        </w:tc>
        <w:tc>
          <w:tcPr>
            <w:tcW w:w="0" w:type="auto"/>
            <w:shd w:val="clear" w:color="auto" w:fill="FFFFFF" w:themeFill="background1"/>
          </w:tcPr>
          <w:p w:rsidR="00C40511" w:rsidRPr="007310BD" w:rsidRDefault="00C40511" w:rsidP="00A57801">
            <w:pPr>
              <w:spacing w:before="60" w:afterLines="60" w:after="144"/>
              <w:jc w:val="left"/>
              <w:rPr>
                <w:sz w:val="18"/>
                <w:szCs w:val="18"/>
                <w:u w:val="single"/>
              </w:rPr>
            </w:pPr>
            <w:r>
              <w:rPr>
                <w:sz w:val="18"/>
                <w:szCs w:val="18"/>
              </w:rPr>
              <w:t>1.2.2</w:t>
            </w:r>
            <w:r>
              <w:rPr>
                <w:sz w:val="18"/>
                <w:szCs w:val="18"/>
                <w:u w:val="single"/>
              </w:rPr>
              <w:t xml:space="preserve"> Valeur de référence pour l’indicateur 1.2.2</w:t>
            </w:r>
            <w:r>
              <w:rPr>
                <w:sz w:val="18"/>
                <w:szCs w:val="18"/>
              </w:rPr>
              <w:t xml:space="preserve"> (même unité de mesure)</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1.2.2</w:t>
            </w:r>
            <w:r>
              <w:rPr>
                <w:sz w:val="18"/>
                <w:szCs w:val="18"/>
                <w:u w:val="single"/>
              </w:rPr>
              <w:t xml:space="preserve"> Cible pour l’indicateur 1.2.2</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1.2.2</w:t>
            </w:r>
            <w:r>
              <w:rPr>
                <w:sz w:val="18"/>
                <w:szCs w:val="18"/>
                <w:u w:val="single"/>
              </w:rPr>
              <w:t xml:space="preserve"> Valeur actuelle pour l’indicateur 1.2.2</w:t>
            </w:r>
          </w:p>
        </w:tc>
        <w:tc>
          <w:tcPr>
            <w:tcW w:w="0" w:type="auto"/>
            <w:shd w:val="clear" w:color="auto" w:fill="FFFFFF" w:themeFill="background1"/>
          </w:tcPr>
          <w:p w:rsidR="00C40511" w:rsidRPr="00AF5182" w:rsidRDefault="00C40511" w:rsidP="0090635E">
            <w:pPr>
              <w:autoSpaceDE w:val="0"/>
              <w:autoSpaceDN w:val="0"/>
              <w:adjustRightInd w:val="0"/>
              <w:spacing w:before="60" w:afterLines="60" w:after="144"/>
              <w:jc w:val="left"/>
              <w:rPr>
                <w:sz w:val="18"/>
                <w:szCs w:val="18"/>
              </w:rPr>
            </w:pPr>
            <w:r>
              <w:rPr>
                <w:sz w:val="18"/>
                <w:szCs w:val="18"/>
              </w:rPr>
              <w:t>1.2.2</w:t>
            </w:r>
            <w:r>
              <w:rPr>
                <w:sz w:val="18"/>
                <w:szCs w:val="18"/>
                <w:u w:val="single"/>
              </w:rPr>
              <w:t xml:space="preserve"> Source de données pour l’indicateur 1.2.2 </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396"/>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hemeFill="background1"/>
          </w:tcPr>
          <w:p w:rsidR="00C40511" w:rsidRPr="007310BD" w:rsidRDefault="00C40511" w:rsidP="00A57801">
            <w:pPr>
              <w:autoSpaceDE w:val="0"/>
              <w:autoSpaceDN w:val="0"/>
              <w:adjustRightInd w:val="0"/>
              <w:spacing w:before="60" w:afterLines="60" w:after="144"/>
              <w:rPr>
                <w:sz w:val="18"/>
                <w:szCs w:val="18"/>
              </w:rPr>
            </w:pPr>
          </w:p>
        </w:tc>
        <w:tc>
          <w:tcPr>
            <w:tcW w:w="0" w:type="auto"/>
            <w:shd w:val="clear" w:color="auto" w:fill="FFFFFF" w:themeFill="background1"/>
          </w:tcPr>
          <w:p w:rsidR="00C40511" w:rsidRPr="00AF5182"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8E5A48">
              <w:rPr>
                <w:sz w:val="18"/>
                <w:szCs w:val="18"/>
              </w:rPr>
              <w:t>[…]</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407"/>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val="restart"/>
            <w:tcBorders>
              <w:top w:val="single" w:sz="4" w:space="0" w:color="auto"/>
              <w:right w:val="single" w:sz="4" w:space="0" w:color="auto"/>
            </w:tcBorders>
            <w:shd w:val="clear" w:color="auto" w:fill="FFFFFF" w:themeFill="background1"/>
          </w:tcPr>
          <w:p w:rsidR="00C40511" w:rsidRPr="007310BD" w:rsidRDefault="00C40511" w:rsidP="00A57801">
            <w:pPr>
              <w:tabs>
                <w:tab w:val="left" w:pos="0"/>
                <w:tab w:val="left" w:pos="132"/>
              </w:tabs>
              <w:spacing w:after="0"/>
              <w:rPr>
                <w:rFonts w:eastAsia="Calibri"/>
                <w:sz w:val="18"/>
                <w:szCs w:val="18"/>
              </w:rPr>
            </w:pPr>
            <w:r>
              <w:rPr>
                <w:sz w:val="18"/>
                <w:szCs w:val="18"/>
              </w:rPr>
              <w:t>2.1 Produit 1 lié à la réalisation nº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2.1.1</w:t>
            </w:r>
            <w:r>
              <w:rPr>
                <w:sz w:val="18"/>
                <w:szCs w:val="18"/>
                <w:u w:val="single"/>
              </w:rPr>
              <w:t xml:space="preserve"> Indicateur 1 concernant le produit 1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7310BD" w:rsidRDefault="00C40511" w:rsidP="00A57801">
            <w:pPr>
              <w:spacing w:before="60" w:afterLines="60" w:after="144"/>
              <w:jc w:val="left"/>
              <w:rPr>
                <w:sz w:val="18"/>
                <w:szCs w:val="18"/>
                <w:u w:val="single"/>
              </w:rPr>
            </w:pPr>
            <w:r>
              <w:rPr>
                <w:sz w:val="18"/>
                <w:szCs w:val="18"/>
              </w:rPr>
              <w:t>2.1.1</w:t>
            </w:r>
            <w:r>
              <w:rPr>
                <w:sz w:val="18"/>
                <w:szCs w:val="18"/>
                <w:u w:val="single"/>
              </w:rPr>
              <w:t xml:space="preserve"> Valeur de référence pour l’indicateur 2.1.1</w:t>
            </w:r>
            <w:r>
              <w:rPr>
                <w:sz w:val="18"/>
                <w:szCs w:val="18"/>
              </w:rPr>
              <w:t xml:space="preserve"> (même unité de mesure)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2.1.1</w:t>
            </w:r>
            <w:r>
              <w:rPr>
                <w:sz w:val="18"/>
                <w:szCs w:val="18"/>
                <w:u w:val="single"/>
              </w:rPr>
              <w:t xml:space="preserve"> Cible pour l’indicateur 2.1.1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2.1.1</w:t>
            </w:r>
            <w:r>
              <w:rPr>
                <w:sz w:val="18"/>
                <w:szCs w:val="18"/>
                <w:u w:val="single"/>
              </w:rPr>
              <w:t xml:space="preserve"> Valeur actuelle pour l’indicateur 2.1.1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90635E">
            <w:pPr>
              <w:autoSpaceDE w:val="0"/>
              <w:autoSpaceDN w:val="0"/>
              <w:adjustRightInd w:val="0"/>
              <w:spacing w:before="60" w:afterLines="60" w:after="144"/>
              <w:jc w:val="left"/>
              <w:rPr>
                <w:sz w:val="18"/>
                <w:szCs w:val="18"/>
              </w:rPr>
            </w:pPr>
            <w:r>
              <w:rPr>
                <w:sz w:val="18"/>
                <w:szCs w:val="18"/>
              </w:rPr>
              <w:t>2.1.1</w:t>
            </w:r>
            <w:r>
              <w:rPr>
                <w:sz w:val="18"/>
                <w:szCs w:val="18"/>
                <w:u w:val="single"/>
              </w:rPr>
              <w:t xml:space="preserve"> Source de données pour l’indicateur 2.1.1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407"/>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tcBorders>
              <w:right w:val="single" w:sz="4" w:space="0" w:color="auto"/>
            </w:tcBorders>
            <w:shd w:val="clear" w:color="auto" w:fill="FFFFFF" w:themeFill="background1"/>
          </w:tcPr>
          <w:p w:rsidR="00C40511" w:rsidRPr="00A57801" w:rsidRDefault="00C40511" w:rsidP="00A57801">
            <w:pPr>
              <w:tabs>
                <w:tab w:val="left" w:pos="0"/>
                <w:tab w:val="left" w:pos="132"/>
              </w:tabs>
              <w:spacing w:after="0"/>
              <w:rPr>
                <w:rFonts w:eastAsia="Calibri"/>
                <w:color w:val="0D0D0D"/>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2.1.2</w:t>
            </w:r>
            <w:r>
              <w:rPr>
                <w:sz w:val="18"/>
                <w:szCs w:val="18"/>
                <w:u w:val="single"/>
              </w:rPr>
              <w:t xml:space="preserve"> Indicateur 2 concernant le produit 1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7310BD" w:rsidRDefault="00C40511" w:rsidP="00A57801">
            <w:pPr>
              <w:spacing w:before="60" w:afterLines="60" w:after="144"/>
              <w:jc w:val="left"/>
              <w:rPr>
                <w:sz w:val="18"/>
                <w:szCs w:val="18"/>
                <w:u w:val="single"/>
              </w:rPr>
            </w:pPr>
            <w:r>
              <w:rPr>
                <w:sz w:val="18"/>
                <w:szCs w:val="18"/>
              </w:rPr>
              <w:t>2.1.2</w:t>
            </w:r>
            <w:r>
              <w:rPr>
                <w:sz w:val="18"/>
                <w:szCs w:val="18"/>
                <w:u w:val="single"/>
              </w:rPr>
              <w:t xml:space="preserve"> Valeur de référence pour l’indicateur 2.1.2</w:t>
            </w:r>
            <w:r>
              <w:rPr>
                <w:sz w:val="18"/>
                <w:szCs w:val="18"/>
              </w:rPr>
              <w:t xml:space="preserve"> (même unité de mesure)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2.1.2</w:t>
            </w:r>
            <w:r>
              <w:rPr>
                <w:sz w:val="18"/>
                <w:szCs w:val="18"/>
                <w:u w:val="single"/>
              </w:rPr>
              <w:t xml:space="preserve"> Cible pour l’indicateur 2.1.2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2.1.2</w:t>
            </w:r>
            <w:r>
              <w:rPr>
                <w:sz w:val="18"/>
                <w:szCs w:val="18"/>
                <w:u w:val="single"/>
              </w:rPr>
              <w:t xml:space="preserve"> Valeur actuelle pour l’indicateur 2.1.2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90635E">
            <w:pPr>
              <w:autoSpaceDE w:val="0"/>
              <w:autoSpaceDN w:val="0"/>
              <w:adjustRightInd w:val="0"/>
              <w:spacing w:before="60" w:afterLines="60" w:after="144"/>
              <w:jc w:val="left"/>
              <w:rPr>
                <w:sz w:val="18"/>
                <w:szCs w:val="18"/>
              </w:rPr>
            </w:pPr>
            <w:r>
              <w:rPr>
                <w:sz w:val="18"/>
                <w:szCs w:val="18"/>
              </w:rPr>
              <w:t>2.1.2</w:t>
            </w:r>
            <w:r>
              <w:rPr>
                <w:sz w:val="18"/>
                <w:szCs w:val="18"/>
                <w:u w:val="single"/>
              </w:rPr>
              <w:t xml:space="preserve"> Source de données pour l’indicateur 2.1.2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407"/>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tcBorders>
              <w:bottom w:val="single" w:sz="4" w:space="0" w:color="auto"/>
              <w:right w:val="single" w:sz="4" w:space="0" w:color="auto"/>
            </w:tcBorders>
            <w:shd w:val="clear" w:color="auto" w:fill="FFFFFF" w:themeFill="background1"/>
          </w:tcPr>
          <w:p w:rsidR="00C40511" w:rsidRPr="00A57801" w:rsidRDefault="00C40511" w:rsidP="00A57801">
            <w:pPr>
              <w:tabs>
                <w:tab w:val="left" w:pos="0"/>
                <w:tab w:val="left" w:pos="132"/>
              </w:tabs>
              <w:spacing w:after="0"/>
              <w:rPr>
                <w:rFonts w:eastAsia="Calibri"/>
                <w:i/>
                <w:color w:val="0D0D0D"/>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8E5A48">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407"/>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val="restart"/>
            <w:tcBorders>
              <w:top w:val="single" w:sz="4" w:space="0" w:color="auto"/>
              <w:right w:val="single" w:sz="4" w:space="0" w:color="auto"/>
            </w:tcBorders>
            <w:shd w:val="clear" w:color="auto" w:fill="FFFFFF" w:themeFill="background1"/>
          </w:tcPr>
          <w:p w:rsidR="00C40511" w:rsidRPr="007310BD" w:rsidRDefault="00C40511" w:rsidP="00A57801">
            <w:pPr>
              <w:tabs>
                <w:tab w:val="left" w:pos="0"/>
                <w:tab w:val="left" w:pos="132"/>
              </w:tabs>
              <w:spacing w:after="0"/>
              <w:rPr>
                <w:rFonts w:eastAsia="Calibri"/>
                <w:sz w:val="18"/>
                <w:szCs w:val="18"/>
              </w:rPr>
            </w:pPr>
            <w:r>
              <w:rPr>
                <w:sz w:val="18"/>
                <w:szCs w:val="18"/>
              </w:rPr>
              <w:t>2.2 Produit 2 lié à la réalisation nº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2.2.1</w:t>
            </w:r>
            <w:r>
              <w:rPr>
                <w:sz w:val="18"/>
                <w:szCs w:val="18"/>
                <w:u w:val="single"/>
              </w:rPr>
              <w:t xml:space="preserve"> Indicateur 1 concernant le produit 2 lié à la réalisation nº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7310BD" w:rsidRDefault="00C40511" w:rsidP="00A57801">
            <w:pPr>
              <w:spacing w:before="60" w:afterLines="60" w:after="144"/>
              <w:jc w:val="left"/>
              <w:rPr>
                <w:sz w:val="18"/>
                <w:szCs w:val="18"/>
                <w:u w:val="single"/>
              </w:rPr>
            </w:pPr>
            <w:r>
              <w:rPr>
                <w:sz w:val="18"/>
                <w:szCs w:val="18"/>
              </w:rPr>
              <w:t>2.2.1</w:t>
            </w:r>
            <w:r>
              <w:rPr>
                <w:sz w:val="18"/>
                <w:szCs w:val="18"/>
                <w:u w:val="single"/>
              </w:rPr>
              <w:t xml:space="preserve"> Valeur de référence pour l’indicateur 2.2.1</w:t>
            </w:r>
            <w:r>
              <w:rPr>
                <w:sz w:val="18"/>
                <w:szCs w:val="18"/>
              </w:rPr>
              <w:t xml:space="preserve"> (même unité de mesure)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2.2.1</w:t>
            </w:r>
            <w:r>
              <w:rPr>
                <w:sz w:val="18"/>
                <w:szCs w:val="18"/>
                <w:u w:val="single"/>
              </w:rPr>
              <w:t xml:space="preserve"> Cible pour l’indicateur 2.2.1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2.2.1</w:t>
            </w:r>
            <w:r>
              <w:rPr>
                <w:sz w:val="18"/>
                <w:szCs w:val="18"/>
                <w:u w:val="single"/>
              </w:rPr>
              <w:t xml:space="preserve"> Valeur actuelle pour l’indicateur 2.2.1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90635E">
            <w:pPr>
              <w:autoSpaceDE w:val="0"/>
              <w:autoSpaceDN w:val="0"/>
              <w:adjustRightInd w:val="0"/>
              <w:spacing w:before="60" w:afterLines="60" w:after="144"/>
              <w:jc w:val="left"/>
              <w:rPr>
                <w:sz w:val="18"/>
                <w:szCs w:val="18"/>
              </w:rPr>
            </w:pPr>
            <w:r>
              <w:rPr>
                <w:sz w:val="18"/>
                <w:szCs w:val="18"/>
              </w:rPr>
              <w:t>2.2.1</w:t>
            </w:r>
            <w:r>
              <w:rPr>
                <w:sz w:val="18"/>
                <w:szCs w:val="18"/>
                <w:u w:val="single"/>
              </w:rPr>
              <w:t xml:space="preserve"> Source de données pour l’indicateur 2.2.1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353"/>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tcBorders>
              <w:right w:val="single" w:sz="4" w:space="0" w:color="auto"/>
            </w:tcBorders>
            <w:shd w:val="clear" w:color="auto" w:fill="FFFFFF" w:themeFill="background1"/>
          </w:tcPr>
          <w:p w:rsidR="00C40511" w:rsidRPr="007310BD" w:rsidRDefault="00C40511" w:rsidP="00A57801">
            <w:pPr>
              <w:autoSpaceDE w:val="0"/>
              <w:autoSpaceDN w:val="0"/>
              <w:adjustRightInd w:val="0"/>
              <w:spacing w:before="60" w:afterLines="60" w:after="144"/>
              <w:rPr>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2.2.2</w:t>
            </w:r>
            <w:r>
              <w:rPr>
                <w:sz w:val="18"/>
                <w:szCs w:val="18"/>
                <w:u w:val="single"/>
              </w:rPr>
              <w:t xml:space="preserve"> Indicateur 2 concernant le produit 2 lié à la réalisation nº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7310BD" w:rsidRDefault="00C40511" w:rsidP="00A57801">
            <w:pPr>
              <w:spacing w:before="60" w:afterLines="60" w:after="144"/>
              <w:jc w:val="left"/>
              <w:rPr>
                <w:sz w:val="18"/>
                <w:szCs w:val="18"/>
                <w:u w:val="single"/>
              </w:rPr>
            </w:pPr>
            <w:r>
              <w:rPr>
                <w:sz w:val="18"/>
                <w:szCs w:val="18"/>
              </w:rPr>
              <w:t>2.2.2</w:t>
            </w:r>
            <w:r>
              <w:rPr>
                <w:sz w:val="18"/>
                <w:szCs w:val="18"/>
                <w:u w:val="single"/>
              </w:rPr>
              <w:t xml:space="preserve"> Valeur de référence pour l’indicateur 2.1.2</w:t>
            </w:r>
            <w:r>
              <w:rPr>
                <w:sz w:val="18"/>
                <w:szCs w:val="18"/>
              </w:rPr>
              <w:t xml:space="preserve"> (même unité de mesure)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2.2.2</w:t>
            </w:r>
            <w:r>
              <w:rPr>
                <w:sz w:val="18"/>
                <w:szCs w:val="18"/>
                <w:u w:val="single"/>
              </w:rPr>
              <w:t xml:space="preserve"> Cible pour l’indicateur 2.2.2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2.2.2</w:t>
            </w:r>
            <w:r>
              <w:rPr>
                <w:sz w:val="18"/>
                <w:szCs w:val="18"/>
                <w:u w:val="single"/>
              </w:rPr>
              <w:t xml:space="preserve"> Valeur actuelle pour l’indicateur 2.2.2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90635E">
            <w:pPr>
              <w:autoSpaceDE w:val="0"/>
              <w:autoSpaceDN w:val="0"/>
              <w:adjustRightInd w:val="0"/>
              <w:spacing w:before="60" w:afterLines="60" w:after="144"/>
              <w:jc w:val="left"/>
              <w:rPr>
                <w:sz w:val="18"/>
                <w:szCs w:val="18"/>
              </w:rPr>
            </w:pPr>
            <w:r>
              <w:rPr>
                <w:sz w:val="18"/>
                <w:szCs w:val="18"/>
              </w:rPr>
              <w:t>2.2.2</w:t>
            </w:r>
            <w:r>
              <w:rPr>
                <w:sz w:val="18"/>
                <w:szCs w:val="18"/>
                <w:u w:val="single"/>
              </w:rPr>
              <w:t xml:space="preserve"> Source de données pour l’indicateur 2.2.2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353"/>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tcBorders>
              <w:bottom w:val="single" w:sz="4" w:space="0" w:color="auto"/>
              <w:right w:val="single" w:sz="4" w:space="0" w:color="auto"/>
            </w:tcBorders>
            <w:shd w:val="clear" w:color="auto" w:fill="FFFFFF" w:themeFill="background1"/>
          </w:tcPr>
          <w:p w:rsidR="00C40511" w:rsidRPr="007310BD" w:rsidRDefault="00C40511" w:rsidP="00A57801">
            <w:pPr>
              <w:autoSpaceDE w:val="0"/>
              <w:autoSpaceDN w:val="0"/>
              <w:adjustRightInd w:val="0"/>
              <w:spacing w:before="60" w:afterLines="60" w:after="144"/>
              <w:rPr>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E208E2" w:rsidP="00A57801">
            <w:pPr>
              <w:spacing w:before="60" w:afterLines="60" w:after="144"/>
              <w:jc w:val="left"/>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8E5A48" w:rsidP="00A57801">
            <w:pPr>
              <w:autoSpaceDE w:val="0"/>
              <w:autoSpaceDN w:val="0"/>
              <w:adjustRightInd w:val="0"/>
              <w:spacing w:before="60" w:afterLines="60" w:after="144"/>
              <w:jc w:val="left"/>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353"/>
          <w:jc w:val="center"/>
        </w:trPr>
        <w:tc>
          <w:tcPr>
            <w:tcW w:w="0" w:type="auto"/>
            <w:vMerge/>
            <w:tcBorders>
              <w:bottom w:val="single" w:sz="4" w:space="0" w:color="auto"/>
            </w:tcBorders>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tcBorders>
              <w:top w:val="single" w:sz="4" w:space="0" w:color="auto"/>
              <w:bottom w:val="single" w:sz="4" w:space="0" w:color="auto"/>
              <w:right w:val="single" w:sz="4" w:space="0" w:color="auto"/>
            </w:tcBorders>
            <w:shd w:val="clear" w:color="auto" w:fill="FFFFFF" w:themeFill="background1"/>
          </w:tcPr>
          <w:p w:rsidR="00C40511" w:rsidRPr="007310BD" w:rsidRDefault="00C40511" w:rsidP="00A57801">
            <w:pPr>
              <w:autoSpaceDE w:val="0"/>
              <w:autoSpaceDN w:val="0"/>
              <w:adjustRightInd w:val="0"/>
              <w:spacing w:before="60" w:afterLines="60" w:after="144"/>
              <w:rPr>
                <w:b/>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bl>
    <w:p w:rsidR="00E74C76" w:rsidRDefault="00E74C76" w:rsidP="007310BD"/>
    <w:p w:rsidR="004A15A3" w:rsidRPr="00FC49F3" w:rsidRDefault="00BD4D11" w:rsidP="004A15A3">
      <w:pPr>
        <w:pStyle w:val="ListParagraph"/>
        <w:ind w:left="0"/>
        <w:rPr>
          <w:rFonts w:ascii="Times New Roman" w:hAnsi="Times New Roman"/>
          <w:b/>
          <w:i/>
        </w:rPr>
      </w:pPr>
      <w:r>
        <w:br w:type="column"/>
      </w:r>
      <w:r>
        <w:rPr>
          <w:rFonts w:ascii="Times New Roman" w:hAnsi="Times New Roman"/>
          <w:b/>
          <w:i/>
        </w:rPr>
        <w:lastRenderedPageBreak/>
        <w:t>Matrice des activités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9471"/>
        <w:gridCol w:w="1509"/>
      </w:tblGrid>
      <w:tr w:rsidR="004A15A3" w:rsidRPr="00757B91" w:rsidTr="00006A34">
        <w:trPr>
          <w:cantSplit/>
          <w:trHeight w:val="558"/>
        </w:trPr>
        <w:tc>
          <w:tcPr>
            <w:tcW w:w="1077" w:type="pct"/>
            <w:shd w:val="clear" w:color="auto" w:fill="FFFFFF"/>
          </w:tcPr>
          <w:p w:rsidR="004A15A3" w:rsidRPr="00200A49" w:rsidRDefault="004A15A3" w:rsidP="00006A34">
            <w:pPr>
              <w:spacing w:after="0"/>
              <w:rPr>
                <w:i/>
                <w:iCs/>
                <w:strike/>
                <w:sz w:val="20"/>
              </w:rPr>
            </w:pPr>
            <w:r>
              <w:rPr>
                <w:i/>
                <w:iCs/>
                <w:sz w:val="20"/>
              </w:rPr>
              <w:t xml:space="preserve">Quelles sont les activités clés à mettre en œuvre pour parvenir aux produits recherchés? </w:t>
            </w:r>
          </w:p>
          <w:p w:rsidR="004A15A3" w:rsidRPr="00200A49" w:rsidRDefault="004A15A3" w:rsidP="00006A34">
            <w:pPr>
              <w:spacing w:after="0"/>
              <w:rPr>
                <w:i/>
                <w:strike/>
                <w:sz w:val="20"/>
              </w:rPr>
            </w:pPr>
          </w:p>
          <w:p w:rsidR="004A15A3" w:rsidRPr="00200A49" w:rsidRDefault="004A15A3" w:rsidP="009A11E8">
            <w:pPr>
              <w:spacing w:after="0"/>
              <w:rPr>
                <w:i/>
                <w:sz w:val="20"/>
              </w:rPr>
            </w:pPr>
            <w:r>
              <w:rPr>
                <w:i/>
                <w:sz w:val="20"/>
              </w:rPr>
              <w:t>(*les activités devraient être mises en relation avec le ou les produits correspondants grâce à une numérotation claire)</w:t>
            </w:r>
          </w:p>
        </w:tc>
        <w:tc>
          <w:tcPr>
            <w:tcW w:w="3384" w:type="pct"/>
            <w:shd w:val="clear" w:color="auto" w:fill="FFFFFF"/>
          </w:tcPr>
          <w:p w:rsidR="004A15A3" w:rsidRPr="00200A49" w:rsidRDefault="00E00F2D" w:rsidP="00006A34">
            <w:pPr>
              <w:spacing w:after="0"/>
              <w:rPr>
                <w:b/>
                <w:bCs/>
                <w:i/>
                <w:iCs/>
                <w:sz w:val="20"/>
              </w:rPr>
            </w:pPr>
            <w:r>
              <w:rPr>
                <w:b/>
                <w:bCs/>
                <w:i/>
                <w:iCs/>
                <w:sz w:val="20"/>
              </w:rPr>
              <w:t>Moyens</w:t>
            </w:r>
          </w:p>
          <w:p w:rsidR="004A15A3" w:rsidRPr="00200A49" w:rsidRDefault="004A15A3" w:rsidP="00006A34">
            <w:pPr>
              <w:spacing w:after="0"/>
              <w:rPr>
                <w:i/>
                <w:iCs/>
                <w:sz w:val="20"/>
              </w:rPr>
            </w:pPr>
            <w:r>
              <w:rPr>
                <w:i/>
                <w:iCs/>
                <w:sz w:val="20"/>
              </w:rPr>
              <w:t>Quelles sont les ressources politiques, techniques, financières, humaines et matérielles nécessaires à la mise en œuvre de ces activités (personnel, équipements, fournitures, infrastructures opérationnelles,</w:t>
            </w:r>
            <w:r w:rsidR="00E208E2">
              <w:rPr>
                <w:i/>
                <w:iCs/>
                <w:sz w:val="20"/>
              </w:rPr>
              <w:t> </w:t>
            </w:r>
            <w:r>
              <w:rPr>
                <w:i/>
                <w:iCs/>
                <w:sz w:val="20"/>
              </w:rPr>
              <w:t xml:space="preserve">etc.)? </w:t>
            </w:r>
          </w:p>
          <w:p w:rsidR="009852C6" w:rsidRDefault="009852C6" w:rsidP="00006A34">
            <w:pPr>
              <w:spacing w:after="0"/>
              <w:rPr>
                <w:b/>
                <w:bCs/>
                <w:i/>
                <w:iCs/>
                <w:sz w:val="20"/>
              </w:rPr>
            </w:pPr>
          </w:p>
          <w:p w:rsidR="004A15A3" w:rsidRPr="00200A49" w:rsidRDefault="004A15A3" w:rsidP="00006A34">
            <w:pPr>
              <w:spacing w:after="0"/>
              <w:rPr>
                <w:b/>
                <w:bCs/>
                <w:i/>
                <w:iCs/>
                <w:sz w:val="20"/>
              </w:rPr>
            </w:pPr>
            <w:r>
              <w:rPr>
                <w:b/>
                <w:bCs/>
                <w:i/>
                <w:iCs/>
                <w:sz w:val="20"/>
              </w:rPr>
              <w:t>Coûts</w:t>
            </w:r>
          </w:p>
          <w:p w:rsidR="004A15A3" w:rsidRPr="00200A49" w:rsidRDefault="004A15A3" w:rsidP="00006A34">
            <w:pPr>
              <w:spacing w:after="0"/>
              <w:rPr>
                <w:i/>
                <w:sz w:val="20"/>
              </w:rPr>
            </w:pPr>
            <w:r>
              <w:rPr>
                <w:i/>
                <w:iCs/>
                <w:sz w:val="20"/>
              </w:rPr>
              <w:t>Quels sont les coûts de l’action? Comment sont-ils classifiés? (ventilation dans le budget</w:t>
            </w:r>
            <w:r>
              <w:rPr>
                <w:i/>
                <w:sz w:val="20"/>
              </w:rPr>
              <w:t xml:space="preserve"> de l’action)</w:t>
            </w:r>
          </w:p>
        </w:tc>
        <w:tc>
          <w:tcPr>
            <w:tcW w:w="539" w:type="pct"/>
            <w:shd w:val="clear" w:color="auto" w:fill="auto"/>
          </w:tcPr>
          <w:p w:rsidR="004A15A3" w:rsidRPr="00200A49" w:rsidRDefault="004A15A3" w:rsidP="00006A34">
            <w:pPr>
              <w:autoSpaceDE w:val="0"/>
              <w:autoSpaceDN w:val="0"/>
              <w:adjustRightInd w:val="0"/>
              <w:spacing w:after="0"/>
              <w:rPr>
                <w:b/>
                <w:i/>
                <w:sz w:val="20"/>
              </w:rPr>
            </w:pPr>
            <w:r>
              <w:rPr>
                <w:b/>
                <w:i/>
                <w:sz w:val="20"/>
              </w:rPr>
              <w:t>Hypothèses</w:t>
            </w:r>
          </w:p>
          <w:p w:rsidR="004A15A3" w:rsidRPr="00200A49" w:rsidRDefault="00BD4D11" w:rsidP="00E74C76">
            <w:pPr>
              <w:autoSpaceDE w:val="0"/>
              <w:autoSpaceDN w:val="0"/>
              <w:adjustRightInd w:val="0"/>
              <w:spacing w:after="0"/>
              <w:rPr>
                <w:i/>
                <w:sz w:val="20"/>
              </w:rPr>
            </w:pPr>
            <w:r>
              <w:rPr>
                <w:i/>
                <w:sz w:val="20"/>
              </w:rPr>
              <w:t>Conditions externes nécessaires et positives pour la mise en œuvre de l’intervention qui échappent au contrôle des personnes chargées de la gestion de cette dernière.</w:t>
            </w:r>
          </w:p>
        </w:tc>
      </w:tr>
    </w:tbl>
    <w:p w:rsidR="005C6FE0" w:rsidRDefault="005C6FE0" w:rsidP="005C6FE0"/>
    <w:sectPr w:rsidR="005C6FE0" w:rsidSect="009852C6">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CF636" w16cex:dateUtc="2021-02-09T10:53:00Z"/>
  <w16cex:commentExtensible w16cex:durableId="23CCF169" w16cex:dateUtc="2021-02-09T1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E0D0DF" w16cid:durableId="23CCF636"/>
  <w16cid:commentId w16cid:paraId="45FC102B" w16cid:durableId="23CCF1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1D7" w:rsidRDefault="00E971D7" w:rsidP="00C426AE">
      <w:pPr>
        <w:spacing w:after="0"/>
      </w:pPr>
      <w:r>
        <w:separator/>
      </w:r>
    </w:p>
  </w:endnote>
  <w:endnote w:type="continuationSeparator" w:id="0">
    <w:p w:rsidR="00E971D7" w:rsidRDefault="00E971D7" w:rsidP="00C426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32F" w:rsidRDefault="004313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32F" w:rsidRDefault="004313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32F" w:rsidRDefault="00431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1D7" w:rsidRDefault="00E971D7" w:rsidP="00C426AE">
      <w:pPr>
        <w:spacing w:after="0"/>
      </w:pPr>
      <w:r>
        <w:separator/>
      </w:r>
    </w:p>
  </w:footnote>
  <w:footnote w:type="continuationSeparator" w:id="0">
    <w:p w:rsidR="00E971D7" w:rsidRDefault="00E971D7" w:rsidP="00C426AE">
      <w:pPr>
        <w:spacing w:after="0"/>
      </w:pPr>
      <w:r>
        <w:continuationSeparator/>
      </w:r>
    </w:p>
  </w:footnote>
  <w:footnote w:id="1">
    <w:p w:rsidR="000C3C23" w:rsidRPr="000C3C23" w:rsidRDefault="000C3C23">
      <w:pPr>
        <w:pStyle w:val="FootnoteText"/>
      </w:pPr>
      <w:r>
        <w:rPr>
          <w:rStyle w:val="FootnoteReference"/>
        </w:rPr>
        <w:footnoteRef/>
      </w:r>
      <w:r>
        <w:t xml:space="preserve"> </w:t>
      </w:r>
      <w:r w:rsidR="00BB3DE9">
        <w:t>Veuillez noter que, si d</w:t>
      </w:r>
      <w:r>
        <w:t>ans la terminologie</w:t>
      </w:r>
      <w:proofErr w:type="gramStart"/>
      <w:r>
        <w:t xml:space="preserve"> «Mieux</w:t>
      </w:r>
      <w:proofErr w:type="gramEnd"/>
      <w:r>
        <w:t xml:space="preserve"> légiférer» les réalisations sont synonymes de résultats</w:t>
      </w:r>
      <w:r w:rsidR="00BB3DE9">
        <w:t>, cette matrice du cadre logique adopte l</w:t>
      </w:r>
      <w:r>
        <w:t xml:space="preserve">a terminologie </w:t>
      </w:r>
      <w:r w:rsidR="00BB3DE9">
        <w:t xml:space="preserve"> </w:t>
      </w:r>
      <w:r>
        <w:t xml:space="preserve">CAD de l’OCDE </w:t>
      </w:r>
      <w:r w:rsidR="00BB3DE9" w:rsidRPr="00BB3DE9">
        <w:t>relative aux «résultats» (englobant les trois niveaux suivants: réalisations, résultats, impact)</w:t>
      </w:r>
      <w:r w:rsidR="00BB3DE9">
        <w:t xml:space="preserve"> </w:t>
      </w:r>
      <w:r>
        <w:t xml:space="preserve">et qui reflète le consensus international entre les apporteurs de développement.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32F" w:rsidRDefault="004313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336" w:rsidRDefault="005D5229">
    <w:pPr>
      <w:pStyle w:val="Header"/>
      <w:rPr>
        <w:b/>
        <w:snapToGrid w:val="0"/>
        <w:sz w:val="18"/>
      </w:rPr>
    </w:pPr>
    <w:r>
      <w:rPr>
        <w:b/>
        <w:snapToGrid w:val="0"/>
        <w:sz w:val="18"/>
      </w:rPr>
      <w:t>2021</w:t>
    </w:r>
    <w:r w:rsidR="00F62CB0">
      <w:rPr>
        <w:b/>
        <w:snapToGrid w:val="0"/>
        <w:sz w:val="18"/>
      </w:rPr>
      <w:t>.1</w:t>
    </w:r>
  </w:p>
  <w:p w:rsidR="00C426AE" w:rsidRPr="00C426AE" w:rsidRDefault="00EC0875">
    <w:pPr>
      <w:pStyle w:val="Header"/>
      <w:rPr>
        <w:sz w:val="20"/>
      </w:rPr>
    </w:pPr>
    <w:r>
      <w:rPr>
        <w:sz w:val="20"/>
      </w:rPr>
      <w:fldChar w:fldCharType="begin"/>
    </w:r>
    <w:r>
      <w:rPr>
        <w:sz w:val="20"/>
      </w:rPr>
      <w:instrText xml:space="preserve"> FILENAME \* MERGEFORMAT </w:instrText>
    </w:r>
    <w:r>
      <w:rPr>
        <w:sz w:val="20"/>
      </w:rPr>
      <w:fldChar w:fldCharType="separate"/>
    </w:r>
    <w:r>
      <w:rPr>
        <w:noProof/>
        <w:sz w:val="20"/>
      </w:rPr>
      <w:t>e3d_logframe_fr.docx</w:t>
    </w:r>
    <w:r>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32F" w:rsidRDefault="004313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4A15A3"/>
    <w:rsid w:val="00002D45"/>
    <w:rsid w:val="0000396C"/>
    <w:rsid w:val="00004046"/>
    <w:rsid w:val="00006F6F"/>
    <w:rsid w:val="000103B2"/>
    <w:rsid w:val="00011C63"/>
    <w:rsid w:val="000133DF"/>
    <w:rsid w:val="00013947"/>
    <w:rsid w:val="000177C0"/>
    <w:rsid w:val="00023888"/>
    <w:rsid w:val="000316A8"/>
    <w:rsid w:val="00031805"/>
    <w:rsid w:val="0003557C"/>
    <w:rsid w:val="0004556A"/>
    <w:rsid w:val="000505A6"/>
    <w:rsid w:val="00060CBF"/>
    <w:rsid w:val="00062F2A"/>
    <w:rsid w:val="000815F8"/>
    <w:rsid w:val="00081E9A"/>
    <w:rsid w:val="0008555B"/>
    <w:rsid w:val="00086043"/>
    <w:rsid w:val="00087816"/>
    <w:rsid w:val="00095150"/>
    <w:rsid w:val="000A1898"/>
    <w:rsid w:val="000A4EC3"/>
    <w:rsid w:val="000A77D6"/>
    <w:rsid w:val="000B0A23"/>
    <w:rsid w:val="000B64F5"/>
    <w:rsid w:val="000C0DED"/>
    <w:rsid w:val="000C3C23"/>
    <w:rsid w:val="000D0DDF"/>
    <w:rsid w:val="000E07BC"/>
    <w:rsid w:val="000E697A"/>
    <w:rsid w:val="000F2B69"/>
    <w:rsid w:val="000F57B0"/>
    <w:rsid w:val="000F5905"/>
    <w:rsid w:val="000F5C81"/>
    <w:rsid w:val="001037C7"/>
    <w:rsid w:val="00114EA4"/>
    <w:rsid w:val="00116793"/>
    <w:rsid w:val="0011728F"/>
    <w:rsid w:val="00117E36"/>
    <w:rsid w:val="001360C8"/>
    <w:rsid w:val="0014002C"/>
    <w:rsid w:val="001463BE"/>
    <w:rsid w:val="00150064"/>
    <w:rsid w:val="00156DE9"/>
    <w:rsid w:val="00160163"/>
    <w:rsid w:val="00160320"/>
    <w:rsid w:val="001613C4"/>
    <w:rsid w:val="00161993"/>
    <w:rsid w:val="00166C06"/>
    <w:rsid w:val="00166F04"/>
    <w:rsid w:val="001673D2"/>
    <w:rsid w:val="00170BE2"/>
    <w:rsid w:val="001745FF"/>
    <w:rsid w:val="00180651"/>
    <w:rsid w:val="00183373"/>
    <w:rsid w:val="001A0484"/>
    <w:rsid w:val="001A30E7"/>
    <w:rsid w:val="001A4B73"/>
    <w:rsid w:val="001A5073"/>
    <w:rsid w:val="001B0F5A"/>
    <w:rsid w:val="001B4B0D"/>
    <w:rsid w:val="001B59F7"/>
    <w:rsid w:val="001B5DE3"/>
    <w:rsid w:val="001B6171"/>
    <w:rsid w:val="001B7AFD"/>
    <w:rsid w:val="001C4568"/>
    <w:rsid w:val="001C5B6C"/>
    <w:rsid w:val="001C6E05"/>
    <w:rsid w:val="001D2E04"/>
    <w:rsid w:val="001D3644"/>
    <w:rsid w:val="001E183E"/>
    <w:rsid w:val="001E479C"/>
    <w:rsid w:val="001E7998"/>
    <w:rsid w:val="001F3F0B"/>
    <w:rsid w:val="001F4607"/>
    <w:rsid w:val="00200A49"/>
    <w:rsid w:val="00201B53"/>
    <w:rsid w:val="00211956"/>
    <w:rsid w:val="00213AC4"/>
    <w:rsid w:val="00216186"/>
    <w:rsid w:val="00216629"/>
    <w:rsid w:val="00221B9A"/>
    <w:rsid w:val="00223F16"/>
    <w:rsid w:val="00224FC9"/>
    <w:rsid w:val="00232E40"/>
    <w:rsid w:val="0023468B"/>
    <w:rsid w:val="00236A18"/>
    <w:rsid w:val="00247E0D"/>
    <w:rsid w:val="00253C7F"/>
    <w:rsid w:val="00262E42"/>
    <w:rsid w:val="00272F6A"/>
    <w:rsid w:val="00275328"/>
    <w:rsid w:val="00291FA7"/>
    <w:rsid w:val="002A1F9D"/>
    <w:rsid w:val="002B0F65"/>
    <w:rsid w:val="002B6311"/>
    <w:rsid w:val="002C0CC0"/>
    <w:rsid w:val="002C5B26"/>
    <w:rsid w:val="002D0552"/>
    <w:rsid w:val="002D144D"/>
    <w:rsid w:val="002D15AB"/>
    <w:rsid w:val="002D1F63"/>
    <w:rsid w:val="002F5A71"/>
    <w:rsid w:val="00304160"/>
    <w:rsid w:val="00304E7C"/>
    <w:rsid w:val="00307F3A"/>
    <w:rsid w:val="00310C59"/>
    <w:rsid w:val="00312C16"/>
    <w:rsid w:val="003164A2"/>
    <w:rsid w:val="003363F0"/>
    <w:rsid w:val="0034698D"/>
    <w:rsid w:val="00350D33"/>
    <w:rsid w:val="00353C96"/>
    <w:rsid w:val="00362182"/>
    <w:rsid w:val="00370AF2"/>
    <w:rsid w:val="00370C5C"/>
    <w:rsid w:val="003723D1"/>
    <w:rsid w:val="003739FA"/>
    <w:rsid w:val="00384719"/>
    <w:rsid w:val="00391616"/>
    <w:rsid w:val="003A0638"/>
    <w:rsid w:val="003A07AF"/>
    <w:rsid w:val="003A1E3F"/>
    <w:rsid w:val="003A482A"/>
    <w:rsid w:val="003A6E1C"/>
    <w:rsid w:val="003B46D2"/>
    <w:rsid w:val="003B4F25"/>
    <w:rsid w:val="003C0AE6"/>
    <w:rsid w:val="003C0C66"/>
    <w:rsid w:val="003C1A8F"/>
    <w:rsid w:val="003D0AF3"/>
    <w:rsid w:val="003D2427"/>
    <w:rsid w:val="003D47C9"/>
    <w:rsid w:val="003D541C"/>
    <w:rsid w:val="003E1317"/>
    <w:rsid w:val="003E71B9"/>
    <w:rsid w:val="003F1B48"/>
    <w:rsid w:val="003F5843"/>
    <w:rsid w:val="00410522"/>
    <w:rsid w:val="0041263F"/>
    <w:rsid w:val="00415210"/>
    <w:rsid w:val="00422E36"/>
    <w:rsid w:val="0043132F"/>
    <w:rsid w:val="004338A3"/>
    <w:rsid w:val="00434840"/>
    <w:rsid w:val="00456D12"/>
    <w:rsid w:val="00465EA8"/>
    <w:rsid w:val="0047050A"/>
    <w:rsid w:val="0048197D"/>
    <w:rsid w:val="004829C1"/>
    <w:rsid w:val="00484A25"/>
    <w:rsid w:val="004850A7"/>
    <w:rsid w:val="004853F0"/>
    <w:rsid w:val="0049084D"/>
    <w:rsid w:val="00491BA2"/>
    <w:rsid w:val="00491C42"/>
    <w:rsid w:val="00493CA8"/>
    <w:rsid w:val="00494CEE"/>
    <w:rsid w:val="004A028A"/>
    <w:rsid w:val="004A06E3"/>
    <w:rsid w:val="004A1594"/>
    <w:rsid w:val="004A15A3"/>
    <w:rsid w:val="004A15A5"/>
    <w:rsid w:val="004A5299"/>
    <w:rsid w:val="004A6A58"/>
    <w:rsid w:val="004B15A7"/>
    <w:rsid w:val="004C1E8C"/>
    <w:rsid w:val="004C5FA8"/>
    <w:rsid w:val="004D042F"/>
    <w:rsid w:val="004D07E1"/>
    <w:rsid w:val="004D2023"/>
    <w:rsid w:val="004D2536"/>
    <w:rsid w:val="004D577F"/>
    <w:rsid w:val="004D6C96"/>
    <w:rsid w:val="004E1711"/>
    <w:rsid w:val="004E2A89"/>
    <w:rsid w:val="004F06BB"/>
    <w:rsid w:val="005036FF"/>
    <w:rsid w:val="00511759"/>
    <w:rsid w:val="005170DC"/>
    <w:rsid w:val="00525D9F"/>
    <w:rsid w:val="00526383"/>
    <w:rsid w:val="00532D82"/>
    <w:rsid w:val="00533A21"/>
    <w:rsid w:val="00544D42"/>
    <w:rsid w:val="00551053"/>
    <w:rsid w:val="005527A2"/>
    <w:rsid w:val="005530B2"/>
    <w:rsid w:val="00555347"/>
    <w:rsid w:val="005627A0"/>
    <w:rsid w:val="0056790D"/>
    <w:rsid w:val="00571832"/>
    <w:rsid w:val="00573D6E"/>
    <w:rsid w:val="00576C03"/>
    <w:rsid w:val="0057762D"/>
    <w:rsid w:val="005866FB"/>
    <w:rsid w:val="00591A72"/>
    <w:rsid w:val="00592D84"/>
    <w:rsid w:val="00593AA7"/>
    <w:rsid w:val="00594425"/>
    <w:rsid w:val="005948C4"/>
    <w:rsid w:val="00597C3B"/>
    <w:rsid w:val="005B12BD"/>
    <w:rsid w:val="005B138A"/>
    <w:rsid w:val="005B18C8"/>
    <w:rsid w:val="005B7445"/>
    <w:rsid w:val="005C1C51"/>
    <w:rsid w:val="005C30AB"/>
    <w:rsid w:val="005C4167"/>
    <w:rsid w:val="005C6FE0"/>
    <w:rsid w:val="005C70D4"/>
    <w:rsid w:val="005C76D5"/>
    <w:rsid w:val="005D5229"/>
    <w:rsid w:val="005E6BF6"/>
    <w:rsid w:val="005F6A80"/>
    <w:rsid w:val="0060100C"/>
    <w:rsid w:val="006010F6"/>
    <w:rsid w:val="00603DBF"/>
    <w:rsid w:val="006047AE"/>
    <w:rsid w:val="00604EAB"/>
    <w:rsid w:val="00606D28"/>
    <w:rsid w:val="00606F9E"/>
    <w:rsid w:val="006074CC"/>
    <w:rsid w:val="00611C44"/>
    <w:rsid w:val="00630499"/>
    <w:rsid w:val="006307DC"/>
    <w:rsid w:val="00630AD7"/>
    <w:rsid w:val="00633553"/>
    <w:rsid w:val="00636F43"/>
    <w:rsid w:val="00642DAC"/>
    <w:rsid w:val="0065002D"/>
    <w:rsid w:val="006522D1"/>
    <w:rsid w:val="00652973"/>
    <w:rsid w:val="006632E5"/>
    <w:rsid w:val="00663A70"/>
    <w:rsid w:val="0066769C"/>
    <w:rsid w:val="006707C7"/>
    <w:rsid w:val="00672F22"/>
    <w:rsid w:val="00673D17"/>
    <w:rsid w:val="00674654"/>
    <w:rsid w:val="00674F4C"/>
    <w:rsid w:val="006806BF"/>
    <w:rsid w:val="0068359F"/>
    <w:rsid w:val="00686676"/>
    <w:rsid w:val="006906A3"/>
    <w:rsid w:val="00695DB8"/>
    <w:rsid w:val="00697089"/>
    <w:rsid w:val="006A31BD"/>
    <w:rsid w:val="006A3438"/>
    <w:rsid w:val="006A34F3"/>
    <w:rsid w:val="006A3A3A"/>
    <w:rsid w:val="006B074C"/>
    <w:rsid w:val="006B1E80"/>
    <w:rsid w:val="006C2EE7"/>
    <w:rsid w:val="006C514C"/>
    <w:rsid w:val="006C623E"/>
    <w:rsid w:val="006C779E"/>
    <w:rsid w:val="006D7D81"/>
    <w:rsid w:val="006E067E"/>
    <w:rsid w:val="006E25A2"/>
    <w:rsid w:val="006E788B"/>
    <w:rsid w:val="0070177C"/>
    <w:rsid w:val="007046D0"/>
    <w:rsid w:val="00704C23"/>
    <w:rsid w:val="00710CF9"/>
    <w:rsid w:val="00713532"/>
    <w:rsid w:val="0071381F"/>
    <w:rsid w:val="00715E0F"/>
    <w:rsid w:val="007171C8"/>
    <w:rsid w:val="0071780C"/>
    <w:rsid w:val="00720272"/>
    <w:rsid w:val="00724446"/>
    <w:rsid w:val="00725C23"/>
    <w:rsid w:val="007262B6"/>
    <w:rsid w:val="007310BD"/>
    <w:rsid w:val="00737DD1"/>
    <w:rsid w:val="00737F5E"/>
    <w:rsid w:val="007460B7"/>
    <w:rsid w:val="00746732"/>
    <w:rsid w:val="00746A1E"/>
    <w:rsid w:val="0074737A"/>
    <w:rsid w:val="007532DD"/>
    <w:rsid w:val="00756E2F"/>
    <w:rsid w:val="00760527"/>
    <w:rsid w:val="0076190C"/>
    <w:rsid w:val="00762FCA"/>
    <w:rsid w:val="00763A7A"/>
    <w:rsid w:val="00770280"/>
    <w:rsid w:val="0077191E"/>
    <w:rsid w:val="007764A6"/>
    <w:rsid w:val="0078099D"/>
    <w:rsid w:val="007855A3"/>
    <w:rsid w:val="00793A60"/>
    <w:rsid w:val="007941F7"/>
    <w:rsid w:val="007947D1"/>
    <w:rsid w:val="00795E52"/>
    <w:rsid w:val="0079794D"/>
    <w:rsid w:val="007A49DC"/>
    <w:rsid w:val="007A5059"/>
    <w:rsid w:val="007A556A"/>
    <w:rsid w:val="007A6F34"/>
    <w:rsid w:val="007A7EAC"/>
    <w:rsid w:val="007B3B98"/>
    <w:rsid w:val="007B511A"/>
    <w:rsid w:val="007B7E59"/>
    <w:rsid w:val="007C18E6"/>
    <w:rsid w:val="007C5345"/>
    <w:rsid w:val="007C5D52"/>
    <w:rsid w:val="007D5376"/>
    <w:rsid w:val="007D53C3"/>
    <w:rsid w:val="007E26C3"/>
    <w:rsid w:val="007F13C7"/>
    <w:rsid w:val="007F55BC"/>
    <w:rsid w:val="00816C57"/>
    <w:rsid w:val="00817EF1"/>
    <w:rsid w:val="00821826"/>
    <w:rsid w:val="00821F83"/>
    <w:rsid w:val="0083462F"/>
    <w:rsid w:val="008357BB"/>
    <w:rsid w:val="00840653"/>
    <w:rsid w:val="00843E2C"/>
    <w:rsid w:val="00847433"/>
    <w:rsid w:val="00851183"/>
    <w:rsid w:val="00851792"/>
    <w:rsid w:val="00853242"/>
    <w:rsid w:val="008535CD"/>
    <w:rsid w:val="00855C70"/>
    <w:rsid w:val="0085754C"/>
    <w:rsid w:val="00862CEE"/>
    <w:rsid w:val="00862E86"/>
    <w:rsid w:val="0086383C"/>
    <w:rsid w:val="00864919"/>
    <w:rsid w:val="0087041F"/>
    <w:rsid w:val="008716E6"/>
    <w:rsid w:val="00872778"/>
    <w:rsid w:val="008736A4"/>
    <w:rsid w:val="00874E46"/>
    <w:rsid w:val="00876DEC"/>
    <w:rsid w:val="008823EF"/>
    <w:rsid w:val="00886FD5"/>
    <w:rsid w:val="00893D4A"/>
    <w:rsid w:val="00895E02"/>
    <w:rsid w:val="008A1EBF"/>
    <w:rsid w:val="008B2EF1"/>
    <w:rsid w:val="008B5200"/>
    <w:rsid w:val="008B5CF9"/>
    <w:rsid w:val="008C39CC"/>
    <w:rsid w:val="008C53CF"/>
    <w:rsid w:val="008E0322"/>
    <w:rsid w:val="008E5A48"/>
    <w:rsid w:val="008F0FE2"/>
    <w:rsid w:val="008F27E8"/>
    <w:rsid w:val="008F2C5B"/>
    <w:rsid w:val="00900823"/>
    <w:rsid w:val="00902415"/>
    <w:rsid w:val="00905A32"/>
    <w:rsid w:val="0090635E"/>
    <w:rsid w:val="00906AB4"/>
    <w:rsid w:val="0091048D"/>
    <w:rsid w:val="009112D2"/>
    <w:rsid w:val="00915F82"/>
    <w:rsid w:val="00923FB3"/>
    <w:rsid w:val="0092687F"/>
    <w:rsid w:val="00927EEC"/>
    <w:rsid w:val="0093059C"/>
    <w:rsid w:val="00931971"/>
    <w:rsid w:val="009328E7"/>
    <w:rsid w:val="00934829"/>
    <w:rsid w:val="00941893"/>
    <w:rsid w:val="0094437E"/>
    <w:rsid w:val="009673BD"/>
    <w:rsid w:val="00970726"/>
    <w:rsid w:val="00972FA6"/>
    <w:rsid w:val="00973988"/>
    <w:rsid w:val="009748C7"/>
    <w:rsid w:val="00982B52"/>
    <w:rsid w:val="009852C6"/>
    <w:rsid w:val="00990272"/>
    <w:rsid w:val="00990E23"/>
    <w:rsid w:val="00992C76"/>
    <w:rsid w:val="009936E4"/>
    <w:rsid w:val="00995F9F"/>
    <w:rsid w:val="009A11E8"/>
    <w:rsid w:val="009A3AD6"/>
    <w:rsid w:val="009A5017"/>
    <w:rsid w:val="009A78EF"/>
    <w:rsid w:val="009A7BB1"/>
    <w:rsid w:val="009B188D"/>
    <w:rsid w:val="009B5608"/>
    <w:rsid w:val="009C0899"/>
    <w:rsid w:val="009C2034"/>
    <w:rsid w:val="009C75DD"/>
    <w:rsid w:val="009D018B"/>
    <w:rsid w:val="009D0E11"/>
    <w:rsid w:val="009D171B"/>
    <w:rsid w:val="009D6DF9"/>
    <w:rsid w:val="009E4948"/>
    <w:rsid w:val="009F154B"/>
    <w:rsid w:val="00A00EC8"/>
    <w:rsid w:val="00A01330"/>
    <w:rsid w:val="00A11CDF"/>
    <w:rsid w:val="00A17274"/>
    <w:rsid w:val="00A23ADC"/>
    <w:rsid w:val="00A24E0D"/>
    <w:rsid w:val="00A2551E"/>
    <w:rsid w:val="00A267C9"/>
    <w:rsid w:val="00A30898"/>
    <w:rsid w:val="00A56596"/>
    <w:rsid w:val="00A57E2D"/>
    <w:rsid w:val="00A64C9D"/>
    <w:rsid w:val="00A66943"/>
    <w:rsid w:val="00A7175D"/>
    <w:rsid w:val="00A80386"/>
    <w:rsid w:val="00A81087"/>
    <w:rsid w:val="00A82D66"/>
    <w:rsid w:val="00A8386F"/>
    <w:rsid w:val="00A932BF"/>
    <w:rsid w:val="00A97387"/>
    <w:rsid w:val="00A97C06"/>
    <w:rsid w:val="00AA02FF"/>
    <w:rsid w:val="00AA0F7A"/>
    <w:rsid w:val="00AA75F2"/>
    <w:rsid w:val="00AC15A6"/>
    <w:rsid w:val="00AC161C"/>
    <w:rsid w:val="00AC2BD8"/>
    <w:rsid w:val="00AC6421"/>
    <w:rsid w:val="00AC6A47"/>
    <w:rsid w:val="00AD25F7"/>
    <w:rsid w:val="00AD4233"/>
    <w:rsid w:val="00AD7794"/>
    <w:rsid w:val="00AE0879"/>
    <w:rsid w:val="00AE08DF"/>
    <w:rsid w:val="00AE1274"/>
    <w:rsid w:val="00AE38D4"/>
    <w:rsid w:val="00AE4360"/>
    <w:rsid w:val="00AE6408"/>
    <w:rsid w:val="00AF3811"/>
    <w:rsid w:val="00AF5182"/>
    <w:rsid w:val="00AF5B96"/>
    <w:rsid w:val="00B15C4A"/>
    <w:rsid w:val="00B17984"/>
    <w:rsid w:val="00B209CA"/>
    <w:rsid w:val="00B21ECC"/>
    <w:rsid w:val="00B26211"/>
    <w:rsid w:val="00B34686"/>
    <w:rsid w:val="00B35440"/>
    <w:rsid w:val="00B36E1F"/>
    <w:rsid w:val="00B460C4"/>
    <w:rsid w:val="00B5629D"/>
    <w:rsid w:val="00B623C4"/>
    <w:rsid w:val="00B63E2A"/>
    <w:rsid w:val="00B643C3"/>
    <w:rsid w:val="00B74E69"/>
    <w:rsid w:val="00B759B3"/>
    <w:rsid w:val="00B76658"/>
    <w:rsid w:val="00B76ADB"/>
    <w:rsid w:val="00B803C6"/>
    <w:rsid w:val="00B81942"/>
    <w:rsid w:val="00B8502A"/>
    <w:rsid w:val="00B854CD"/>
    <w:rsid w:val="00B85A00"/>
    <w:rsid w:val="00B85A59"/>
    <w:rsid w:val="00B86A59"/>
    <w:rsid w:val="00B86D48"/>
    <w:rsid w:val="00B871DB"/>
    <w:rsid w:val="00B87EF0"/>
    <w:rsid w:val="00BA1B63"/>
    <w:rsid w:val="00BA42C5"/>
    <w:rsid w:val="00BB3DE9"/>
    <w:rsid w:val="00BC0473"/>
    <w:rsid w:val="00BD2ACB"/>
    <w:rsid w:val="00BD4D11"/>
    <w:rsid w:val="00BD5350"/>
    <w:rsid w:val="00BE3A3C"/>
    <w:rsid w:val="00BE7438"/>
    <w:rsid w:val="00BF0490"/>
    <w:rsid w:val="00BF5AFE"/>
    <w:rsid w:val="00C0433E"/>
    <w:rsid w:val="00C06025"/>
    <w:rsid w:val="00C11146"/>
    <w:rsid w:val="00C11FBD"/>
    <w:rsid w:val="00C17443"/>
    <w:rsid w:val="00C20ECA"/>
    <w:rsid w:val="00C22D83"/>
    <w:rsid w:val="00C36D43"/>
    <w:rsid w:val="00C40511"/>
    <w:rsid w:val="00C414E9"/>
    <w:rsid w:val="00C416D1"/>
    <w:rsid w:val="00C426AE"/>
    <w:rsid w:val="00C43B02"/>
    <w:rsid w:val="00C43D9E"/>
    <w:rsid w:val="00C44AE3"/>
    <w:rsid w:val="00C44B81"/>
    <w:rsid w:val="00C51AEB"/>
    <w:rsid w:val="00C52B61"/>
    <w:rsid w:val="00C5364F"/>
    <w:rsid w:val="00C5410B"/>
    <w:rsid w:val="00C56EA3"/>
    <w:rsid w:val="00C5792C"/>
    <w:rsid w:val="00C673A5"/>
    <w:rsid w:val="00C82A89"/>
    <w:rsid w:val="00C84448"/>
    <w:rsid w:val="00C86E50"/>
    <w:rsid w:val="00C91A3E"/>
    <w:rsid w:val="00CA110E"/>
    <w:rsid w:val="00CA2EE8"/>
    <w:rsid w:val="00CA52C7"/>
    <w:rsid w:val="00CA53A5"/>
    <w:rsid w:val="00CA71D6"/>
    <w:rsid w:val="00CB5E23"/>
    <w:rsid w:val="00CB6100"/>
    <w:rsid w:val="00CC37B0"/>
    <w:rsid w:val="00CD0833"/>
    <w:rsid w:val="00CD175A"/>
    <w:rsid w:val="00CD38C9"/>
    <w:rsid w:val="00CE1EBD"/>
    <w:rsid w:val="00CE4EDC"/>
    <w:rsid w:val="00CF16CF"/>
    <w:rsid w:val="00CF3042"/>
    <w:rsid w:val="00CF4ED5"/>
    <w:rsid w:val="00D031D8"/>
    <w:rsid w:val="00D06101"/>
    <w:rsid w:val="00D1103A"/>
    <w:rsid w:val="00D13043"/>
    <w:rsid w:val="00D144F2"/>
    <w:rsid w:val="00D21E6A"/>
    <w:rsid w:val="00D223E6"/>
    <w:rsid w:val="00D26F7B"/>
    <w:rsid w:val="00D30590"/>
    <w:rsid w:val="00D31F71"/>
    <w:rsid w:val="00D3248C"/>
    <w:rsid w:val="00D345AB"/>
    <w:rsid w:val="00D34EE8"/>
    <w:rsid w:val="00D371F4"/>
    <w:rsid w:val="00D40366"/>
    <w:rsid w:val="00D41A18"/>
    <w:rsid w:val="00D46549"/>
    <w:rsid w:val="00D50837"/>
    <w:rsid w:val="00D52538"/>
    <w:rsid w:val="00D55132"/>
    <w:rsid w:val="00D559C2"/>
    <w:rsid w:val="00D60DAD"/>
    <w:rsid w:val="00D67950"/>
    <w:rsid w:val="00D679B6"/>
    <w:rsid w:val="00D82B7C"/>
    <w:rsid w:val="00D876AE"/>
    <w:rsid w:val="00D877D1"/>
    <w:rsid w:val="00D907C2"/>
    <w:rsid w:val="00DA1B09"/>
    <w:rsid w:val="00DA1CF6"/>
    <w:rsid w:val="00DA5312"/>
    <w:rsid w:val="00DB14BD"/>
    <w:rsid w:val="00DB2646"/>
    <w:rsid w:val="00DB2E0F"/>
    <w:rsid w:val="00DB5692"/>
    <w:rsid w:val="00DB5FCD"/>
    <w:rsid w:val="00DC02BF"/>
    <w:rsid w:val="00DC2D41"/>
    <w:rsid w:val="00DC3C77"/>
    <w:rsid w:val="00DC449B"/>
    <w:rsid w:val="00DC7ADE"/>
    <w:rsid w:val="00DD2C90"/>
    <w:rsid w:val="00DD5434"/>
    <w:rsid w:val="00DE2947"/>
    <w:rsid w:val="00DE5D5A"/>
    <w:rsid w:val="00DF4CC9"/>
    <w:rsid w:val="00E00B9F"/>
    <w:rsid w:val="00E00F2D"/>
    <w:rsid w:val="00E05A20"/>
    <w:rsid w:val="00E06805"/>
    <w:rsid w:val="00E07447"/>
    <w:rsid w:val="00E10E7E"/>
    <w:rsid w:val="00E156AA"/>
    <w:rsid w:val="00E15EA2"/>
    <w:rsid w:val="00E208E2"/>
    <w:rsid w:val="00E211F3"/>
    <w:rsid w:val="00E250A9"/>
    <w:rsid w:val="00E27255"/>
    <w:rsid w:val="00E33D18"/>
    <w:rsid w:val="00E35248"/>
    <w:rsid w:val="00E35BE5"/>
    <w:rsid w:val="00E419AF"/>
    <w:rsid w:val="00E468F7"/>
    <w:rsid w:val="00E53CAE"/>
    <w:rsid w:val="00E54934"/>
    <w:rsid w:val="00E552FC"/>
    <w:rsid w:val="00E6014B"/>
    <w:rsid w:val="00E60DEE"/>
    <w:rsid w:val="00E727F2"/>
    <w:rsid w:val="00E74C76"/>
    <w:rsid w:val="00E7700C"/>
    <w:rsid w:val="00E85C82"/>
    <w:rsid w:val="00E85D10"/>
    <w:rsid w:val="00E9368C"/>
    <w:rsid w:val="00E95C18"/>
    <w:rsid w:val="00E971D7"/>
    <w:rsid w:val="00EA46D7"/>
    <w:rsid w:val="00EA70BD"/>
    <w:rsid w:val="00EB1540"/>
    <w:rsid w:val="00EB70DE"/>
    <w:rsid w:val="00EC0875"/>
    <w:rsid w:val="00EC33FF"/>
    <w:rsid w:val="00EC7DFA"/>
    <w:rsid w:val="00ED0099"/>
    <w:rsid w:val="00ED04C6"/>
    <w:rsid w:val="00ED192C"/>
    <w:rsid w:val="00ED6E0D"/>
    <w:rsid w:val="00EE127E"/>
    <w:rsid w:val="00EE23FE"/>
    <w:rsid w:val="00EE4C89"/>
    <w:rsid w:val="00EF1362"/>
    <w:rsid w:val="00EF1AA3"/>
    <w:rsid w:val="00EF2E73"/>
    <w:rsid w:val="00EF4781"/>
    <w:rsid w:val="00F04F72"/>
    <w:rsid w:val="00F10091"/>
    <w:rsid w:val="00F12D79"/>
    <w:rsid w:val="00F239B4"/>
    <w:rsid w:val="00F259CD"/>
    <w:rsid w:val="00F314F4"/>
    <w:rsid w:val="00F37BE0"/>
    <w:rsid w:val="00F45B9A"/>
    <w:rsid w:val="00F46336"/>
    <w:rsid w:val="00F4794A"/>
    <w:rsid w:val="00F47EE6"/>
    <w:rsid w:val="00F51971"/>
    <w:rsid w:val="00F530D8"/>
    <w:rsid w:val="00F532D4"/>
    <w:rsid w:val="00F57C6F"/>
    <w:rsid w:val="00F62CB0"/>
    <w:rsid w:val="00F646BD"/>
    <w:rsid w:val="00F65682"/>
    <w:rsid w:val="00F72046"/>
    <w:rsid w:val="00F90D7A"/>
    <w:rsid w:val="00F95428"/>
    <w:rsid w:val="00F97357"/>
    <w:rsid w:val="00F97DF1"/>
    <w:rsid w:val="00FA0588"/>
    <w:rsid w:val="00FA3518"/>
    <w:rsid w:val="00FA3C48"/>
    <w:rsid w:val="00FA6C8B"/>
    <w:rsid w:val="00FA72E2"/>
    <w:rsid w:val="00FB6580"/>
    <w:rsid w:val="00FB67B8"/>
    <w:rsid w:val="00FC0A30"/>
    <w:rsid w:val="00FC2439"/>
    <w:rsid w:val="00FC3353"/>
    <w:rsid w:val="00FC42A2"/>
    <w:rsid w:val="00FC6965"/>
    <w:rsid w:val="00FD3624"/>
    <w:rsid w:val="00FD3929"/>
    <w:rsid w:val="00FE1754"/>
    <w:rsid w:val="00FF174B"/>
    <w:rsid w:val="00FF61F3"/>
    <w:rsid w:val="00FF7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233D95-E29C-41CB-877A-93977867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5A3"/>
    <w:pPr>
      <w:spacing w:after="24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5A3"/>
    <w:pPr>
      <w:spacing w:after="80"/>
      <w:ind w:left="720"/>
      <w:contextualSpacing/>
    </w:pPr>
    <w:rPr>
      <w:rFonts w:ascii="Calibri" w:eastAsia="Calibri" w:hAnsi="Calibri"/>
      <w:sz w:val="22"/>
      <w:szCs w:val="22"/>
    </w:rPr>
  </w:style>
  <w:style w:type="paragraph" w:customStyle="1" w:styleId="Default">
    <w:name w:val="Default"/>
    <w:rsid w:val="004A15A3"/>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A0133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330"/>
    <w:rPr>
      <w:rFonts w:ascii="Tahoma" w:eastAsia="Times New Roman" w:hAnsi="Tahoma" w:cs="Tahoma"/>
      <w:sz w:val="16"/>
      <w:szCs w:val="16"/>
    </w:rPr>
  </w:style>
  <w:style w:type="character" w:styleId="CommentReference">
    <w:name w:val="annotation reference"/>
    <w:basedOn w:val="DefaultParagraphFont"/>
    <w:uiPriority w:val="99"/>
    <w:unhideWhenUsed/>
    <w:rsid w:val="00E00F2D"/>
    <w:rPr>
      <w:sz w:val="16"/>
      <w:szCs w:val="16"/>
    </w:rPr>
  </w:style>
  <w:style w:type="paragraph" w:styleId="CommentText">
    <w:name w:val="annotation text"/>
    <w:basedOn w:val="Normal"/>
    <w:link w:val="CommentTextChar"/>
    <w:uiPriority w:val="99"/>
    <w:semiHidden/>
    <w:unhideWhenUsed/>
    <w:rsid w:val="00E00F2D"/>
    <w:rPr>
      <w:sz w:val="20"/>
    </w:rPr>
  </w:style>
  <w:style w:type="character" w:customStyle="1" w:styleId="CommentTextChar">
    <w:name w:val="Comment Text Char"/>
    <w:basedOn w:val="DefaultParagraphFont"/>
    <w:link w:val="CommentText"/>
    <w:uiPriority w:val="99"/>
    <w:semiHidden/>
    <w:rsid w:val="00E00F2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426AE"/>
    <w:pPr>
      <w:tabs>
        <w:tab w:val="center" w:pos="4513"/>
        <w:tab w:val="right" w:pos="9026"/>
      </w:tabs>
      <w:spacing w:after="0"/>
    </w:pPr>
  </w:style>
  <w:style w:type="character" w:customStyle="1" w:styleId="HeaderChar">
    <w:name w:val="Header Char"/>
    <w:basedOn w:val="DefaultParagraphFont"/>
    <w:link w:val="Header"/>
    <w:uiPriority w:val="99"/>
    <w:rsid w:val="00C426A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426AE"/>
    <w:pPr>
      <w:tabs>
        <w:tab w:val="center" w:pos="4513"/>
        <w:tab w:val="right" w:pos="9026"/>
      </w:tabs>
      <w:spacing w:after="0"/>
    </w:pPr>
  </w:style>
  <w:style w:type="character" w:customStyle="1" w:styleId="FooterChar">
    <w:name w:val="Footer Char"/>
    <w:basedOn w:val="DefaultParagraphFont"/>
    <w:link w:val="Footer"/>
    <w:uiPriority w:val="99"/>
    <w:rsid w:val="00C426AE"/>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DC449B"/>
    <w:rPr>
      <w:b/>
      <w:bCs/>
    </w:rPr>
  </w:style>
  <w:style w:type="character" w:customStyle="1" w:styleId="CommentSubjectChar">
    <w:name w:val="Comment Subject Char"/>
    <w:basedOn w:val="CommentTextChar"/>
    <w:link w:val="CommentSubject"/>
    <w:uiPriority w:val="99"/>
    <w:semiHidden/>
    <w:rsid w:val="00DC449B"/>
    <w:rPr>
      <w:rFonts w:ascii="Times New Roman" w:eastAsia="Times New Roman" w:hAnsi="Times New Roman" w:cs="Times New Roman"/>
      <w:b/>
      <w:bCs/>
      <w:sz w:val="20"/>
      <w:szCs w:val="20"/>
    </w:rPr>
  </w:style>
  <w:style w:type="paragraph" w:styleId="Revision">
    <w:name w:val="Revision"/>
    <w:hidden/>
    <w:uiPriority w:val="99"/>
    <w:semiHidden/>
    <w:rsid w:val="005530B2"/>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0C3C23"/>
    <w:pPr>
      <w:spacing w:after="0"/>
    </w:pPr>
    <w:rPr>
      <w:sz w:val="20"/>
    </w:rPr>
  </w:style>
  <w:style w:type="character" w:customStyle="1" w:styleId="FootnoteTextChar">
    <w:name w:val="Footnote Text Char"/>
    <w:basedOn w:val="DefaultParagraphFont"/>
    <w:link w:val="FootnoteText"/>
    <w:uiPriority w:val="99"/>
    <w:semiHidden/>
    <w:rsid w:val="000C3C2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C3C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4DCB51-B0CB-4C0B-85FF-F1151FA0EC57}">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b21a4a1d-4eb8-49d3-b465-be101281b0f3"/>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2C5CC33-4B0C-4A45-99B0-0DF68038F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74AD0-3B57-4A2C-B334-51CEA7DB5E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1558</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XXXXXXX</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XXXXXXX</dc:creator>
  <cp:lastModifiedBy>NIJIMBERE Come (EEAS-BUJUMBURA)</cp:lastModifiedBy>
  <cp:revision>2</cp:revision>
  <dcterms:created xsi:type="dcterms:W3CDTF">2023-04-18T14:22:00Z</dcterms:created>
  <dcterms:modified xsi:type="dcterms:W3CDTF">2023-04-18T14:22:00Z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0x010100724FDE23FB365D4CB8B2901107175F9F</vt:lpwstr>
  </property>
</Properties>
</file>