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D68" w:rsidRPr="00764A85" w:rsidRDefault="00187D68" w:rsidP="008F6A10">
      <w:pPr>
        <w:pStyle w:val="Subtitle"/>
        <w:pBdr>
          <w:top w:val="single" w:sz="4" w:space="1" w:color="auto"/>
          <w:left w:val="single" w:sz="4" w:space="4" w:color="auto"/>
          <w:bottom w:val="single" w:sz="4" w:space="1" w:color="auto"/>
          <w:right w:val="single" w:sz="4" w:space="4" w:color="auto"/>
        </w:pBdr>
        <w:tabs>
          <w:tab w:val="clear" w:pos="-1440"/>
          <w:tab w:val="clear" w:pos="-720"/>
          <w:tab w:val="clear" w:pos="828"/>
          <w:tab w:val="clear" w:pos="1044"/>
          <w:tab w:val="clear" w:pos="1260"/>
          <w:tab w:val="clear" w:pos="1476"/>
          <w:tab w:val="clear" w:pos="1692"/>
          <w:tab w:val="clear" w:pos="2160"/>
        </w:tabs>
        <w:spacing w:before="120"/>
        <w:jc w:val="both"/>
        <w:rPr>
          <w:b w:val="0"/>
          <w:i/>
        </w:rPr>
      </w:pPr>
      <w:r>
        <w:rPr>
          <w:b w:val="0"/>
          <w:highlight w:val="yellow"/>
        </w:rPr>
        <w:t>[</w:t>
      </w:r>
      <w:r>
        <w:rPr>
          <w:b w:val="0"/>
          <w:i/>
          <w:highlight w:val="yellow"/>
        </w:rPr>
        <w:t>Comment compléter ces conditions particulières:</w:t>
      </w:r>
    </w:p>
    <w:p w:rsidR="00187D68" w:rsidRPr="00764A85" w:rsidRDefault="00187D68" w:rsidP="00764A85">
      <w:pPr>
        <w:pStyle w:val="Subtitle"/>
        <w:numPr>
          <w:ilvl w:val="0"/>
          <w:numId w:val="5"/>
        </w:numPr>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ind w:left="426" w:hanging="426"/>
        <w:jc w:val="both"/>
        <w:rPr>
          <w:b w:val="0"/>
        </w:rPr>
      </w:pPr>
      <w:r>
        <w:t xml:space="preserve"> Les éléments figurant entre </w:t>
      </w:r>
      <w:r>
        <w:rPr>
          <w:sz w:val="28"/>
          <w:szCs w:val="28"/>
        </w:rPr>
        <w:t>&lt;...&gt;</w:t>
      </w:r>
      <w:r>
        <w:t xml:space="preserve"> doivent être remplacés par les informations </w:t>
      </w:r>
      <w:r>
        <w:rPr>
          <w:b w:val="0"/>
        </w:rPr>
        <w:t>pertinentes pour l’appel à propositions en question</w:t>
      </w:r>
      <w:r>
        <w:t>.</w:t>
      </w:r>
    </w:p>
    <w:p w:rsidR="002A5F6B" w:rsidRPr="00764A85" w:rsidRDefault="00187D68" w:rsidP="00764A85">
      <w:pPr>
        <w:pStyle w:val="Subtitle"/>
        <w:numPr>
          <w:ilvl w:val="0"/>
          <w:numId w:val="5"/>
        </w:numPr>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ind w:left="426" w:hanging="426"/>
        <w:jc w:val="both"/>
        <w:rPr>
          <w:b w:val="0"/>
        </w:rPr>
      </w:pPr>
      <w:r>
        <w:rPr>
          <w:b w:val="0"/>
        </w:rPr>
        <w:t>Les phrases figurant entre</w:t>
      </w:r>
      <w:r>
        <w:t xml:space="preserve"> [ ] </w:t>
      </w:r>
      <w:r>
        <w:rPr>
          <w:b w:val="0"/>
        </w:rPr>
        <w:t>ne doivent être</w:t>
      </w:r>
      <w:r>
        <w:t xml:space="preserve"> insérées que si nécessaire.</w:t>
      </w:r>
    </w:p>
    <w:p w:rsidR="00187D68" w:rsidRPr="00764A85" w:rsidRDefault="00187D68" w:rsidP="00764A85">
      <w:pPr>
        <w:pStyle w:val="Subtitle"/>
        <w:numPr>
          <w:ilvl w:val="0"/>
          <w:numId w:val="5"/>
        </w:numPr>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ind w:left="426" w:hanging="426"/>
        <w:jc w:val="both"/>
        <w:rPr>
          <w:b w:val="0"/>
        </w:rPr>
      </w:pPr>
      <w:r>
        <w:rPr>
          <w:b w:val="0"/>
        </w:rPr>
        <w:t xml:space="preserve">Les éléments sur fond </w:t>
      </w:r>
      <w:r>
        <w:rPr>
          <w:b w:val="0"/>
          <w:highlight w:val="lightGray"/>
        </w:rPr>
        <w:t>gris</w:t>
      </w:r>
      <w:r>
        <w:rPr>
          <w:b w:val="0"/>
        </w:rPr>
        <w:t xml:space="preserve"> ne doivent être</w:t>
      </w:r>
      <w:r>
        <w:t xml:space="preserve"> modifiés/insérés</w:t>
      </w:r>
      <w:r>
        <w:rPr>
          <w:b w:val="0"/>
        </w:rPr>
        <w:t xml:space="preserve"> qu’à titre </w:t>
      </w:r>
      <w:r>
        <w:rPr>
          <w:b w:val="0"/>
          <w:u w:val="single"/>
        </w:rPr>
        <w:t>exceptionnel</w:t>
      </w:r>
      <w:r>
        <w:rPr>
          <w:b w:val="0"/>
        </w:rPr>
        <w:t>, si les exigences propres à un appel à propositions spécifique l’imposent.</w:t>
      </w:r>
    </w:p>
    <w:p w:rsidR="002A5F6B" w:rsidRPr="00764A85" w:rsidRDefault="00187D68" w:rsidP="00532286">
      <w:pPr>
        <w:pStyle w:val="Subtitle"/>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jc w:val="both"/>
      </w:pPr>
      <w:r>
        <w:t xml:space="preserve">Toutes les autres parties de ce modèle d’instructions ne doivent en aucun cas être modifiées. </w:t>
      </w:r>
    </w:p>
    <w:p w:rsidR="008C4872" w:rsidRDefault="008C4872" w:rsidP="00532286">
      <w:pPr>
        <w:pStyle w:val="Subtitle"/>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jc w:val="both"/>
      </w:pPr>
      <w:r>
        <w:t>Veuillez noter que les conditions particulières autorisent certaines dérogations par rapport aux conditions générales. Toute autre dérogation doit faire l’objet d’une exception accordée par les services compétents de la Commission européenne.</w:t>
      </w:r>
    </w:p>
    <w:p w:rsidR="00187D68" w:rsidRPr="00764A85" w:rsidRDefault="00187D68" w:rsidP="00532286">
      <w:pPr>
        <w:pStyle w:val="Subtitle"/>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jc w:val="both"/>
      </w:pPr>
      <w:r>
        <w:t>Dans la version finale, n’oubliez pas de supprimer le présent paragraphe, tout autre texte affiché sur fond jaune et tous les crochets.]</w:t>
      </w:r>
    </w:p>
    <w:p w:rsidR="00187D68" w:rsidRPr="00764A85" w:rsidRDefault="00187D68" w:rsidP="00532286">
      <w:pPr>
        <w:spacing w:before="120"/>
        <w:jc w:val="center"/>
        <w:rPr>
          <w:b/>
          <w:sz w:val="28"/>
          <w:szCs w:val="28"/>
        </w:rPr>
      </w:pPr>
      <w:bookmarkStart w:id="0" w:name="_GoBack"/>
      <w:bookmarkEnd w:id="0"/>
    </w:p>
    <w:p w:rsidR="00C2718F" w:rsidRPr="00764A85" w:rsidRDefault="00C2718F" w:rsidP="00290199">
      <w:pPr>
        <w:pageBreakBefore/>
        <w:spacing w:before="120"/>
        <w:jc w:val="center"/>
        <w:rPr>
          <w:b/>
          <w:sz w:val="28"/>
          <w:szCs w:val="28"/>
        </w:rPr>
      </w:pPr>
      <w:r>
        <w:rPr>
          <w:b/>
          <w:sz w:val="28"/>
          <w:szCs w:val="28"/>
        </w:rPr>
        <w:lastRenderedPageBreak/>
        <w:t>CONTRAT DE SUBVENTION</w:t>
      </w:r>
    </w:p>
    <w:p w:rsidR="00C2718F" w:rsidRPr="00764A85" w:rsidRDefault="00C2718F" w:rsidP="006A0EBA">
      <w:pPr>
        <w:spacing w:before="120"/>
        <w:jc w:val="center"/>
        <w:rPr>
          <w:b/>
        </w:rPr>
      </w:pPr>
      <w:r>
        <w:rPr>
          <w:b/>
          <w:sz w:val="28"/>
          <w:szCs w:val="28"/>
        </w:rPr>
        <w:t>- ACTIONS EXTÉRIEURES DE L’UNION EUROPÉENNE -</w:t>
      </w:r>
    </w:p>
    <w:p w:rsidR="00C2718F" w:rsidRPr="00764A85" w:rsidRDefault="00BB0F74" w:rsidP="00532286">
      <w:pPr>
        <w:pStyle w:val="Text2"/>
        <w:tabs>
          <w:tab w:val="clear" w:pos="2161"/>
          <w:tab w:val="left" w:pos="-1701"/>
          <w:tab w:val="left" w:pos="-1560"/>
        </w:tabs>
        <w:spacing w:before="120" w:after="0"/>
        <w:ind w:left="0"/>
        <w:jc w:val="center"/>
        <w:rPr>
          <w:i/>
          <w:sz w:val="22"/>
        </w:rPr>
      </w:pPr>
      <w:r>
        <w:rPr>
          <w:b/>
          <w:sz w:val="22"/>
        </w:rPr>
        <w:t>&lt;</w:t>
      </w:r>
      <w:r>
        <w:rPr>
          <w:sz w:val="22"/>
          <w:highlight w:val="yellow"/>
        </w:rPr>
        <w:t>Numéro d’identification du contrat de subvention</w:t>
      </w:r>
      <w:r>
        <w:rPr>
          <w:i/>
          <w:sz w:val="22"/>
        </w:rPr>
        <w:t>&gt;</w:t>
      </w:r>
    </w:p>
    <w:p w:rsidR="00A44FE3" w:rsidRDefault="00A44FE3" w:rsidP="00532286">
      <w:pPr>
        <w:pStyle w:val="Text2"/>
        <w:tabs>
          <w:tab w:val="clear" w:pos="2161"/>
          <w:tab w:val="left" w:pos="-1701"/>
          <w:tab w:val="left" w:pos="-1560"/>
        </w:tabs>
        <w:spacing w:before="120" w:after="0"/>
        <w:ind w:left="0"/>
        <w:jc w:val="center"/>
        <w:rPr>
          <w:sz w:val="22"/>
        </w:rPr>
      </w:pPr>
      <w:r>
        <w:rPr>
          <w:sz w:val="22"/>
        </w:rPr>
        <w:t>(le «contrat»)</w:t>
      </w:r>
    </w:p>
    <w:p w:rsidR="006A0EBA" w:rsidRPr="00764A85" w:rsidRDefault="006A0EBA" w:rsidP="00532286">
      <w:pPr>
        <w:pStyle w:val="Text2"/>
        <w:tabs>
          <w:tab w:val="clear" w:pos="2161"/>
          <w:tab w:val="left" w:pos="-1701"/>
          <w:tab w:val="left" w:pos="-1560"/>
        </w:tabs>
        <w:spacing w:before="120" w:after="0"/>
        <w:ind w:left="0"/>
        <w:jc w:val="center"/>
        <w:rPr>
          <w:b/>
          <w:sz w:val="22"/>
        </w:rPr>
      </w:pPr>
    </w:p>
    <w:p w:rsidR="00C2718F" w:rsidRPr="00764A85" w:rsidRDefault="00E57F21" w:rsidP="00532286">
      <w:pPr>
        <w:tabs>
          <w:tab w:val="left" w:pos="-1440"/>
          <w:tab w:val="left" w:pos="-720"/>
          <w:tab w:val="left" w:pos="828"/>
          <w:tab w:val="left" w:pos="1044"/>
          <w:tab w:val="left" w:pos="1260"/>
          <w:tab w:val="left" w:pos="1476"/>
          <w:tab w:val="left" w:pos="1692"/>
          <w:tab w:val="left" w:pos="2160"/>
        </w:tabs>
        <w:spacing w:before="120"/>
        <w:jc w:val="both"/>
        <w:rPr>
          <w:sz w:val="22"/>
        </w:rPr>
      </w:pPr>
      <w:r>
        <w:rPr>
          <w:sz w:val="22"/>
        </w:rPr>
        <w:t>[</w:t>
      </w:r>
      <w:r>
        <w:rPr>
          <w:sz w:val="22"/>
          <w:highlight w:val="lightGray"/>
        </w:rPr>
        <w:t>L’Union européenne, représentée par la Commission européenne</w:t>
      </w:r>
      <w:r>
        <w:rPr>
          <w:sz w:val="22"/>
        </w:rPr>
        <w:t xml:space="preserve"> </w:t>
      </w:r>
      <w:r>
        <w:rPr>
          <w:sz w:val="22"/>
          <w:highlight w:val="yellow"/>
        </w:rPr>
        <w:t>ou</w:t>
      </w:r>
      <w:r>
        <w:rPr>
          <w:sz w:val="22"/>
        </w:rPr>
        <w:t xml:space="preserve"> [&lt;</w:t>
      </w:r>
      <w:r>
        <w:rPr>
          <w:sz w:val="22"/>
          <w:highlight w:val="yellow"/>
        </w:rPr>
        <w:t>nom et adresse complets de l’administration contractante</w:t>
      </w:r>
      <w:r>
        <w:rPr>
          <w:i/>
          <w:sz w:val="22"/>
        </w:rPr>
        <w:t>&gt;</w:t>
      </w:r>
      <w:r>
        <w:rPr>
          <w:sz w:val="22"/>
        </w:rPr>
        <w:t>] (l’«administration contractante»),</w:t>
      </w:r>
    </w:p>
    <w:p w:rsidR="00C2718F" w:rsidRDefault="00C2718F" w:rsidP="00532286">
      <w:pPr>
        <w:tabs>
          <w:tab w:val="left" w:pos="-1701"/>
          <w:tab w:val="left" w:pos="-1560"/>
          <w:tab w:val="left" w:pos="-1440"/>
        </w:tabs>
        <w:spacing w:before="120"/>
        <w:jc w:val="right"/>
        <w:rPr>
          <w:sz w:val="22"/>
        </w:rPr>
      </w:pPr>
      <w:r>
        <w:rPr>
          <w:sz w:val="22"/>
        </w:rPr>
        <w:t>d’une part,</w:t>
      </w:r>
    </w:p>
    <w:p w:rsidR="006A0EBA" w:rsidRDefault="006A0EBA" w:rsidP="00532286">
      <w:pPr>
        <w:tabs>
          <w:tab w:val="left" w:pos="-1701"/>
          <w:tab w:val="left" w:pos="-1560"/>
          <w:tab w:val="left" w:pos="-1440"/>
        </w:tabs>
        <w:spacing w:before="120"/>
        <w:jc w:val="right"/>
        <w:rPr>
          <w:sz w:val="22"/>
        </w:rPr>
      </w:pPr>
    </w:p>
    <w:p w:rsidR="006A0EBA" w:rsidRPr="00764A85" w:rsidRDefault="006A0EBA" w:rsidP="00532286">
      <w:pPr>
        <w:tabs>
          <w:tab w:val="left" w:pos="-1701"/>
          <w:tab w:val="left" w:pos="-1560"/>
          <w:tab w:val="left" w:pos="-1440"/>
        </w:tabs>
        <w:spacing w:before="120"/>
        <w:jc w:val="right"/>
        <w:rPr>
          <w:sz w:val="22"/>
        </w:rPr>
      </w:pPr>
    </w:p>
    <w:p w:rsidR="00C2718F" w:rsidRPr="00764A85" w:rsidRDefault="00C2718F" w:rsidP="00532286">
      <w:pPr>
        <w:tabs>
          <w:tab w:val="left" w:pos="-1701"/>
          <w:tab w:val="left" w:pos="-1560"/>
          <w:tab w:val="left" w:pos="-1440"/>
        </w:tabs>
        <w:spacing w:before="120"/>
        <w:rPr>
          <w:sz w:val="22"/>
        </w:rPr>
      </w:pPr>
      <w:r>
        <w:rPr>
          <w:sz w:val="22"/>
        </w:rPr>
        <w:t>et</w:t>
      </w:r>
    </w:p>
    <w:p w:rsidR="0018427B" w:rsidRPr="00764A85" w:rsidRDefault="00BB0F74" w:rsidP="00532286">
      <w:pPr>
        <w:spacing w:before="120"/>
        <w:jc w:val="both"/>
        <w:rPr>
          <w:sz w:val="22"/>
          <w:szCs w:val="22"/>
        </w:rPr>
      </w:pPr>
      <w:r>
        <w:rPr>
          <w:sz w:val="22"/>
          <w:szCs w:val="22"/>
        </w:rPr>
        <w:t>&lt;</w:t>
      </w:r>
      <w:r>
        <w:rPr>
          <w:sz w:val="22"/>
          <w:szCs w:val="22"/>
          <w:highlight w:val="yellow"/>
        </w:rPr>
        <w:t>Nom officiel complet tel que figurant dans le formulaire «Entité légale»</w:t>
      </w:r>
      <w:r>
        <w:rPr>
          <w:sz w:val="22"/>
          <w:szCs w:val="22"/>
        </w:rPr>
        <w:t>&gt;</w:t>
      </w:r>
    </w:p>
    <w:p w:rsidR="0018427B" w:rsidRPr="00764A85" w:rsidRDefault="00EC4191" w:rsidP="00532286">
      <w:pPr>
        <w:spacing w:before="120"/>
        <w:jc w:val="both"/>
        <w:rPr>
          <w:sz w:val="22"/>
          <w:szCs w:val="22"/>
        </w:rPr>
      </w:pPr>
      <w:r>
        <w:rPr>
          <w:sz w:val="22"/>
          <w:szCs w:val="22"/>
        </w:rPr>
        <w:t>[&lt;</w:t>
      </w:r>
      <w:r>
        <w:rPr>
          <w:sz w:val="22"/>
          <w:szCs w:val="22"/>
          <w:highlight w:val="yellow"/>
        </w:rPr>
        <w:t>Statut juridique (organisation)</w:t>
      </w:r>
      <w:r>
        <w:rPr>
          <w:sz w:val="22"/>
          <w:szCs w:val="22"/>
        </w:rPr>
        <w:t>&gt;] [&lt;</w:t>
      </w:r>
      <w:r>
        <w:rPr>
          <w:sz w:val="22"/>
          <w:szCs w:val="22"/>
          <w:highlight w:val="yellow"/>
        </w:rPr>
        <w:t>fonction (personne physique)</w:t>
      </w:r>
      <w:r>
        <w:rPr>
          <w:sz w:val="22"/>
          <w:szCs w:val="22"/>
        </w:rPr>
        <w:t>&gt;]</w:t>
      </w:r>
    </w:p>
    <w:p w:rsidR="0018427B" w:rsidRPr="00764A85" w:rsidRDefault="00EC4191" w:rsidP="00532286">
      <w:pPr>
        <w:spacing w:before="120"/>
        <w:jc w:val="both"/>
        <w:rPr>
          <w:sz w:val="22"/>
          <w:szCs w:val="22"/>
        </w:rPr>
      </w:pPr>
      <w:r>
        <w:rPr>
          <w:sz w:val="22"/>
          <w:szCs w:val="22"/>
        </w:rPr>
        <w:t>[&lt;</w:t>
      </w:r>
      <w:r>
        <w:rPr>
          <w:sz w:val="22"/>
          <w:szCs w:val="22"/>
          <w:highlight w:val="yellow"/>
        </w:rPr>
        <w:t>Numéro d’enregistrement officiel de l’organisation</w:t>
      </w:r>
      <w:r>
        <w:rPr>
          <w:sz w:val="22"/>
          <w:szCs w:val="22"/>
        </w:rPr>
        <w:t>&gt;] [&lt;</w:t>
      </w:r>
      <w:r>
        <w:rPr>
          <w:sz w:val="22"/>
          <w:szCs w:val="22"/>
          <w:highlight w:val="yellow"/>
        </w:rPr>
        <w:t>Numéro de passeport ou de carte d’identité</w:t>
      </w:r>
      <w:r>
        <w:rPr>
          <w:sz w:val="22"/>
          <w:szCs w:val="22"/>
        </w:rPr>
        <w:t>&gt;]</w:t>
      </w:r>
    </w:p>
    <w:p w:rsidR="0018427B" w:rsidRPr="00764A85" w:rsidRDefault="00BB0F74" w:rsidP="00532286">
      <w:pPr>
        <w:spacing w:before="120"/>
        <w:jc w:val="both"/>
        <w:rPr>
          <w:sz w:val="22"/>
          <w:szCs w:val="22"/>
        </w:rPr>
      </w:pPr>
      <w:r>
        <w:rPr>
          <w:sz w:val="22"/>
          <w:szCs w:val="22"/>
        </w:rPr>
        <w:t>&lt;</w:t>
      </w:r>
      <w:r>
        <w:rPr>
          <w:sz w:val="22"/>
          <w:szCs w:val="22"/>
          <w:highlight w:val="yellow"/>
        </w:rPr>
        <w:t>Adresse officielle complète</w:t>
      </w:r>
      <w:r>
        <w:rPr>
          <w:sz w:val="22"/>
          <w:szCs w:val="22"/>
        </w:rPr>
        <w:t>&gt;</w:t>
      </w:r>
    </w:p>
    <w:p w:rsidR="00284995" w:rsidRPr="00764A85" w:rsidRDefault="0018427B" w:rsidP="00532286">
      <w:pPr>
        <w:spacing w:before="120"/>
        <w:jc w:val="both"/>
        <w:rPr>
          <w:sz w:val="22"/>
          <w:szCs w:val="22"/>
        </w:rPr>
      </w:pPr>
      <w:r>
        <w:rPr>
          <w:b/>
          <w:sz w:val="22"/>
          <w:szCs w:val="22"/>
        </w:rPr>
        <w:t>[</w:t>
      </w:r>
      <w:r>
        <w:rPr>
          <w:sz w:val="22"/>
          <w:szCs w:val="22"/>
          <w:highlight w:val="yellow"/>
        </w:rPr>
        <w:t>Numéro de TVA, pour les bénéficiaires assujettis à la TVA</w:t>
      </w:r>
      <w:r>
        <w:rPr>
          <w:b/>
          <w:sz w:val="22"/>
          <w:szCs w:val="22"/>
        </w:rPr>
        <w:t>]</w:t>
      </w:r>
      <w:r>
        <w:rPr>
          <w:sz w:val="22"/>
          <w:szCs w:val="22"/>
        </w:rPr>
        <w:t>,</w:t>
      </w:r>
    </w:p>
    <w:p w:rsidR="00B9146B" w:rsidRPr="00764A85" w:rsidRDefault="00B9146B" w:rsidP="00C76959">
      <w:pPr>
        <w:spacing w:before="120"/>
        <w:jc w:val="both"/>
        <w:rPr>
          <w:sz w:val="22"/>
          <w:szCs w:val="22"/>
        </w:rPr>
      </w:pPr>
    </w:p>
    <w:p w:rsidR="00284995" w:rsidRPr="00764A85" w:rsidRDefault="00FB12B8" w:rsidP="00C76959">
      <w:pPr>
        <w:tabs>
          <w:tab w:val="left" w:pos="-1440"/>
          <w:tab w:val="left" w:pos="-720"/>
          <w:tab w:val="left" w:pos="828"/>
          <w:tab w:val="left" w:pos="1044"/>
          <w:tab w:val="left" w:pos="1260"/>
          <w:tab w:val="left" w:pos="1476"/>
          <w:tab w:val="left" w:pos="1692"/>
          <w:tab w:val="left" w:pos="2160"/>
        </w:tabs>
        <w:spacing w:before="120"/>
        <w:rPr>
          <w:vanish/>
          <w:szCs w:val="22"/>
          <w:specVanish/>
        </w:rPr>
      </w:pPr>
      <w:r>
        <w:rPr>
          <w:sz w:val="22"/>
          <w:szCs w:val="22"/>
          <w:highlight w:val="yellow"/>
        </w:rPr>
        <w:t>Dans le cas d’une subvention pluribénéficiaire</w:t>
      </w:r>
      <w:r>
        <w:rPr>
          <w:sz w:val="22"/>
          <w:szCs w:val="22"/>
        </w:rPr>
        <w:t>: [</w:t>
      </w:r>
      <w:r>
        <w:rPr>
          <w:sz w:val="22"/>
          <w:szCs w:val="22"/>
          <w:highlight w:val="lightGray"/>
        </w:rPr>
        <w:t>le «coordonnateur»</w:t>
      </w:r>
    </w:p>
    <w:p w:rsidR="00360390" w:rsidRPr="00764A85" w:rsidRDefault="00360390" w:rsidP="00C76959">
      <w:pPr>
        <w:tabs>
          <w:tab w:val="left" w:pos="-1440"/>
          <w:tab w:val="left" w:pos="-720"/>
          <w:tab w:val="left" w:pos="828"/>
          <w:tab w:val="left" w:pos="1044"/>
          <w:tab w:val="left" w:pos="1260"/>
          <w:tab w:val="left" w:pos="1476"/>
          <w:tab w:val="left" w:pos="1692"/>
          <w:tab w:val="left" w:pos="2160"/>
        </w:tabs>
        <w:spacing w:before="120"/>
        <w:rPr>
          <w:sz w:val="22"/>
          <w:szCs w:val="22"/>
        </w:rPr>
      </w:pPr>
      <w:r>
        <w:rPr>
          <w:sz w:val="22"/>
          <w:szCs w:val="22"/>
        </w:rPr>
        <w:t>]</w:t>
      </w:r>
    </w:p>
    <w:p w:rsidR="00360390" w:rsidRPr="00764A85" w:rsidRDefault="00360390" w:rsidP="00C76959">
      <w:pPr>
        <w:tabs>
          <w:tab w:val="left" w:pos="-1440"/>
          <w:tab w:val="left" w:pos="-720"/>
          <w:tab w:val="left" w:pos="828"/>
          <w:tab w:val="left" w:pos="1044"/>
          <w:tab w:val="left" w:pos="1260"/>
          <w:tab w:val="left" w:pos="1476"/>
          <w:tab w:val="left" w:pos="1692"/>
          <w:tab w:val="left" w:pos="2160"/>
        </w:tabs>
        <w:spacing w:before="120"/>
        <w:rPr>
          <w:sz w:val="22"/>
          <w:szCs w:val="22"/>
        </w:rPr>
      </w:pPr>
    </w:p>
    <w:p w:rsidR="00284995" w:rsidRPr="00764A85" w:rsidRDefault="00B9146B" w:rsidP="00284995">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highlight w:val="lightGray"/>
        </w:rPr>
        <w:t>et</w:t>
      </w:r>
      <w:r>
        <w:rPr>
          <w:sz w:val="22"/>
          <w:szCs w:val="22"/>
        </w:rPr>
        <w:t xml:space="preserve"> </w:t>
      </w:r>
    </w:p>
    <w:p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Nom officiel complet, tel que figurant dans le formulaire «Entité légale», de tout cobénéficiaire éventuel</w:t>
      </w:r>
      <w:r>
        <w:rPr>
          <w:sz w:val="22"/>
          <w:szCs w:val="22"/>
        </w:rPr>
        <w:t>&gt;</w:t>
      </w:r>
    </w:p>
    <w:p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Statut juridique (organisation)</w:t>
      </w:r>
      <w:r>
        <w:rPr>
          <w:sz w:val="22"/>
          <w:szCs w:val="22"/>
        </w:rPr>
        <w:t>&gt;] [&lt;</w:t>
      </w:r>
      <w:r>
        <w:rPr>
          <w:sz w:val="22"/>
          <w:szCs w:val="22"/>
          <w:highlight w:val="yellow"/>
        </w:rPr>
        <w:t>fonction (personne physique)</w:t>
      </w:r>
      <w:r>
        <w:rPr>
          <w:sz w:val="22"/>
          <w:szCs w:val="22"/>
        </w:rPr>
        <w:t>&gt;]</w:t>
      </w:r>
    </w:p>
    <w:p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Numéro d’enregistrement officiel de l’organisation</w:t>
      </w:r>
      <w:r>
        <w:rPr>
          <w:sz w:val="22"/>
          <w:szCs w:val="22"/>
        </w:rPr>
        <w:t>&gt;] [&lt;</w:t>
      </w:r>
      <w:r>
        <w:rPr>
          <w:sz w:val="22"/>
          <w:szCs w:val="22"/>
          <w:highlight w:val="yellow"/>
        </w:rPr>
        <w:t>Numéro de passeport ou de carte d’identité</w:t>
      </w:r>
      <w:r>
        <w:rPr>
          <w:sz w:val="22"/>
          <w:szCs w:val="22"/>
        </w:rPr>
        <w:t>&gt;]</w:t>
      </w:r>
    </w:p>
    <w:p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Adresse officielle complète</w:t>
      </w:r>
      <w:r>
        <w:rPr>
          <w:sz w:val="22"/>
          <w:szCs w:val="22"/>
        </w:rPr>
        <w:t>&gt;</w:t>
      </w:r>
    </w:p>
    <w:p w:rsidR="00B67F8B" w:rsidRPr="00764A85" w:rsidRDefault="00B9146B" w:rsidP="00284995">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w:t>
      </w:r>
      <w:r>
        <w:rPr>
          <w:sz w:val="22"/>
          <w:szCs w:val="22"/>
          <w:highlight w:val="yellow"/>
        </w:rPr>
        <w:t>Numéro de TVA, pour les bénéficiaires assujettis à la TVA</w:t>
      </w:r>
      <w:r>
        <w:rPr>
          <w:sz w:val="22"/>
          <w:szCs w:val="22"/>
        </w:rPr>
        <w:t>],</w:t>
      </w:r>
    </w:p>
    <w:p w:rsidR="00360390" w:rsidRPr="00764A85" w:rsidRDefault="00284995" w:rsidP="00C76959">
      <w:pPr>
        <w:tabs>
          <w:tab w:val="left" w:pos="-1440"/>
          <w:tab w:val="left" w:pos="-720"/>
          <w:tab w:val="left" w:pos="828"/>
          <w:tab w:val="left" w:pos="1044"/>
          <w:tab w:val="left" w:pos="1260"/>
          <w:tab w:val="left" w:pos="1476"/>
          <w:tab w:val="left" w:pos="1692"/>
          <w:tab w:val="left" w:pos="1860"/>
          <w:tab w:val="left" w:pos="2160"/>
        </w:tabs>
        <w:spacing w:before="120"/>
        <w:jc w:val="both"/>
        <w:rPr>
          <w:sz w:val="22"/>
          <w:szCs w:val="22"/>
        </w:rPr>
      </w:pPr>
      <w:r>
        <w:rPr>
          <w:sz w:val="22"/>
          <w:szCs w:val="22"/>
          <w:highlight w:val="lightGray"/>
        </w:rPr>
        <w:t>ayant donné procuration au coordonnateur</w:t>
      </w:r>
      <w:r w:rsidR="00B67F8B" w:rsidRPr="00F13D45">
        <w:rPr>
          <w:rStyle w:val="FootnoteReference"/>
          <w:sz w:val="22"/>
          <w:szCs w:val="22"/>
          <w:highlight w:val="lightGray"/>
        </w:rPr>
        <w:footnoteReference w:id="1"/>
      </w:r>
      <w:r>
        <w:rPr>
          <w:sz w:val="22"/>
          <w:szCs w:val="22"/>
          <w:highlight w:val="lightGray"/>
        </w:rPr>
        <w:t xml:space="preserve"> aux fins de la signature du contrat, collectivement dénommés le(s) «bénéficiaire(s)» lorsqu’une disposition s’applique sans distinction au coordonnateur et au(x) cobénéficiaire(s)</w:t>
      </w:r>
      <w:r>
        <w:rPr>
          <w:sz w:val="22"/>
          <w:szCs w:val="22"/>
        </w:rPr>
        <w:t>]</w:t>
      </w:r>
    </w:p>
    <w:p w:rsidR="00C2718F" w:rsidRPr="00764A85" w:rsidRDefault="00C2718F" w:rsidP="00532286">
      <w:pPr>
        <w:tabs>
          <w:tab w:val="left" w:pos="-1440"/>
          <w:tab w:val="left" w:pos="-720"/>
          <w:tab w:val="left" w:pos="828"/>
          <w:tab w:val="left" w:pos="1044"/>
          <w:tab w:val="left" w:pos="1260"/>
          <w:tab w:val="left" w:pos="1476"/>
          <w:tab w:val="left" w:pos="1692"/>
          <w:tab w:val="left" w:pos="2160"/>
        </w:tabs>
        <w:spacing w:before="120"/>
        <w:jc w:val="right"/>
        <w:rPr>
          <w:sz w:val="22"/>
        </w:rPr>
      </w:pPr>
      <w:r>
        <w:rPr>
          <w:sz w:val="22"/>
        </w:rPr>
        <w:t>d’autre part,</w:t>
      </w:r>
    </w:p>
    <w:p w:rsidR="00B25C33" w:rsidRPr="00764A85" w:rsidRDefault="00B25C33" w:rsidP="00532286">
      <w:pPr>
        <w:spacing w:before="120"/>
        <w:jc w:val="both"/>
        <w:rPr>
          <w:sz w:val="22"/>
        </w:rPr>
      </w:pPr>
      <w:r>
        <w:rPr>
          <w:sz w:val="22"/>
        </w:rPr>
        <w:t>(les «parties»)</w:t>
      </w:r>
    </w:p>
    <w:p w:rsidR="00360390" w:rsidRPr="00764A85" w:rsidRDefault="00360390" w:rsidP="00532286">
      <w:pPr>
        <w:spacing w:before="120"/>
        <w:jc w:val="both"/>
        <w:rPr>
          <w:sz w:val="22"/>
        </w:rPr>
      </w:pPr>
    </w:p>
    <w:p w:rsidR="00C2718F" w:rsidRPr="00764A85" w:rsidRDefault="00C2718F" w:rsidP="00532286">
      <w:pPr>
        <w:spacing w:before="120"/>
        <w:jc w:val="both"/>
        <w:rPr>
          <w:sz w:val="22"/>
        </w:rPr>
      </w:pPr>
      <w:r>
        <w:rPr>
          <w:sz w:val="22"/>
        </w:rPr>
        <w:t>sont convenus de ce qui suit:</w:t>
      </w:r>
    </w:p>
    <w:p w:rsidR="00360390" w:rsidRPr="00764A85" w:rsidRDefault="00360390" w:rsidP="00532286">
      <w:pPr>
        <w:spacing w:before="120"/>
        <w:jc w:val="both"/>
        <w:rPr>
          <w:sz w:val="22"/>
        </w:rPr>
      </w:pPr>
    </w:p>
    <w:p w:rsidR="00C2718F" w:rsidRPr="00764A85" w:rsidRDefault="00C2718F" w:rsidP="00D40496">
      <w:pPr>
        <w:pageBreakBefore/>
        <w:spacing w:before="120" w:after="240"/>
        <w:jc w:val="center"/>
        <w:rPr>
          <w:b/>
          <w:sz w:val="28"/>
        </w:rPr>
      </w:pPr>
      <w:r>
        <w:rPr>
          <w:b/>
          <w:sz w:val="28"/>
        </w:rPr>
        <w:lastRenderedPageBreak/>
        <w:t>Conditions particulières</w:t>
      </w:r>
    </w:p>
    <w:p w:rsidR="00C2718F" w:rsidRPr="00764A85" w:rsidRDefault="00C2718F" w:rsidP="00764A85">
      <w:pPr>
        <w:pStyle w:val="Text1"/>
        <w:spacing w:before="240" w:after="0"/>
        <w:ind w:left="567" w:hanging="567"/>
        <w:jc w:val="both"/>
        <w:rPr>
          <w:b/>
        </w:rPr>
      </w:pPr>
      <w:r>
        <w:rPr>
          <w:b/>
        </w:rPr>
        <w:t>Article premier – Objet</w:t>
      </w:r>
    </w:p>
    <w:p w:rsidR="00C2718F" w:rsidRPr="00764A85" w:rsidRDefault="00C2718F" w:rsidP="00D46EF8">
      <w:pPr>
        <w:spacing w:before="120"/>
        <w:ind w:left="567" w:hanging="567"/>
        <w:jc w:val="both"/>
        <w:rPr>
          <w:sz w:val="22"/>
        </w:rPr>
      </w:pPr>
      <w:r>
        <w:rPr>
          <w:sz w:val="22"/>
        </w:rPr>
        <w:t>1.1</w:t>
      </w:r>
      <w:r>
        <w:rPr>
          <w:sz w:val="22"/>
        </w:rPr>
        <w:tab/>
        <w:t>Le présent contrat a pour objet l’octroi, par l’administration contractante, d’une subvention destinée à financer [</w:t>
      </w:r>
      <w:r>
        <w:rPr>
          <w:sz w:val="22"/>
          <w:highlight w:val="yellow"/>
        </w:rPr>
        <w:t>pour une subvention à l’action:</w:t>
      </w:r>
      <w:r>
        <w:rPr>
          <w:sz w:val="22"/>
        </w:rPr>
        <w:t xml:space="preserve"> </w:t>
      </w:r>
      <w:r>
        <w:rPr>
          <w:sz w:val="22"/>
          <w:highlight w:val="lightGray"/>
        </w:rPr>
        <w:t>la mise en œuvre de l’action intitulée:</w:t>
      </w:r>
      <w:r>
        <w:rPr>
          <w:sz w:val="22"/>
        </w:rPr>
        <w:t xml:space="preserve"> &lt;</w:t>
      </w:r>
      <w:r>
        <w:rPr>
          <w:sz w:val="22"/>
          <w:highlight w:val="yellow"/>
        </w:rPr>
        <w:t>intitulé de l’action</w:t>
      </w:r>
      <w:r>
        <w:rPr>
          <w:sz w:val="22"/>
        </w:rPr>
        <w:t xml:space="preserve">&gt; </w:t>
      </w:r>
      <w:r>
        <w:rPr>
          <w:sz w:val="22"/>
          <w:highlight w:val="lightGray"/>
        </w:rPr>
        <w:t>(l’«action»)</w:t>
      </w:r>
      <w:r>
        <w:rPr>
          <w:sz w:val="22"/>
        </w:rPr>
        <w:t>] [</w:t>
      </w:r>
      <w:r>
        <w:rPr>
          <w:sz w:val="22"/>
          <w:highlight w:val="yellow"/>
        </w:rPr>
        <w:t>pour une subvention de fonctionnement:</w:t>
      </w:r>
      <w:r>
        <w:rPr>
          <w:sz w:val="22"/>
          <w:highlight w:val="lightGray"/>
        </w:rPr>
        <w:t xml:space="preserve"> une subvention de fonctionnement pour </w:t>
      </w:r>
      <w:r>
        <w:rPr>
          <w:sz w:val="22"/>
          <w:highlight w:val="yellow"/>
        </w:rPr>
        <w:t>&lt;précisez&gt;</w:t>
      </w:r>
      <w:r>
        <w:rPr>
          <w:sz w:val="22"/>
        </w:rPr>
        <w:t xml:space="preserve"> </w:t>
      </w:r>
      <w:r>
        <w:rPr>
          <w:sz w:val="22"/>
          <w:highlight w:val="lightGray"/>
        </w:rPr>
        <w:t>(le «programme de travail»)</w:t>
      </w:r>
      <w:r>
        <w:rPr>
          <w:sz w:val="22"/>
        </w:rPr>
        <w:t>], décrite dans l’annexe I.</w:t>
      </w:r>
    </w:p>
    <w:p w:rsidR="00C2718F" w:rsidRPr="00764A85" w:rsidRDefault="00C2718F" w:rsidP="00532286">
      <w:pPr>
        <w:spacing w:before="120"/>
        <w:ind w:left="567" w:hanging="567"/>
        <w:jc w:val="both"/>
        <w:rPr>
          <w:sz w:val="22"/>
        </w:rPr>
      </w:pPr>
      <w:r>
        <w:rPr>
          <w:sz w:val="22"/>
        </w:rPr>
        <w:t>1.2</w:t>
      </w:r>
      <w:r>
        <w:rPr>
          <w:sz w:val="22"/>
        </w:rPr>
        <w:tab/>
        <w:t>La subvention est octroyée au(x) bénéficiaire(s) aux conditions stipulées dans le présent contrat, qui se compose des présentes conditions particulières (les «conditions particulières») et des annexes, que le(s) bénéficiaire(s) déclare(nt) connaître et accepter.</w:t>
      </w:r>
    </w:p>
    <w:p w:rsidR="00C2718F" w:rsidRPr="00764A85" w:rsidRDefault="00C2718F" w:rsidP="00532286">
      <w:pPr>
        <w:spacing w:before="120"/>
        <w:ind w:left="567" w:hanging="567"/>
        <w:jc w:val="both"/>
        <w:rPr>
          <w:sz w:val="22"/>
        </w:rPr>
      </w:pPr>
      <w:r>
        <w:rPr>
          <w:sz w:val="22"/>
        </w:rPr>
        <w:t>1.3</w:t>
      </w:r>
      <w:r>
        <w:rPr>
          <w:sz w:val="22"/>
        </w:rPr>
        <w:tab/>
        <w:t>Le(s) bénéficiaire(s) accepte(nt) la subvention et s’engage(nt) à mettre en œuvre l’action sous sa/leur responsabilité.</w:t>
      </w:r>
    </w:p>
    <w:p w:rsidR="00C2718F" w:rsidRPr="00764A85" w:rsidRDefault="00C2718F" w:rsidP="00764A85">
      <w:pPr>
        <w:spacing w:before="240"/>
        <w:ind w:left="567" w:hanging="567"/>
        <w:jc w:val="both"/>
        <w:rPr>
          <w:b/>
        </w:rPr>
      </w:pPr>
      <w:r>
        <w:rPr>
          <w:b/>
        </w:rPr>
        <w:t>Article 2 – Période de mise en œuvre de l’action</w:t>
      </w:r>
    </w:p>
    <w:p w:rsidR="00C2718F" w:rsidRPr="00764A85" w:rsidRDefault="00C2718F" w:rsidP="00532286">
      <w:pPr>
        <w:spacing w:before="120"/>
        <w:ind w:left="567" w:hanging="567"/>
        <w:jc w:val="both"/>
        <w:rPr>
          <w:sz w:val="22"/>
        </w:rPr>
      </w:pPr>
      <w:r>
        <w:rPr>
          <w:sz w:val="22"/>
        </w:rPr>
        <w:t>2.1</w:t>
      </w:r>
      <w:r>
        <w:rPr>
          <w:sz w:val="22"/>
        </w:rPr>
        <w:tab/>
      </w:r>
      <w:r>
        <w:rPr>
          <w:snapToGrid w:val="0"/>
          <w:sz w:val="22"/>
        </w:rPr>
        <w:t>Le présent contrat entre en vigueur à la date de la signature par la dernière des deux parties.</w:t>
      </w:r>
    </w:p>
    <w:p w:rsidR="00C2718F" w:rsidRPr="00F13D45" w:rsidRDefault="00C2718F" w:rsidP="00FB0431">
      <w:pPr>
        <w:spacing w:before="120"/>
        <w:ind w:left="567" w:hanging="567"/>
        <w:jc w:val="both"/>
        <w:rPr>
          <w:sz w:val="22"/>
          <w:highlight w:val="lightGray"/>
        </w:rPr>
      </w:pPr>
      <w:r>
        <w:rPr>
          <w:sz w:val="22"/>
        </w:rPr>
        <w:t>2.2</w:t>
      </w:r>
      <w:r>
        <w:rPr>
          <w:sz w:val="22"/>
        </w:rPr>
        <w:tab/>
        <w:t>La mise en œuvre [</w:t>
      </w:r>
      <w:r>
        <w:rPr>
          <w:sz w:val="22"/>
          <w:highlight w:val="lightGray"/>
        </w:rPr>
        <w:t>de l’action] [du programme de travail</w:t>
      </w:r>
      <w:r>
        <w:rPr>
          <w:sz w:val="22"/>
        </w:rPr>
        <w:t>] commence:</w:t>
      </w:r>
    </w:p>
    <w:p w:rsidR="00C2718F" w:rsidRPr="00F13D45" w:rsidRDefault="00C2718F" w:rsidP="00532286">
      <w:pPr>
        <w:spacing w:before="120"/>
        <w:ind w:left="567"/>
        <w:jc w:val="both"/>
        <w:rPr>
          <w:sz w:val="22"/>
          <w:highlight w:val="yellow"/>
        </w:rPr>
      </w:pPr>
      <w:r>
        <w:rPr>
          <w:sz w:val="22"/>
          <w:highlight w:val="yellow"/>
        </w:rPr>
        <w:t>choisir parmi les options suivantes:</w:t>
      </w:r>
    </w:p>
    <w:p w:rsidR="00C2718F" w:rsidRPr="00764A85" w:rsidRDefault="00C2718F" w:rsidP="00532286">
      <w:pPr>
        <w:widowControl w:val="0"/>
        <w:spacing w:before="120"/>
        <w:ind w:left="851" w:hanging="142"/>
        <w:rPr>
          <w:snapToGrid w:val="0"/>
          <w:sz w:val="22"/>
          <w:highlight w:val="lightGray"/>
        </w:rPr>
      </w:pPr>
      <w:r>
        <w:rPr>
          <w:i/>
          <w:snapToGrid w:val="0"/>
          <w:sz w:val="22"/>
          <w:highlight w:val="lightGray"/>
        </w:rPr>
        <w:t>-</w:t>
      </w:r>
      <w:r>
        <w:rPr>
          <w:snapToGrid w:val="0"/>
          <w:sz w:val="22"/>
          <w:highlight w:val="lightGray"/>
        </w:rPr>
        <w:tab/>
        <w:t>[le jour suivant le jour de la signature par la dernière des deux parties]</w:t>
      </w:r>
    </w:p>
    <w:p w:rsidR="00FA57C7" w:rsidRPr="00764A85" w:rsidRDefault="00C2718F" w:rsidP="00532286">
      <w:pPr>
        <w:spacing w:before="120"/>
        <w:ind w:left="851" w:hanging="142"/>
        <w:jc w:val="both"/>
        <w:rPr>
          <w:snapToGrid w:val="0"/>
          <w:sz w:val="22"/>
          <w:highlight w:val="lightGray"/>
        </w:rPr>
      </w:pPr>
      <w:r>
        <w:rPr>
          <w:snapToGrid w:val="0"/>
          <w:sz w:val="22"/>
          <w:highlight w:val="lightGray"/>
        </w:rPr>
        <w:t>-</w:t>
      </w:r>
      <w:r>
        <w:rPr>
          <w:snapToGrid w:val="0"/>
          <w:sz w:val="22"/>
          <w:highlight w:val="lightGray"/>
        </w:rPr>
        <w:tab/>
        <w:t>[le premier jour du mois suivant la date de versement de la première tranche de préfinancement par l’administration contractante]</w:t>
      </w:r>
    </w:p>
    <w:p w:rsidR="00C2718F" w:rsidRPr="00041A83" w:rsidRDefault="00C2718F" w:rsidP="00532286">
      <w:pPr>
        <w:spacing w:before="120"/>
        <w:ind w:left="851" w:hanging="142"/>
        <w:jc w:val="both"/>
        <w:rPr>
          <w:snapToGrid w:val="0"/>
          <w:sz w:val="22"/>
          <w:highlight w:val="yellow"/>
        </w:rPr>
      </w:pPr>
      <w:r>
        <w:rPr>
          <w:snapToGrid w:val="0"/>
          <w:sz w:val="22"/>
          <w:highlight w:val="lightGray"/>
        </w:rPr>
        <w:t>-</w:t>
      </w:r>
      <w:r>
        <w:rPr>
          <w:snapToGrid w:val="0"/>
          <w:sz w:val="22"/>
          <w:highlight w:val="lightGray"/>
        </w:rPr>
        <w:tab/>
      </w:r>
      <w:r>
        <w:rPr>
          <w:snapToGrid w:val="0"/>
          <w:sz w:val="22"/>
          <w:highlight w:val="yellow"/>
        </w:rPr>
        <w:t>[&lt;une date ultérieure (indiquez laquelle)&gt;]</w:t>
      </w:r>
    </w:p>
    <w:p w:rsidR="00C2718F" w:rsidRPr="00764A85" w:rsidRDefault="00C2718F" w:rsidP="00532286">
      <w:pPr>
        <w:widowControl w:val="0"/>
        <w:spacing w:before="120"/>
        <w:ind w:left="851" w:hanging="142"/>
        <w:jc w:val="both"/>
        <w:rPr>
          <w:snapToGrid w:val="0"/>
          <w:sz w:val="22"/>
        </w:rPr>
      </w:pPr>
      <w:r>
        <w:rPr>
          <w:snapToGrid w:val="0"/>
          <w:sz w:val="22"/>
          <w:highlight w:val="lightGray"/>
        </w:rPr>
        <w:t>-</w:t>
      </w:r>
      <w:r>
        <w:rPr>
          <w:snapToGrid w:val="0"/>
          <w:sz w:val="22"/>
          <w:highlight w:val="lightGray"/>
        </w:rPr>
        <w:tab/>
      </w:r>
      <w:r>
        <w:rPr>
          <w:snapToGrid w:val="0"/>
          <w:sz w:val="22"/>
          <w:highlight w:val="yellow"/>
        </w:rPr>
        <w:t>[&lt;</w:t>
      </w:r>
      <w:r>
        <w:rPr>
          <w:iCs/>
          <w:snapToGrid w:val="0"/>
          <w:sz w:val="22"/>
          <w:highlight w:val="yellow"/>
        </w:rPr>
        <w:t>à titre exceptionnel et sous réserve des conditions relatives à l’éligibilité rétroactive mentionnées dans le Guide pratique des procédures contractuelles applicables à l’action extérieure de l’UE (PRAG)</w:t>
      </w:r>
      <w:r>
        <w:rPr>
          <w:snapToGrid w:val="0"/>
          <w:sz w:val="22"/>
          <w:highlight w:val="yellow"/>
        </w:rPr>
        <w:t>, une date antérieure à la signature du contrat mais non antérieure à la demande de subvention par le(s) bénéficiaire(s) (indiquez la date)</w:t>
      </w:r>
      <w:r w:rsidR="00F04226" w:rsidRPr="00F13D45">
        <w:rPr>
          <w:rStyle w:val="FootnoteReference"/>
          <w:snapToGrid w:val="0"/>
          <w:sz w:val="22"/>
          <w:highlight w:val="yellow"/>
        </w:rPr>
        <w:footnoteReference w:id="2"/>
      </w:r>
      <w:r>
        <w:rPr>
          <w:snapToGrid w:val="0"/>
          <w:sz w:val="22"/>
          <w:highlight w:val="yellow"/>
        </w:rPr>
        <w:t>&gt;]</w:t>
      </w:r>
    </w:p>
    <w:p w:rsidR="00EC4191" w:rsidRPr="00041A83" w:rsidRDefault="00C2718F" w:rsidP="00532286">
      <w:pPr>
        <w:spacing w:before="120"/>
        <w:ind w:left="567" w:hanging="567"/>
        <w:jc w:val="both"/>
        <w:rPr>
          <w:sz w:val="22"/>
        </w:rPr>
      </w:pPr>
      <w:r>
        <w:rPr>
          <w:sz w:val="22"/>
        </w:rPr>
        <w:t>2.3</w:t>
      </w:r>
      <w:r>
        <w:rPr>
          <w:sz w:val="22"/>
        </w:rPr>
        <w:tab/>
        <w:t>La période de mise en œuvre [</w:t>
      </w:r>
      <w:r>
        <w:rPr>
          <w:sz w:val="22"/>
          <w:highlight w:val="lightGray"/>
        </w:rPr>
        <w:t>de l’action] [du programme de travail</w:t>
      </w:r>
      <w:r w:rsidR="00BC51FC">
        <w:rPr>
          <w:rStyle w:val="FootnoteReference"/>
          <w:sz w:val="22"/>
          <w:highlight w:val="lightGray"/>
        </w:rPr>
        <w:footnoteReference w:id="3"/>
      </w:r>
      <w:r>
        <w:rPr>
          <w:sz w:val="22"/>
        </w:rPr>
        <w:t>], précisée dans l’annexe I, est de &lt;</w:t>
      </w:r>
      <w:r>
        <w:rPr>
          <w:sz w:val="22"/>
          <w:highlight w:val="yellow"/>
        </w:rPr>
        <w:t>nombre de mois</w:t>
      </w:r>
      <w:r>
        <w:rPr>
          <w:sz w:val="22"/>
        </w:rPr>
        <w:t>&gt;.</w:t>
      </w:r>
    </w:p>
    <w:p w:rsidR="00EC4191" w:rsidRPr="00764A85" w:rsidRDefault="00EC4191" w:rsidP="00532286">
      <w:pPr>
        <w:spacing w:before="120"/>
        <w:ind w:left="567" w:hanging="567"/>
        <w:jc w:val="both"/>
        <w:rPr>
          <w:sz w:val="22"/>
        </w:rPr>
      </w:pPr>
      <w:r>
        <w:rPr>
          <w:sz w:val="22"/>
        </w:rPr>
        <w:t>2.4</w:t>
      </w:r>
      <w:r>
        <w:rPr>
          <w:sz w:val="22"/>
        </w:rPr>
        <w:tab/>
        <w:t>La période d’exécution du présent contrat se termine à la date de versement du solde par l’administration contractante et, en tout état de cause, au plus tard dix-huit mois après la fin de la période de mise en œuvre mentionnée au point 2.3 ci-dessus, à moins que celle-ci ne soit reportée en application du point 12.5 de l’annexe II.</w:t>
      </w:r>
    </w:p>
    <w:p w:rsidR="00C2718F" w:rsidRPr="00764A85" w:rsidRDefault="00C2718F" w:rsidP="00764A85">
      <w:pPr>
        <w:pStyle w:val="Text1"/>
        <w:spacing w:before="240" w:after="0"/>
        <w:ind w:left="567" w:hanging="567"/>
        <w:jc w:val="both"/>
        <w:rPr>
          <w:b/>
        </w:rPr>
      </w:pPr>
      <w:r>
        <w:rPr>
          <w:b/>
        </w:rPr>
        <w:t>Article 3 – Financement de l’action</w:t>
      </w:r>
      <w:r w:rsidR="009C76AB" w:rsidRPr="00764A85">
        <w:rPr>
          <w:rStyle w:val="FootnoteReference"/>
        </w:rPr>
        <w:footnoteReference w:id="4"/>
      </w:r>
    </w:p>
    <w:p w:rsidR="00C81A9D" w:rsidRPr="00764A85" w:rsidRDefault="00C2718F" w:rsidP="00C76959">
      <w:pPr>
        <w:spacing w:before="120"/>
        <w:ind w:left="567" w:hanging="567"/>
        <w:jc w:val="both"/>
        <w:rPr>
          <w:sz w:val="22"/>
        </w:rPr>
      </w:pPr>
      <w:r>
        <w:rPr>
          <w:sz w:val="22"/>
        </w:rPr>
        <w:t>3.1</w:t>
      </w:r>
      <w:r>
        <w:rPr>
          <w:sz w:val="22"/>
        </w:rPr>
        <w:tab/>
        <w:t xml:space="preserve">Le montant total des coûts éligibles est estimé à </w:t>
      </w:r>
      <w:r>
        <w:rPr>
          <w:sz w:val="22"/>
          <w:highlight w:val="yellow"/>
        </w:rPr>
        <w:t>&lt;montant, pour les subventions à l’action, indiquez le montant figurant à la rubrique 11 de l’annexe III&gt;</w:t>
      </w:r>
      <w:r>
        <w:rPr>
          <w:sz w:val="22"/>
        </w:rPr>
        <w:t xml:space="preserve"> [</w:t>
      </w:r>
      <w:r>
        <w:rPr>
          <w:sz w:val="22"/>
          <w:highlight w:val="lightGray"/>
        </w:rPr>
        <w:t>EUR</w:t>
      </w:r>
      <w:r>
        <w:rPr>
          <w:sz w:val="22"/>
        </w:rPr>
        <w:t xml:space="preserve">] </w:t>
      </w:r>
      <w:r>
        <w:rPr>
          <w:sz w:val="22"/>
          <w:highlight w:val="yellow"/>
        </w:rPr>
        <w:t>[&lt;monnaie du pays de l’administration contractante&gt;]</w:t>
      </w:r>
      <w:r>
        <w:rPr>
          <w:sz w:val="22"/>
        </w:rPr>
        <w:t>, tel qu’indiqué dans l’annexe III.</w:t>
      </w:r>
    </w:p>
    <w:p w:rsidR="007F2301" w:rsidRPr="00764A85" w:rsidRDefault="00C2718F" w:rsidP="00532286">
      <w:pPr>
        <w:spacing w:before="120"/>
        <w:ind w:left="567" w:hanging="567"/>
        <w:jc w:val="both"/>
        <w:rPr>
          <w:sz w:val="22"/>
        </w:rPr>
      </w:pPr>
      <w:r>
        <w:rPr>
          <w:sz w:val="22"/>
        </w:rPr>
        <w:t>3.2</w:t>
      </w:r>
      <w:r>
        <w:rPr>
          <w:sz w:val="22"/>
        </w:rPr>
        <w:tab/>
        <w:t>L’administration contractante s’engage à financer un montant maximum de &lt;</w:t>
      </w:r>
      <w:r>
        <w:rPr>
          <w:sz w:val="22"/>
          <w:highlight w:val="yellow"/>
        </w:rPr>
        <w:t>montant</w:t>
      </w:r>
      <w:r>
        <w:rPr>
          <w:sz w:val="22"/>
        </w:rPr>
        <w:t>&gt; [</w:t>
      </w:r>
      <w:r>
        <w:rPr>
          <w:sz w:val="22"/>
          <w:highlight w:val="lightGray"/>
        </w:rPr>
        <w:t>EUR</w:t>
      </w:r>
      <w:r>
        <w:rPr>
          <w:sz w:val="22"/>
        </w:rPr>
        <w:t>] [&lt;</w:t>
      </w:r>
      <w:r>
        <w:rPr>
          <w:sz w:val="22"/>
          <w:highlight w:val="yellow"/>
        </w:rPr>
        <w:t>monnaie du pays de l’administration contractante</w:t>
      </w:r>
      <w:r>
        <w:rPr>
          <w:sz w:val="22"/>
        </w:rPr>
        <w:t xml:space="preserve">&gt;]. </w:t>
      </w:r>
    </w:p>
    <w:p w:rsidR="00C81A9D" w:rsidRPr="00764A85" w:rsidRDefault="007F2301" w:rsidP="00C76959">
      <w:pPr>
        <w:spacing w:before="120"/>
        <w:ind w:left="567"/>
        <w:jc w:val="both"/>
        <w:rPr>
          <w:sz w:val="22"/>
        </w:rPr>
      </w:pPr>
      <w:r>
        <w:rPr>
          <w:sz w:val="22"/>
        </w:rPr>
        <w:t>La subvention est en outre limitée à &lt;</w:t>
      </w:r>
      <w:r>
        <w:rPr>
          <w:sz w:val="22"/>
          <w:highlight w:val="yellow"/>
        </w:rPr>
        <w:t>indiquez le pourcentage applicable</w:t>
      </w:r>
      <w:r>
        <w:rPr>
          <w:sz w:val="22"/>
        </w:rPr>
        <w:t>&gt; du montant total des coûts éligibles [</w:t>
      </w:r>
      <w:r>
        <w:rPr>
          <w:sz w:val="22"/>
          <w:highlight w:val="lightGray"/>
        </w:rPr>
        <w:t>de l’action</w:t>
      </w:r>
      <w:r>
        <w:rPr>
          <w:sz w:val="22"/>
        </w:rPr>
        <w:t>] [</w:t>
      </w:r>
      <w:r>
        <w:rPr>
          <w:sz w:val="22"/>
          <w:highlight w:val="yellow"/>
        </w:rPr>
        <w:t xml:space="preserve">pour les subventions de fonctionnement: </w:t>
      </w:r>
      <w:r>
        <w:rPr>
          <w:sz w:val="22"/>
          <w:highlight w:val="lightGray"/>
        </w:rPr>
        <w:t>du budget de fonctionnement</w:t>
      </w:r>
      <w:r>
        <w:rPr>
          <w:sz w:val="22"/>
        </w:rPr>
        <w:t>] indiqué au paragraphe 1.</w:t>
      </w:r>
    </w:p>
    <w:p w:rsidR="00A825C7" w:rsidRPr="00764A85" w:rsidRDefault="00B0502F" w:rsidP="00532286">
      <w:pPr>
        <w:spacing w:before="120"/>
        <w:ind w:left="567"/>
        <w:jc w:val="both"/>
        <w:rPr>
          <w:sz w:val="22"/>
        </w:rPr>
      </w:pPr>
      <w:r>
        <w:rPr>
          <w:sz w:val="22"/>
        </w:rPr>
        <w:lastRenderedPageBreak/>
        <w:t xml:space="preserve">Le montant final de la contribution de l’administration contractante est établi conformément aux articles 14 et 17 de l’annexe II.  </w:t>
      </w:r>
    </w:p>
    <w:p w:rsidR="00C676C0" w:rsidRDefault="00721234" w:rsidP="002326A2">
      <w:pPr>
        <w:keepNext/>
        <w:spacing w:before="120"/>
        <w:ind w:left="567" w:hanging="567"/>
        <w:jc w:val="both"/>
        <w:rPr>
          <w:sz w:val="22"/>
        </w:rPr>
      </w:pPr>
      <w:r>
        <w:rPr>
          <w:sz w:val="22"/>
          <w:highlight w:val="yellow"/>
        </w:rPr>
        <w:t>Pour les subventions à l’action uniquement:</w:t>
      </w:r>
      <w:r>
        <w:rPr>
          <w:sz w:val="22"/>
        </w:rPr>
        <w:t xml:space="preserve"> </w:t>
      </w:r>
    </w:p>
    <w:p w:rsidR="00CD0D3A" w:rsidRPr="00764A85" w:rsidRDefault="00C676C0" w:rsidP="00532286">
      <w:pPr>
        <w:spacing w:before="120"/>
        <w:ind w:left="567" w:hanging="567"/>
        <w:jc w:val="both"/>
        <w:rPr>
          <w:sz w:val="22"/>
        </w:rPr>
      </w:pPr>
      <w:r>
        <w:rPr>
          <w:sz w:val="22"/>
        </w:rPr>
        <w:t>[3.3</w:t>
      </w:r>
      <w:r>
        <w:rPr>
          <w:sz w:val="22"/>
        </w:rPr>
        <w:tab/>
      </w:r>
      <w:r>
        <w:rPr>
          <w:sz w:val="22"/>
          <w:highlight w:val="lightGray"/>
        </w:rPr>
        <w:t>Conformément au point 14.8 de l’annexe II, &lt;</w:t>
      </w:r>
      <w:r>
        <w:rPr>
          <w:sz w:val="22"/>
          <w:highlight w:val="yellow"/>
        </w:rPr>
        <w:t>indiquez le pourcentage, 7 % max...</w:t>
      </w:r>
      <w:r>
        <w:rPr>
          <w:sz w:val="22"/>
          <w:highlight w:val="lightGray"/>
        </w:rPr>
        <w:t>&gt; % du montant final des coûts directs éligibles de l’action établi conformément aux articles 14 et 17 de l’annexe II peuvent être inscrits comme coûts indirects.</w:t>
      </w:r>
      <w:r>
        <w:rPr>
          <w:sz w:val="22"/>
        </w:rPr>
        <w:t>]</w:t>
      </w:r>
    </w:p>
    <w:p w:rsidR="00076102" w:rsidRPr="00764A85" w:rsidRDefault="00C2718F" w:rsidP="00764A85">
      <w:pPr>
        <w:keepNext/>
        <w:keepLines/>
        <w:spacing w:before="120"/>
        <w:jc w:val="both"/>
        <w:rPr>
          <w:b/>
        </w:rPr>
      </w:pPr>
      <w:r>
        <w:rPr>
          <w:b/>
        </w:rPr>
        <w:t>Article 4 – Règles en matière de compte rendu et de paiement</w:t>
      </w:r>
    </w:p>
    <w:p w:rsidR="00C2718F" w:rsidRDefault="00C2718F" w:rsidP="00764A85">
      <w:pPr>
        <w:keepNext/>
        <w:keepLines/>
        <w:spacing w:before="120"/>
        <w:ind w:left="567" w:hanging="567"/>
        <w:jc w:val="both"/>
        <w:rPr>
          <w:sz w:val="22"/>
        </w:rPr>
      </w:pPr>
      <w:r>
        <w:rPr>
          <w:sz w:val="22"/>
        </w:rPr>
        <w:t>4.1</w:t>
      </w:r>
      <w:r>
        <w:rPr>
          <w:sz w:val="22"/>
        </w:rPr>
        <w:tab/>
        <w:t>Les paiements sont effectués conformément à la procédure de paiement décrite au point 15.1 de l’annexe II, option nº &lt;</w:t>
      </w:r>
      <w:r>
        <w:rPr>
          <w:sz w:val="22"/>
          <w:highlight w:val="yellow"/>
        </w:rPr>
        <w:t>choisissez 1, 2 ou 3</w:t>
      </w:r>
      <w:r>
        <w:rPr>
          <w:sz w:val="22"/>
        </w:rPr>
        <w:t xml:space="preserve">&gt;. </w:t>
      </w:r>
    </w:p>
    <w:p w:rsidR="00C45615" w:rsidRPr="00764A85" w:rsidRDefault="00C45615" w:rsidP="00764A85">
      <w:pPr>
        <w:keepNext/>
        <w:keepLines/>
        <w:spacing w:before="120"/>
        <w:ind w:left="567" w:hanging="567"/>
        <w:jc w:val="both"/>
        <w:rPr>
          <w:sz w:val="22"/>
        </w:rPr>
      </w:pPr>
    </w:p>
    <w:p w:rsidR="00C2718F" w:rsidRPr="00764A85" w:rsidRDefault="00BA65FC" w:rsidP="00532286">
      <w:pPr>
        <w:pStyle w:val="Text1"/>
        <w:spacing w:before="120" w:after="0"/>
        <w:ind w:left="567"/>
        <w:jc w:val="both"/>
        <w:rPr>
          <w:b/>
          <w:sz w:val="22"/>
          <w:highlight w:val="yellow"/>
        </w:rPr>
      </w:pPr>
      <w:r>
        <w:rPr>
          <w:b/>
          <w:sz w:val="22"/>
          <w:highlight w:val="yellow"/>
          <w:u w:val="single"/>
        </w:rPr>
        <w:t>[Options 1 et 2]</w:t>
      </w:r>
    </w:p>
    <w:p w:rsidR="00C2718F" w:rsidRPr="00764A85" w:rsidRDefault="00AB7BC6" w:rsidP="00532286">
      <w:pPr>
        <w:pStyle w:val="Text1"/>
        <w:tabs>
          <w:tab w:val="left" w:pos="4536"/>
        </w:tabs>
        <w:spacing w:before="120" w:after="0"/>
        <w:ind w:left="567"/>
        <w:jc w:val="both"/>
        <w:rPr>
          <w:sz w:val="22"/>
        </w:rPr>
      </w:pPr>
      <w:r>
        <w:rPr>
          <w:sz w:val="22"/>
        </w:rPr>
        <w:t>Versement de préfinancement initial: &lt;</w:t>
      </w:r>
      <w:r>
        <w:rPr>
          <w:sz w:val="22"/>
          <w:highlight w:val="yellow"/>
        </w:rPr>
        <w:t>montant</w:t>
      </w:r>
      <w:r>
        <w:rPr>
          <w:sz w:val="22"/>
        </w:rPr>
        <w:t>&gt; [</w:t>
      </w:r>
      <w:r>
        <w:rPr>
          <w:sz w:val="22"/>
          <w:highlight w:val="lightGray"/>
        </w:rPr>
        <w:t>EUR</w:t>
      </w:r>
      <w:r>
        <w:rPr>
          <w:sz w:val="22"/>
        </w:rPr>
        <w:t>] [&lt;</w:t>
      </w:r>
      <w:r>
        <w:rPr>
          <w:sz w:val="22"/>
          <w:highlight w:val="yellow"/>
        </w:rPr>
        <w:t>monnaie du pays de l’administration contractante</w:t>
      </w:r>
      <w:r>
        <w:rPr>
          <w:sz w:val="22"/>
        </w:rPr>
        <w:t>&gt;].</w:t>
      </w:r>
    </w:p>
    <w:p w:rsidR="00846B5A" w:rsidRDefault="00BA65FC" w:rsidP="00532286">
      <w:pPr>
        <w:pStyle w:val="Text1"/>
        <w:spacing w:before="120" w:after="0"/>
        <w:ind w:left="567"/>
        <w:jc w:val="both"/>
        <w:rPr>
          <w:b/>
          <w:sz w:val="22"/>
          <w:highlight w:val="yellow"/>
          <w:u w:val="single"/>
        </w:rPr>
      </w:pPr>
      <w:r>
        <w:rPr>
          <w:b/>
          <w:sz w:val="22"/>
          <w:highlight w:val="yellow"/>
          <w:u w:val="single"/>
        </w:rPr>
        <w:t xml:space="preserve">[Option 2 uniquement] </w:t>
      </w:r>
    </w:p>
    <w:p w:rsidR="00C2718F" w:rsidRPr="002326A2" w:rsidRDefault="00442C66" w:rsidP="00532286">
      <w:pPr>
        <w:pStyle w:val="Text1"/>
        <w:spacing w:before="120" w:after="0"/>
        <w:ind w:left="567"/>
        <w:jc w:val="both"/>
        <w:rPr>
          <w:sz w:val="22"/>
          <w:highlight w:val="yellow"/>
        </w:rPr>
      </w:pPr>
      <w:r>
        <w:rPr>
          <w:sz w:val="22"/>
          <w:highlight w:val="yellow"/>
        </w:rPr>
        <w:t>Veuillez noter que les tranches prévues doivent être indiquées sous la forme d’un montant global, et non ventilées par versement. Les tranches réelles seront basées sur la prévision mise à jour pour la période de référence suivante. Le montant total des versements de préfinancement ne peut dépasser 90 % du montant figurant au point 3.2 des conditions particulières, hors imprévus non autorisés.</w:t>
      </w:r>
    </w:p>
    <w:p w:rsidR="00D91F18" w:rsidRPr="00764A85" w:rsidRDefault="0037003B" w:rsidP="00532286">
      <w:pPr>
        <w:tabs>
          <w:tab w:val="left" w:pos="4536"/>
        </w:tabs>
        <w:spacing w:before="120"/>
        <w:ind w:left="567"/>
        <w:jc w:val="both"/>
        <w:rPr>
          <w:sz w:val="22"/>
          <w:highlight w:val="yellow"/>
        </w:rPr>
      </w:pPr>
      <w:r>
        <w:rPr>
          <w:sz w:val="22"/>
        </w:rPr>
        <w:t>Versement(s) de préfinancement suivant(s): &lt;</w:t>
      </w:r>
      <w:r>
        <w:rPr>
          <w:sz w:val="22"/>
          <w:highlight w:val="yellow"/>
        </w:rPr>
        <w:t>montant</w:t>
      </w:r>
      <w:r>
        <w:rPr>
          <w:sz w:val="22"/>
        </w:rPr>
        <w:t>&gt; [</w:t>
      </w:r>
      <w:r>
        <w:rPr>
          <w:sz w:val="22"/>
          <w:highlight w:val="lightGray"/>
        </w:rPr>
        <w:t>EUR</w:t>
      </w:r>
      <w:r>
        <w:rPr>
          <w:sz w:val="22"/>
        </w:rPr>
        <w:t>] [&lt;</w:t>
      </w:r>
      <w:r>
        <w:rPr>
          <w:sz w:val="22"/>
          <w:highlight w:val="yellow"/>
        </w:rPr>
        <w:t>monnaie du pays de l’administration contractante</w:t>
      </w:r>
      <w:r>
        <w:rPr>
          <w:sz w:val="22"/>
        </w:rPr>
        <w:t>&gt;] (sous réserve des dispositions de l’annexe II).</w:t>
      </w:r>
    </w:p>
    <w:p w:rsidR="00BA65FC" w:rsidRPr="00764A85" w:rsidRDefault="00BA65FC" w:rsidP="00532286">
      <w:pPr>
        <w:spacing w:before="120"/>
        <w:ind w:left="567"/>
        <w:jc w:val="both"/>
        <w:rPr>
          <w:b/>
          <w:sz w:val="22"/>
          <w:highlight w:val="yellow"/>
          <w:u w:val="single"/>
        </w:rPr>
      </w:pPr>
      <w:r>
        <w:rPr>
          <w:b/>
          <w:sz w:val="22"/>
          <w:highlight w:val="yellow"/>
          <w:u w:val="single"/>
        </w:rPr>
        <w:t>[Options 1, 2 et 3]</w:t>
      </w:r>
    </w:p>
    <w:p w:rsidR="00051454" w:rsidRPr="00764A85" w:rsidRDefault="00AB7BC6" w:rsidP="00532286">
      <w:pPr>
        <w:pStyle w:val="Text1"/>
        <w:spacing w:before="120" w:after="0"/>
        <w:ind w:left="567"/>
        <w:jc w:val="both"/>
        <w:rPr>
          <w:sz w:val="22"/>
        </w:rPr>
      </w:pPr>
      <w:r>
        <w:rPr>
          <w:sz w:val="22"/>
        </w:rPr>
        <w:t>Solde du montant final de la subvention:</w:t>
      </w:r>
    </w:p>
    <w:p w:rsidR="00C45615" w:rsidRPr="00764A85" w:rsidRDefault="00C2718F" w:rsidP="00F4194E">
      <w:pPr>
        <w:pStyle w:val="Text1"/>
        <w:tabs>
          <w:tab w:val="left" w:pos="4536"/>
        </w:tabs>
        <w:spacing w:before="120" w:after="0"/>
        <w:ind w:left="567"/>
        <w:jc w:val="both"/>
        <w:rPr>
          <w:sz w:val="22"/>
        </w:rPr>
      </w:pPr>
      <w:r>
        <w:rPr>
          <w:sz w:val="22"/>
        </w:rPr>
        <w:t>(sous réserve des dispositions de l’annexe II):</w:t>
      </w:r>
      <w:r>
        <w:rPr>
          <w:sz w:val="22"/>
        </w:rPr>
        <w:tab/>
        <w:t>&lt;</w:t>
      </w:r>
      <w:r>
        <w:rPr>
          <w:sz w:val="22"/>
          <w:highlight w:val="yellow"/>
        </w:rPr>
        <w:t>montant</w:t>
      </w:r>
      <w:r>
        <w:rPr>
          <w:sz w:val="22"/>
        </w:rPr>
        <w:t>&gt; [</w:t>
      </w:r>
      <w:r>
        <w:rPr>
          <w:sz w:val="22"/>
          <w:highlight w:val="lightGray"/>
        </w:rPr>
        <w:t>EUR</w:t>
      </w:r>
      <w:r>
        <w:rPr>
          <w:sz w:val="22"/>
        </w:rPr>
        <w:t>] [&lt;</w:t>
      </w:r>
      <w:r>
        <w:rPr>
          <w:sz w:val="22"/>
          <w:highlight w:val="yellow"/>
        </w:rPr>
        <w:t>monnaie du pays de l’administration contractante</w:t>
      </w:r>
      <w:r>
        <w:rPr>
          <w:sz w:val="22"/>
        </w:rPr>
        <w:t>&gt;]</w:t>
      </w:r>
    </w:p>
    <w:p w:rsidR="003D55B9" w:rsidRPr="00764A85" w:rsidRDefault="00F9654B" w:rsidP="00C76959">
      <w:pPr>
        <w:spacing w:before="120"/>
        <w:ind w:left="567" w:hanging="567"/>
        <w:jc w:val="both"/>
        <w:rPr>
          <w:sz w:val="22"/>
        </w:rPr>
      </w:pPr>
      <w:r>
        <w:rPr>
          <w:sz w:val="22"/>
        </w:rPr>
        <w:t>[4.x</w:t>
      </w:r>
      <w:r>
        <w:rPr>
          <w:sz w:val="22"/>
        </w:rPr>
        <w:tab/>
      </w:r>
      <w:r>
        <w:rPr>
          <w:sz w:val="22"/>
          <w:highlight w:val="yellow"/>
        </w:rPr>
        <w:t>Si une garantie financière est demandée:</w:t>
      </w:r>
      <w:r>
        <w:rPr>
          <w:b/>
          <w:sz w:val="22"/>
          <w:highlight w:val="yellow"/>
        </w:rPr>
        <w:t xml:space="preserve"> </w:t>
      </w:r>
      <w:r>
        <w:rPr>
          <w:b/>
          <w:sz w:val="22"/>
        </w:rPr>
        <w:t xml:space="preserve"> </w:t>
      </w:r>
      <w:r>
        <w:rPr>
          <w:sz w:val="22"/>
          <w:highlight w:val="lightGray"/>
        </w:rPr>
        <w:t>La première tranche de préfinancement est accompagnée d’une garantie financière d’un montant de</w:t>
      </w:r>
      <w:r>
        <w:rPr>
          <w:sz w:val="22"/>
        </w:rPr>
        <w:t xml:space="preserve"> &lt;</w:t>
      </w:r>
      <w:r>
        <w:rPr>
          <w:sz w:val="22"/>
          <w:highlight w:val="yellow"/>
        </w:rPr>
        <w:t>montant, normalement celui du premier versement de préfinancement</w:t>
      </w:r>
      <w:r>
        <w:rPr>
          <w:sz w:val="22"/>
        </w:rPr>
        <w:t xml:space="preserve">&gt; </w:t>
      </w:r>
      <w:r>
        <w:rPr>
          <w:sz w:val="22"/>
          <w:highlight w:val="lightGray"/>
        </w:rPr>
        <w:t>EUR, respectant les exigences énoncées au point 15.8 de l’annexe II.</w:t>
      </w:r>
      <w:r>
        <w:rPr>
          <w:sz w:val="22"/>
        </w:rPr>
        <w:t xml:space="preserve">] </w:t>
      </w:r>
    </w:p>
    <w:p w:rsidR="00076102" w:rsidRDefault="00465AE1" w:rsidP="00532286">
      <w:pPr>
        <w:pStyle w:val="Text1"/>
        <w:tabs>
          <w:tab w:val="left" w:pos="567"/>
        </w:tabs>
        <w:spacing w:before="120" w:after="0"/>
        <w:ind w:left="567" w:hanging="567"/>
        <w:jc w:val="both"/>
        <w:rPr>
          <w:sz w:val="22"/>
        </w:rPr>
      </w:pPr>
      <w:r>
        <w:rPr>
          <w:sz w:val="22"/>
        </w:rPr>
        <w:t>[4.x</w:t>
      </w:r>
      <w:r>
        <w:rPr>
          <w:sz w:val="22"/>
        </w:rPr>
        <w:tab/>
      </w:r>
      <w:r>
        <w:rPr>
          <w:sz w:val="22"/>
          <w:highlight w:val="yellow"/>
        </w:rPr>
        <w:t>Pour les subventions de fonctionnement ou les exigences spécifiques en matière de rapports: &lt;préciser les exigences applicables en matière de rapports et le calendrier de paiement/la durée de la période de référence&gt;</w:t>
      </w:r>
      <w:r>
        <w:rPr>
          <w:sz w:val="22"/>
        </w:rPr>
        <w:t>]</w:t>
      </w:r>
    </w:p>
    <w:p w:rsidR="00AC4A5B" w:rsidRPr="00AC4A5B" w:rsidRDefault="00AC4A5B" w:rsidP="00AC4A5B">
      <w:pPr>
        <w:pStyle w:val="Text1"/>
        <w:tabs>
          <w:tab w:val="left" w:pos="567"/>
        </w:tabs>
        <w:spacing w:before="120"/>
        <w:ind w:left="567" w:hanging="567"/>
        <w:jc w:val="both"/>
        <w:rPr>
          <w:sz w:val="22"/>
        </w:rPr>
      </w:pPr>
      <w:r>
        <w:rPr>
          <w:sz w:val="22"/>
        </w:rPr>
        <w:t>4.2</w:t>
      </w:r>
      <w:r>
        <w:rPr>
          <w:sz w:val="22"/>
        </w:rPr>
        <w:tab/>
        <w:t>L’administration contractante et le(s) bénéficiaire(s) utilisent un système électronique pour tous les stades de la mise en œuvre, y compris, entre autres, la gestion du contrat (modifications et notifications), l’élaboration des rapports (y compris la communication des résultats) et les paiements.  Le(s) bénéficiaire(s) est/sont tenu(s) de s’inscrire dans le système d’échange électronique approprié et d’en faire usage pour permettre la gestion électronique du contrat. En ce qui concerne les rapports intermédiaires et le rapport final, le(s) bénéficiaire(s) devrai(en)t utiliser les formulaires figurant dans le système électronique pour encoder et soumettre les rapports.</w:t>
      </w:r>
    </w:p>
    <w:p w:rsidR="00AC4A5B" w:rsidRPr="00764A85" w:rsidRDefault="00AC4A5B" w:rsidP="00AC4A5B">
      <w:pPr>
        <w:pStyle w:val="Text1"/>
        <w:tabs>
          <w:tab w:val="left" w:pos="567"/>
        </w:tabs>
        <w:spacing w:before="120" w:after="0"/>
        <w:ind w:left="567" w:hanging="567"/>
        <w:jc w:val="both"/>
        <w:rPr>
          <w:sz w:val="22"/>
        </w:rPr>
      </w:pPr>
      <w:r>
        <w:rPr>
          <w:sz w:val="22"/>
        </w:rPr>
        <w:tab/>
        <w:t>La gestion électronique du contrat au moyen du système susmentionné peut débuter à la date du début de la mise en œuvre du contrat, mentionnée à l’article 2 ci-dessus, ou à une date ultérieure. Dans ce dernier cas, l’administration contractante informe le(s) bénéficiaire(s) par écrit de son/leur obligation d’utiliser le système électronique pour toutes les communications dans un délai maximum de trois mois.</w:t>
      </w:r>
    </w:p>
    <w:p w:rsidR="00C2718F" w:rsidRPr="00764A85" w:rsidRDefault="00C2718F" w:rsidP="00764A85">
      <w:pPr>
        <w:pStyle w:val="Text1"/>
        <w:tabs>
          <w:tab w:val="left" w:pos="567"/>
        </w:tabs>
        <w:spacing w:before="240" w:after="0"/>
        <w:ind w:left="567" w:hanging="567"/>
        <w:jc w:val="both"/>
        <w:rPr>
          <w:b/>
        </w:rPr>
      </w:pPr>
      <w:r>
        <w:rPr>
          <w:b/>
        </w:rPr>
        <w:t>Article 5 – Adresses de contact</w:t>
      </w:r>
    </w:p>
    <w:p w:rsidR="00C2718F" w:rsidRPr="00764A85" w:rsidRDefault="002E60D5" w:rsidP="00532286">
      <w:pPr>
        <w:spacing w:before="120"/>
        <w:ind w:left="567" w:hanging="567"/>
        <w:jc w:val="both"/>
        <w:rPr>
          <w:sz w:val="22"/>
        </w:rPr>
      </w:pPr>
      <w:r>
        <w:rPr>
          <w:sz w:val="22"/>
        </w:rPr>
        <w:t>5.1</w:t>
      </w:r>
      <w:r>
        <w:rPr>
          <w:sz w:val="22"/>
        </w:rPr>
        <w:tab/>
        <w:t>Toute communication relative au présent contrat doit être faite par écrit, comporter le numéro et l’intitulé de l’action et être envoyée aux adresses suivantes:</w:t>
      </w:r>
    </w:p>
    <w:p w:rsidR="00C2718F" w:rsidRPr="00764A85" w:rsidRDefault="00C2718F" w:rsidP="00532286">
      <w:pPr>
        <w:spacing w:before="120"/>
        <w:ind w:left="567"/>
        <w:jc w:val="both"/>
        <w:rPr>
          <w:sz w:val="22"/>
          <w:u w:val="single"/>
        </w:rPr>
      </w:pPr>
      <w:r>
        <w:rPr>
          <w:sz w:val="22"/>
          <w:u w:val="single"/>
        </w:rPr>
        <w:t>Pour l’administration contractante</w:t>
      </w:r>
    </w:p>
    <w:p w:rsidR="00C2718F" w:rsidRPr="00141F49" w:rsidRDefault="00F414D0" w:rsidP="00532286">
      <w:pPr>
        <w:spacing w:before="120"/>
        <w:ind w:left="567"/>
        <w:jc w:val="both"/>
        <w:rPr>
          <w:sz w:val="22"/>
        </w:rPr>
      </w:pPr>
      <w:r>
        <w:rPr>
          <w:b/>
          <w:sz w:val="22"/>
          <w:highlight w:val="yellow"/>
        </w:rPr>
        <w:lastRenderedPageBreak/>
        <w:t>[</w:t>
      </w:r>
      <w:r>
        <w:rPr>
          <w:sz w:val="22"/>
          <w:highlight w:val="yellow"/>
        </w:rPr>
        <w:t>Option 1: lorsque l’administration contractante est la Commission européenne:</w:t>
      </w:r>
    </w:p>
    <w:p w:rsidR="00C2718F" w:rsidRPr="00141F49" w:rsidRDefault="00C2718F" w:rsidP="00532286">
      <w:pPr>
        <w:spacing w:before="120"/>
        <w:ind w:left="567"/>
        <w:jc w:val="both"/>
        <w:rPr>
          <w:sz w:val="22"/>
        </w:rPr>
      </w:pPr>
      <w:r>
        <w:rPr>
          <w:sz w:val="22"/>
        </w:rPr>
        <w:t>Les demandes de paiement et les rapports qui les accompagnent, y compris les demandes de modification de compte bancaire, doivent être adressés à:</w:t>
      </w:r>
    </w:p>
    <w:p w:rsidR="00C2718F" w:rsidRPr="008C4872" w:rsidRDefault="00C2718F" w:rsidP="00532286">
      <w:pPr>
        <w:spacing w:before="120"/>
        <w:ind w:left="567"/>
        <w:jc w:val="both"/>
        <w:rPr>
          <w:sz w:val="22"/>
          <w:highlight w:val="yellow"/>
        </w:rPr>
      </w:pPr>
      <w:r>
        <w:rPr>
          <w:sz w:val="22"/>
        </w:rPr>
        <w:t>Commission européenne</w:t>
      </w:r>
    </w:p>
    <w:p w:rsidR="00C2718F" w:rsidRPr="00130237" w:rsidRDefault="00E467A6" w:rsidP="00532286">
      <w:pPr>
        <w:spacing w:before="120"/>
        <w:ind w:left="567"/>
        <w:jc w:val="both"/>
        <w:rPr>
          <w:sz w:val="22"/>
        </w:rPr>
      </w:pPr>
      <w:r>
        <w:rPr>
          <w:sz w:val="22"/>
        </w:rPr>
        <w:t>&lt;</w:t>
      </w:r>
      <w:r>
        <w:rPr>
          <w:sz w:val="22"/>
          <w:highlight w:val="yellow"/>
        </w:rPr>
        <w:t>Direction générale des partenariats internationaux – EuropeAid/délégation de l’UE</w:t>
      </w:r>
      <w:r>
        <w:rPr>
          <w:sz w:val="22"/>
        </w:rPr>
        <w:t>&gt;</w:t>
      </w:r>
    </w:p>
    <w:p w:rsidR="00C2718F" w:rsidRPr="00141F49" w:rsidRDefault="00C2718F" w:rsidP="00532286">
      <w:pPr>
        <w:spacing w:before="120"/>
        <w:ind w:left="567"/>
        <w:jc w:val="both"/>
        <w:rPr>
          <w:sz w:val="22"/>
        </w:rPr>
      </w:pPr>
      <w:r>
        <w:rPr>
          <w:sz w:val="22"/>
        </w:rPr>
        <w:t>À l’attention de &lt;</w:t>
      </w:r>
      <w:r>
        <w:rPr>
          <w:sz w:val="22"/>
          <w:highlight w:val="yellow"/>
        </w:rPr>
        <w:t>adresse de l’unité/la section financière</w:t>
      </w:r>
      <w:r>
        <w:rPr>
          <w:sz w:val="22"/>
        </w:rPr>
        <w:t>&gt;</w:t>
      </w:r>
    </w:p>
    <w:p w:rsidR="00C2718F" w:rsidRPr="008C4872" w:rsidRDefault="00C2718F" w:rsidP="00532286">
      <w:pPr>
        <w:spacing w:before="120"/>
        <w:ind w:left="567"/>
        <w:jc w:val="both"/>
        <w:rPr>
          <w:sz w:val="22"/>
        </w:rPr>
      </w:pPr>
      <w:r>
        <w:rPr>
          <w:sz w:val="22"/>
        </w:rPr>
        <w:t>Une copie des documents mentionnés ci-dessus ainsi que toute autre correspondance doivent être adressées à:</w:t>
      </w:r>
    </w:p>
    <w:p w:rsidR="00C2718F" w:rsidRPr="00130237" w:rsidRDefault="00C2718F" w:rsidP="00532286">
      <w:pPr>
        <w:spacing w:before="120"/>
        <w:ind w:left="567"/>
        <w:jc w:val="both"/>
        <w:rPr>
          <w:sz w:val="22"/>
        </w:rPr>
      </w:pPr>
      <w:r>
        <w:rPr>
          <w:sz w:val="22"/>
        </w:rPr>
        <w:t>Commission européenne</w:t>
      </w:r>
    </w:p>
    <w:p w:rsidR="00C2718F" w:rsidRPr="002F1EBD" w:rsidRDefault="00E467A6" w:rsidP="00532286">
      <w:pPr>
        <w:spacing w:before="120"/>
        <w:ind w:left="567"/>
        <w:jc w:val="both"/>
        <w:rPr>
          <w:sz w:val="22"/>
        </w:rPr>
      </w:pPr>
      <w:r>
        <w:rPr>
          <w:sz w:val="22"/>
        </w:rPr>
        <w:t>&lt;</w:t>
      </w:r>
      <w:r>
        <w:rPr>
          <w:sz w:val="22"/>
          <w:highlight w:val="yellow"/>
        </w:rPr>
        <w:t>Direction générale des partenariats internationaux – EuropeAid/délégation de l’UE</w:t>
      </w:r>
      <w:r>
        <w:rPr>
          <w:sz w:val="22"/>
        </w:rPr>
        <w:t>&gt;</w:t>
      </w:r>
    </w:p>
    <w:p w:rsidR="00C2718F" w:rsidRPr="00141F49" w:rsidRDefault="00C2718F" w:rsidP="00532286">
      <w:pPr>
        <w:spacing w:before="120"/>
        <w:ind w:left="567"/>
        <w:jc w:val="both"/>
        <w:rPr>
          <w:b/>
          <w:sz w:val="22"/>
        </w:rPr>
      </w:pPr>
      <w:r>
        <w:rPr>
          <w:sz w:val="22"/>
        </w:rPr>
        <w:t>À l’attention de &lt;</w:t>
      </w:r>
      <w:r>
        <w:rPr>
          <w:sz w:val="22"/>
          <w:highlight w:val="yellow"/>
        </w:rPr>
        <w:t>adresse de l’unité/la section de gestion</w:t>
      </w:r>
      <w:r>
        <w:rPr>
          <w:sz w:val="22"/>
        </w:rPr>
        <w:t>&gt;</w:t>
      </w:r>
      <w:r>
        <w:rPr>
          <w:b/>
          <w:sz w:val="22"/>
        </w:rPr>
        <w:t>]</w:t>
      </w:r>
    </w:p>
    <w:p w:rsidR="00C2718F" w:rsidRPr="00F13D45" w:rsidRDefault="00F414D0" w:rsidP="00D46EF8">
      <w:pPr>
        <w:spacing w:before="240"/>
        <w:ind w:left="567"/>
        <w:jc w:val="both"/>
        <w:rPr>
          <w:sz w:val="22"/>
        </w:rPr>
      </w:pPr>
      <w:r>
        <w:rPr>
          <w:b/>
          <w:sz w:val="22"/>
          <w:highlight w:val="yellow"/>
        </w:rPr>
        <w:t>[</w:t>
      </w:r>
      <w:r>
        <w:rPr>
          <w:sz w:val="22"/>
          <w:highlight w:val="yellow"/>
        </w:rPr>
        <w:t>Option 2: lorsque l’administration contractante n’est pas la Commission européenne:</w:t>
      </w:r>
    </w:p>
    <w:p w:rsidR="00C2718F" w:rsidRPr="00141F49" w:rsidRDefault="00BB0F74" w:rsidP="00532286">
      <w:pPr>
        <w:spacing w:before="120"/>
        <w:ind w:left="567"/>
        <w:jc w:val="both"/>
        <w:rPr>
          <w:sz w:val="22"/>
        </w:rPr>
      </w:pPr>
      <w:r>
        <w:rPr>
          <w:sz w:val="22"/>
        </w:rPr>
        <w:t>&lt;</w:t>
      </w:r>
      <w:r>
        <w:rPr>
          <w:sz w:val="22"/>
          <w:highlight w:val="yellow"/>
        </w:rPr>
        <w:t>adresse du service gestionnaire de l’administration contractante</w:t>
      </w:r>
      <w:r>
        <w:rPr>
          <w:sz w:val="22"/>
        </w:rPr>
        <w:t>&gt;</w:t>
      </w:r>
      <w:r>
        <w:rPr>
          <w:b/>
          <w:sz w:val="22"/>
        </w:rPr>
        <w:t>]</w:t>
      </w:r>
    </w:p>
    <w:p w:rsidR="00C2718F" w:rsidRPr="00141F49" w:rsidRDefault="00C32D7E" w:rsidP="00532286">
      <w:pPr>
        <w:spacing w:before="120"/>
        <w:ind w:left="567"/>
        <w:jc w:val="both"/>
        <w:rPr>
          <w:sz w:val="22"/>
        </w:rPr>
      </w:pPr>
      <w:r>
        <w:rPr>
          <w:b/>
          <w:sz w:val="22"/>
          <w:highlight w:val="lightGray"/>
        </w:rPr>
        <w:t>[</w:t>
      </w:r>
      <w:r>
        <w:rPr>
          <w:sz w:val="22"/>
          <w:highlight w:val="lightGray"/>
        </w:rPr>
        <w:t xml:space="preserve">Une copie des rapports mentionnés au point 4.1 est adressée au service concerné de la Commission européenne, à l’adresse suivante: </w:t>
      </w:r>
      <w:r>
        <w:rPr>
          <w:sz w:val="22"/>
        </w:rPr>
        <w:t>&lt;</w:t>
      </w:r>
      <w:r>
        <w:rPr>
          <w:sz w:val="22"/>
          <w:highlight w:val="yellow"/>
        </w:rPr>
        <w:t>adresse de la direction générale des partenariats internationaux – EuropeAid/délégation de l’UE</w:t>
      </w:r>
      <w:r>
        <w:rPr>
          <w:sz w:val="22"/>
        </w:rPr>
        <w:t>&gt;</w:t>
      </w:r>
      <w:r>
        <w:rPr>
          <w:b/>
          <w:sz w:val="22"/>
          <w:highlight w:val="lightGray"/>
        </w:rPr>
        <w:t>]</w:t>
      </w:r>
    </w:p>
    <w:p w:rsidR="00C2718F" w:rsidRPr="00764A85" w:rsidRDefault="00C2718F" w:rsidP="00532286">
      <w:pPr>
        <w:spacing w:before="120"/>
        <w:ind w:left="567"/>
        <w:jc w:val="both"/>
        <w:rPr>
          <w:sz w:val="22"/>
        </w:rPr>
      </w:pPr>
      <w:r>
        <w:rPr>
          <w:sz w:val="22"/>
          <w:u w:val="single"/>
        </w:rPr>
        <w:t>Pour le coordonnateur</w:t>
      </w:r>
    </w:p>
    <w:p w:rsidR="00886713" w:rsidRPr="00764A85" w:rsidRDefault="00BB0F74" w:rsidP="00532286">
      <w:pPr>
        <w:spacing w:before="120"/>
        <w:ind w:left="567"/>
        <w:jc w:val="both"/>
        <w:rPr>
          <w:sz w:val="22"/>
        </w:rPr>
      </w:pPr>
      <w:r>
        <w:rPr>
          <w:sz w:val="22"/>
        </w:rPr>
        <w:t>&lt;</w:t>
      </w:r>
      <w:r>
        <w:rPr>
          <w:sz w:val="22"/>
          <w:highlight w:val="yellow"/>
        </w:rPr>
        <w:t>adresse du coordonnateur auquel la correspondance doit être envoyée</w:t>
      </w:r>
      <w:r>
        <w:rPr>
          <w:sz w:val="22"/>
        </w:rPr>
        <w:t>&gt;</w:t>
      </w:r>
    </w:p>
    <w:p w:rsidR="00757FB8" w:rsidRPr="00764A85" w:rsidRDefault="00E828AA" w:rsidP="00D46EF8">
      <w:pPr>
        <w:spacing w:before="120"/>
        <w:ind w:left="567" w:hanging="567"/>
        <w:jc w:val="both"/>
        <w:rPr>
          <w:sz w:val="22"/>
        </w:rPr>
      </w:pPr>
      <w:r>
        <w:rPr>
          <w:b/>
          <w:bCs/>
          <w:sz w:val="22"/>
        </w:rPr>
        <w:t>[</w:t>
      </w:r>
      <w:r>
        <w:rPr>
          <w:sz w:val="22"/>
          <w:highlight w:val="lightGray"/>
        </w:rPr>
        <w:t>5.2</w:t>
      </w:r>
      <w:r>
        <w:rPr>
          <w:sz w:val="22"/>
          <w:highlight w:val="lightGray"/>
        </w:rPr>
        <w:tab/>
        <w:t>La/Les vérification(s) des dépenses visée(s) au point 15.7 de l’annexe II sera/seront effectuée(s) [par l’administration contractante ou tout organisme externe autorisé par [la Commission européenne] [l’administration contractante]]</w:t>
      </w:r>
      <w:r w:rsidR="00886713" w:rsidRPr="00F13D45">
        <w:rPr>
          <w:rStyle w:val="FootnoteReference"/>
          <w:sz w:val="22"/>
          <w:highlight w:val="lightGray"/>
        </w:rPr>
        <w:footnoteReference w:id="5"/>
      </w:r>
      <w:r>
        <w:rPr>
          <w:sz w:val="22"/>
          <w:highlight w:val="lightGray"/>
        </w:rPr>
        <w:t xml:space="preserve"> </w:t>
      </w:r>
      <w:r>
        <w:rPr>
          <w:sz w:val="22"/>
        </w:rPr>
        <w:t>&lt;</w:t>
      </w:r>
      <w:r>
        <w:rPr>
          <w:sz w:val="22"/>
          <w:highlight w:val="yellow"/>
        </w:rPr>
        <w:t>nom, adresse, nº de tél. et de fax</w:t>
      </w:r>
      <w:r>
        <w:rPr>
          <w:i/>
          <w:sz w:val="22"/>
        </w:rPr>
        <w:t>&gt;</w:t>
      </w:r>
      <w:r>
        <w:rPr>
          <w:b/>
          <w:sz w:val="22"/>
        </w:rPr>
        <w:t>]</w:t>
      </w:r>
      <w:r>
        <w:rPr>
          <w:sz w:val="22"/>
        </w:rPr>
        <w:t>.</w:t>
      </w:r>
    </w:p>
    <w:p w:rsidR="00C2718F" w:rsidRPr="00764A85" w:rsidRDefault="00C2718F" w:rsidP="00764A85">
      <w:pPr>
        <w:pStyle w:val="Text1"/>
        <w:keepNext/>
        <w:spacing w:before="240" w:after="0"/>
        <w:ind w:left="567" w:hanging="567"/>
        <w:jc w:val="both"/>
        <w:rPr>
          <w:b/>
          <w:i/>
        </w:rPr>
      </w:pPr>
      <w:r>
        <w:rPr>
          <w:b/>
        </w:rPr>
        <w:t>Article 6 – Annexes</w:t>
      </w:r>
    </w:p>
    <w:p w:rsidR="00C2718F" w:rsidRPr="00764A85" w:rsidRDefault="00C2718F" w:rsidP="00532286">
      <w:pPr>
        <w:spacing w:before="120"/>
        <w:ind w:left="567" w:hanging="567"/>
        <w:jc w:val="both"/>
        <w:rPr>
          <w:sz w:val="22"/>
        </w:rPr>
      </w:pPr>
      <w:r>
        <w:rPr>
          <w:sz w:val="22"/>
        </w:rPr>
        <w:t>6.1</w:t>
      </w:r>
      <w:r>
        <w:rPr>
          <w:sz w:val="22"/>
        </w:rPr>
        <w:tab/>
        <w:t>Les documents suivants sont joints aux présentes conditions particulières et font partie intégrante du contrat:</w:t>
      </w:r>
    </w:p>
    <w:p w:rsidR="00BE2E33" w:rsidRPr="00764A85" w:rsidRDefault="00C2718F" w:rsidP="00BE2E33">
      <w:pPr>
        <w:spacing w:before="120"/>
        <w:ind w:left="1843" w:hanging="1276"/>
        <w:jc w:val="both"/>
        <w:rPr>
          <w:sz w:val="22"/>
        </w:rPr>
      </w:pPr>
      <w:r>
        <w:rPr>
          <w:sz w:val="22"/>
        </w:rPr>
        <w:t xml:space="preserve">annexe I: </w:t>
      </w:r>
      <w:r>
        <w:rPr>
          <w:sz w:val="22"/>
        </w:rPr>
        <w:tab/>
        <w:t>description de l’action (y compris le cadre logique du projet</w:t>
      </w:r>
      <w:r>
        <w:rPr>
          <w:sz w:val="22"/>
        </w:rPr>
        <w:br/>
        <w:t>et la note succincte de présentation);</w:t>
      </w:r>
    </w:p>
    <w:p w:rsidR="00C2718F" w:rsidRPr="00764A85" w:rsidRDefault="00C2718F" w:rsidP="00532286">
      <w:pPr>
        <w:pStyle w:val="Text4"/>
        <w:spacing w:before="120" w:after="0"/>
        <w:ind w:left="1843" w:hanging="1276"/>
        <w:jc w:val="both"/>
      </w:pPr>
      <w:r>
        <w:rPr>
          <w:sz w:val="22"/>
        </w:rPr>
        <w:t>annexe II:</w:t>
      </w:r>
      <w:r>
        <w:rPr>
          <w:sz w:val="22"/>
        </w:rPr>
        <w:tab/>
        <w:t>conditions générales applicables aux contrats de subvention conclus dans le cadre des actions extérieures de l’Union européenne;</w:t>
      </w:r>
    </w:p>
    <w:p w:rsidR="00C2718F" w:rsidRPr="00764A85" w:rsidRDefault="00C2718F" w:rsidP="00532286">
      <w:pPr>
        <w:spacing w:before="120"/>
        <w:ind w:left="1843" w:hanging="1276"/>
        <w:jc w:val="both"/>
      </w:pPr>
      <w:r>
        <w:rPr>
          <w:sz w:val="22"/>
        </w:rPr>
        <w:t xml:space="preserve">annexe III: </w:t>
      </w:r>
      <w:r>
        <w:rPr>
          <w:sz w:val="22"/>
        </w:rPr>
        <w:tab/>
        <w:t>[</w:t>
      </w:r>
      <w:r>
        <w:rPr>
          <w:sz w:val="22"/>
          <w:highlight w:val="lightGray"/>
        </w:rPr>
        <w:t>budget de l’action (feuilles de calcul 1,2 et 3)</w:t>
      </w:r>
      <w:r>
        <w:rPr>
          <w:sz w:val="22"/>
        </w:rPr>
        <w:t>] [</w:t>
      </w:r>
      <w:r>
        <w:rPr>
          <w:sz w:val="22"/>
          <w:highlight w:val="yellow"/>
        </w:rPr>
        <w:t>subventions de fonctionnement</w:t>
      </w:r>
      <w:r>
        <w:rPr>
          <w:sz w:val="22"/>
        </w:rPr>
        <w:t xml:space="preserve">: </w:t>
      </w:r>
      <w:r>
        <w:rPr>
          <w:sz w:val="22"/>
          <w:highlight w:val="lightGray"/>
        </w:rPr>
        <w:t>budget de fonctionnement</w:t>
      </w:r>
      <w:r>
        <w:rPr>
          <w:sz w:val="22"/>
        </w:rPr>
        <w:t>]</w:t>
      </w:r>
    </w:p>
    <w:p w:rsidR="00C2718F" w:rsidRPr="00764A85" w:rsidRDefault="00C2718F" w:rsidP="00532286">
      <w:pPr>
        <w:spacing w:before="120"/>
        <w:ind w:left="1843" w:hanging="1276"/>
        <w:jc w:val="both"/>
      </w:pPr>
      <w:r>
        <w:rPr>
          <w:sz w:val="22"/>
        </w:rPr>
        <w:t>annexe IV:</w:t>
      </w:r>
      <w:r>
        <w:rPr>
          <w:sz w:val="22"/>
        </w:rPr>
        <w:tab/>
        <w:t>règles concernant l’attribution d’un marché applicables au(x) bénéficiaire(s)</w:t>
      </w:r>
    </w:p>
    <w:p w:rsidR="00C2718F" w:rsidRPr="00764A85" w:rsidRDefault="00C2718F" w:rsidP="00532286">
      <w:pPr>
        <w:spacing w:before="120"/>
        <w:ind w:left="1843" w:hanging="1276"/>
        <w:jc w:val="both"/>
      </w:pPr>
      <w:r>
        <w:rPr>
          <w:sz w:val="22"/>
        </w:rPr>
        <w:t>annexe V:</w:t>
      </w:r>
      <w:r>
        <w:rPr>
          <w:sz w:val="22"/>
        </w:rPr>
        <w:tab/>
        <w:t>modèle de demande de paiement et formulaire «signalétique financier»</w:t>
      </w:r>
    </w:p>
    <w:p w:rsidR="00C2718F" w:rsidRPr="00764A85" w:rsidRDefault="00C2718F" w:rsidP="00532286">
      <w:pPr>
        <w:spacing w:before="120"/>
        <w:ind w:left="1843" w:hanging="1276"/>
        <w:jc w:val="both"/>
      </w:pPr>
      <w:r>
        <w:rPr>
          <w:sz w:val="22"/>
        </w:rPr>
        <w:t>annexe VI:</w:t>
      </w:r>
      <w:r>
        <w:rPr>
          <w:sz w:val="22"/>
        </w:rPr>
        <w:tab/>
        <w:t>[</w:t>
      </w:r>
      <w:r>
        <w:rPr>
          <w:sz w:val="22"/>
          <w:highlight w:val="lightGray"/>
        </w:rPr>
        <w:t>modèle de rapport narratif et financier</w:t>
      </w:r>
      <w:r>
        <w:rPr>
          <w:sz w:val="22"/>
        </w:rPr>
        <w:t>] [</w:t>
      </w:r>
      <w:r>
        <w:rPr>
          <w:sz w:val="22"/>
          <w:highlight w:val="yellow"/>
        </w:rPr>
        <w:t>subventions de fonctionnement: &lt;s’il faut utiliser des modèles particuliers pour les rapports d’activité et les états financiers&gt;</w:t>
      </w:r>
      <w:r>
        <w:rPr>
          <w:sz w:val="22"/>
        </w:rPr>
        <w:t>]</w:t>
      </w:r>
    </w:p>
    <w:p w:rsidR="00A910C9" w:rsidRPr="00764A85" w:rsidRDefault="00A910C9" w:rsidP="00532286">
      <w:pPr>
        <w:spacing w:before="120"/>
        <w:ind w:left="1843" w:hanging="1276"/>
        <w:jc w:val="both"/>
        <w:rPr>
          <w:sz w:val="22"/>
          <w:highlight w:val="lightGray"/>
        </w:rPr>
      </w:pPr>
      <w:r>
        <w:rPr>
          <w:sz w:val="22"/>
        </w:rPr>
        <w:t>annexe VII:</w:t>
      </w:r>
      <w:r>
        <w:rPr>
          <w:sz w:val="22"/>
        </w:rPr>
        <w:tab/>
        <w:t>termes de référence pour la vérification des dépenses d’un contrat de subvention conclu dans le cadre des actions extérieures de l’UE et modèle de rapport sur les constatations factuelles;</w:t>
      </w:r>
    </w:p>
    <w:p w:rsidR="00C2718F" w:rsidRDefault="00C32D7E" w:rsidP="00532286">
      <w:pPr>
        <w:spacing w:before="120"/>
        <w:ind w:left="1843" w:hanging="1276"/>
        <w:jc w:val="both"/>
        <w:rPr>
          <w:b/>
          <w:sz w:val="22"/>
        </w:rPr>
      </w:pPr>
      <w:r>
        <w:rPr>
          <w:b/>
          <w:sz w:val="22"/>
          <w:highlight w:val="lightGray"/>
        </w:rPr>
        <w:t>[</w:t>
      </w:r>
      <w:r>
        <w:rPr>
          <w:sz w:val="22"/>
          <w:highlight w:val="lightGray"/>
        </w:rPr>
        <w:t>annexe VIII:</w:t>
      </w:r>
      <w:r>
        <w:rPr>
          <w:sz w:val="22"/>
          <w:highlight w:val="lightGray"/>
        </w:rPr>
        <w:tab/>
        <w:t>modèle de garantie financière</w:t>
      </w:r>
      <w:r>
        <w:rPr>
          <w:b/>
          <w:sz w:val="22"/>
          <w:highlight w:val="lightGray"/>
        </w:rPr>
        <w:t>]</w:t>
      </w:r>
      <w:r>
        <w:rPr>
          <w:sz w:val="22"/>
          <w:highlight w:val="lightGray"/>
        </w:rPr>
        <w:t>;</w:t>
      </w:r>
    </w:p>
    <w:p w:rsidR="002A3E52" w:rsidRPr="002A3E52" w:rsidRDefault="002A3E52" w:rsidP="00532286">
      <w:pPr>
        <w:spacing w:before="120"/>
        <w:ind w:left="1843" w:hanging="1276"/>
        <w:jc w:val="both"/>
      </w:pPr>
      <w:r>
        <w:rPr>
          <w:sz w:val="22"/>
        </w:rPr>
        <w:t>annexe IX: modèle de convention de transfert de propriété d’actifs.</w:t>
      </w:r>
    </w:p>
    <w:p w:rsidR="00940AF1" w:rsidRPr="0094748D" w:rsidRDefault="00940AF1" w:rsidP="0094748D">
      <w:pPr>
        <w:spacing w:before="120" w:after="120"/>
        <w:ind w:left="1843" w:hanging="1276"/>
        <w:jc w:val="both"/>
        <w:rPr>
          <w:b/>
          <w:sz w:val="22"/>
        </w:rPr>
      </w:pPr>
    </w:p>
    <w:p w:rsidR="00892ABD" w:rsidRPr="00764A85" w:rsidRDefault="00C2718F" w:rsidP="00532286">
      <w:pPr>
        <w:spacing w:before="120"/>
        <w:ind w:left="567" w:hanging="567"/>
        <w:jc w:val="both"/>
        <w:rPr>
          <w:sz w:val="22"/>
        </w:rPr>
      </w:pPr>
      <w:r>
        <w:rPr>
          <w:sz w:val="22"/>
        </w:rPr>
        <w:lastRenderedPageBreak/>
        <w:t>6.2</w:t>
      </w:r>
      <w:r>
        <w:rPr>
          <w:sz w:val="22"/>
        </w:rPr>
        <w:tab/>
        <w:t>En cas de divergence entre les dispositions des présentes conditions particulières et celles des annexes qui y sont jointes, les conditions particulières prévalent. En cas de divergence entre les dispositions de l’annexe II et celles des autres annexes, les dispositions de l’annexe II prévalent.</w:t>
      </w:r>
    </w:p>
    <w:p w:rsidR="001A1117" w:rsidRDefault="00C2718F" w:rsidP="00764A85">
      <w:pPr>
        <w:spacing w:before="240"/>
        <w:jc w:val="both"/>
        <w:rPr>
          <w:b/>
          <w:highlight w:val="lightGray"/>
        </w:rPr>
      </w:pPr>
      <w:r>
        <w:rPr>
          <w:b/>
          <w:highlight w:val="lightGray"/>
        </w:rPr>
        <w:t>[Article 7 – Autres conditions particulières applicables à l’action</w:t>
      </w:r>
    </w:p>
    <w:p w:rsidR="001F4B18" w:rsidRPr="00764A85" w:rsidRDefault="001F4B18" w:rsidP="00764A85">
      <w:pPr>
        <w:spacing w:before="240"/>
        <w:jc w:val="both"/>
        <w:rPr>
          <w:sz w:val="22"/>
          <w:highlight w:val="lightGray"/>
        </w:rPr>
      </w:pPr>
    </w:p>
    <w:p w:rsidR="00C2718F" w:rsidRPr="00764A85" w:rsidRDefault="00C2718F" w:rsidP="00532286">
      <w:pPr>
        <w:spacing w:before="120"/>
        <w:ind w:left="567" w:hanging="567"/>
        <w:jc w:val="both"/>
        <w:rPr>
          <w:sz w:val="22"/>
          <w:highlight w:val="lightGray"/>
        </w:rPr>
      </w:pPr>
      <w:r>
        <w:rPr>
          <w:sz w:val="22"/>
          <w:highlight w:val="lightGray"/>
        </w:rPr>
        <w:t>7.1</w:t>
      </w:r>
      <w:r>
        <w:rPr>
          <w:sz w:val="22"/>
          <w:highlight w:val="lightGray"/>
        </w:rPr>
        <w:tab/>
        <w:t>Les conditions générales figurant dans l’annexe II sont complétées par les dispositions suivantes:</w:t>
      </w:r>
    </w:p>
    <w:p w:rsidR="00AC1C04" w:rsidRPr="00764A85" w:rsidRDefault="00AC1C04" w:rsidP="0094748D">
      <w:pPr>
        <w:spacing w:before="120"/>
        <w:ind w:left="567"/>
        <w:jc w:val="both"/>
        <w:rPr>
          <w:sz w:val="22"/>
          <w:szCs w:val="22"/>
          <w:highlight w:val="yellow"/>
        </w:rPr>
      </w:pPr>
      <w:r>
        <w:rPr>
          <w:sz w:val="22"/>
          <w:szCs w:val="22"/>
          <w:highlight w:val="yellow"/>
        </w:rPr>
        <w:t>si entité(s) affiliée(s) conformément aux lignes directrices à l’intention des demandeurs:</w:t>
      </w:r>
    </w:p>
    <w:p w:rsidR="0056522D" w:rsidRPr="00764A85" w:rsidRDefault="00D46EF8" w:rsidP="00D46EF8">
      <w:pPr>
        <w:spacing w:before="120"/>
        <w:ind w:left="567" w:hanging="567"/>
        <w:jc w:val="both"/>
        <w:rPr>
          <w:sz w:val="22"/>
          <w:highlight w:val="lightGray"/>
        </w:rPr>
      </w:pPr>
      <w:r>
        <w:rPr>
          <w:sz w:val="22"/>
          <w:highlight w:val="lightGray"/>
        </w:rPr>
        <w:t>[7.1.x</w:t>
      </w:r>
      <w:r>
        <w:rPr>
          <w:sz w:val="22"/>
          <w:highlight w:val="lightGray"/>
        </w:rPr>
        <w:tab/>
        <w:t>Aux fins du présent contrat, les entités juridiques suivantes sont considérées comme des entités affiliées:</w:t>
      </w:r>
    </w:p>
    <w:p w:rsidR="0056522D" w:rsidRPr="00764A85" w:rsidRDefault="0056522D" w:rsidP="00D46EF8">
      <w:pPr>
        <w:spacing w:before="120"/>
        <w:ind w:left="851"/>
        <w:jc w:val="both"/>
        <w:rPr>
          <w:sz w:val="22"/>
          <w:highlight w:val="lightGray"/>
        </w:rPr>
      </w:pPr>
      <w:r>
        <w:rPr>
          <w:sz w:val="22"/>
          <w:highlight w:val="lightGray"/>
        </w:rPr>
        <w:t xml:space="preserve">- </w:t>
      </w:r>
      <w:r>
        <w:rPr>
          <w:sz w:val="22"/>
          <w:highlight w:val="yellow"/>
        </w:rPr>
        <w:t xml:space="preserve">&lt;nom de l’entité légale&gt;, </w:t>
      </w:r>
      <w:r>
        <w:rPr>
          <w:sz w:val="22"/>
          <w:highlight w:val="lightGray"/>
        </w:rPr>
        <w:t xml:space="preserve">affiliée à </w:t>
      </w:r>
      <w:r>
        <w:rPr>
          <w:sz w:val="22"/>
          <w:highlight w:val="yellow"/>
        </w:rPr>
        <w:t>&lt;nom du bénéficiaire&gt;</w:t>
      </w:r>
      <w:r>
        <w:rPr>
          <w:sz w:val="22"/>
          <w:highlight w:val="lightGray"/>
        </w:rPr>
        <w:t>;</w:t>
      </w:r>
    </w:p>
    <w:p w:rsidR="0056522D" w:rsidRPr="00764A85" w:rsidRDefault="0056522D" w:rsidP="00D46EF8">
      <w:pPr>
        <w:spacing w:before="120"/>
        <w:ind w:left="851"/>
        <w:jc w:val="both"/>
        <w:rPr>
          <w:sz w:val="22"/>
          <w:highlight w:val="lightGray"/>
        </w:rPr>
      </w:pPr>
      <w:r>
        <w:rPr>
          <w:sz w:val="22"/>
          <w:highlight w:val="lightGray"/>
        </w:rPr>
        <w:t xml:space="preserve">- </w:t>
      </w:r>
      <w:r>
        <w:rPr>
          <w:sz w:val="22"/>
          <w:highlight w:val="yellow"/>
        </w:rPr>
        <w:t xml:space="preserve">&lt; nom de l’entité légale&gt;, </w:t>
      </w:r>
      <w:r>
        <w:rPr>
          <w:sz w:val="22"/>
          <w:highlight w:val="lightGray"/>
        </w:rPr>
        <w:t xml:space="preserve">affiliée à </w:t>
      </w:r>
      <w:r>
        <w:rPr>
          <w:sz w:val="22"/>
          <w:highlight w:val="yellow"/>
        </w:rPr>
        <w:t>&lt;nom du bénéficiaire&gt;</w:t>
      </w:r>
      <w:r>
        <w:rPr>
          <w:sz w:val="22"/>
          <w:highlight w:val="lightGray"/>
        </w:rPr>
        <w:t>.</w:t>
      </w:r>
    </w:p>
    <w:p w:rsidR="00237B31" w:rsidRPr="00384AAD" w:rsidRDefault="00237B31" w:rsidP="0094748D">
      <w:pPr>
        <w:spacing w:before="240"/>
        <w:ind w:left="567"/>
        <w:jc w:val="both"/>
        <w:rPr>
          <w:sz w:val="22"/>
          <w:highlight w:val="lightGray"/>
        </w:rPr>
      </w:pPr>
      <w:r>
        <w:rPr>
          <w:sz w:val="22"/>
          <w:highlight w:val="lightGray"/>
        </w:rPr>
        <w:t>Les frais supportés par ces entités affiliées peuvent être acceptés comme des coûts éligibles, à condition que les entités concernées se conforment aux règles pertinentes applicables au(x) bénéficiaire(s) en vertu du présent contrat.</w:t>
      </w:r>
    </w:p>
    <w:p w:rsidR="00AB3569" w:rsidRPr="00764A85" w:rsidRDefault="008A5D01" w:rsidP="0094748D">
      <w:pPr>
        <w:spacing w:before="240"/>
        <w:ind w:left="567"/>
        <w:jc w:val="both"/>
        <w:rPr>
          <w:sz w:val="22"/>
          <w:szCs w:val="22"/>
          <w:highlight w:val="yellow"/>
        </w:rPr>
      </w:pPr>
      <w:r>
        <w:rPr>
          <w:sz w:val="22"/>
          <w:szCs w:val="22"/>
          <w:highlight w:val="yellow"/>
        </w:rPr>
        <w:t>Si les lignes directrices à l’intention des demandeurs prévoient un soutien financier à des tiers:</w:t>
      </w:r>
    </w:p>
    <w:p w:rsidR="00F967BB" w:rsidRPr="00764A85" w:rsidRDefault="000F3CC9" w:rsidP="00D46EF8">
      <w:pPr>
        <w:spacing w:before="120"/>
        <w:ind w:left="567" w:hanging="567"/>
        <w:jc w:val="both"/>
        <w:rPr>
          <w:sz w:val="22"/>
          <w:highlight w:val="lightGray"/>
        </w:rPr>
      </w:pPr>
      <w:r>
        <w:rPr>
          <w:b/>
          <w:sz w:val="22"/>
          <w:highlight w:val="lightGray"/>
        </w:rPr>
        <w:t>[</w:t>
      </w:r>
      <w:r>
        <w:rPr>
          <w:sz w:val="22"/>
          <w:highlight w:val="lightGray"/>
        </w:rPr>
        <w:t>7.1.x</w:t>
      </w:r>
      <w:r>
        <w:rPr>
          <w:sz w:val="22"/>
          <w:highlight w:val="lightGray"/>
        </w:rPr>
        <w:tab/>
        <w:t>Un soutien financier à des tiers ne peut être octroyé que dans le respect des conditions énoncées dans</w:t>
      </w:r>
      <w:r>
        <w:rPr>
          <w:sz w:val="22"/>
        </w:rPr>
        <w:t xml:space="preserve"> </w:t>
      </w:r>
      <w:r>
        <w:rPr>
          <w:sz w:val="22"/>
          <w:szCs w:val="22"/>
          <w:highlight w:val="yellow"/>
        </w:rPr>
        <w:t>&lt;les lignes directrices à l’attention des demandeurs ou dans la section 6.</w:t>
      </w:r>
      <w:r w:rsidR="000B326E">
        <w:rPr>
          <w:sz w:val="22"/>
          <w:szCs w:val="22"/>
          <w:highlight w:val="yellow"/>
        </w:rPr>
        <w:t>8</w:t>
      </w:r>
      <w:r>
        <w:rPr>
          <w:sz w:val="22"/>
          <w:szCs w:val="22"/>
          <w:highlight w:val="yellow"/>
        </w:rPr>
        <w:t>.2 du PRAG, en cas d’attribution directe&gt;</w:t>
      </w:r>
      <w:r>
        <w:rPr>
          <w:sz w:val="22"/>
          <w:highlight w:val="lightGray"/>
        </w:rPr>
        <w:t xml:space="preserve"> et conformément aux critères et conditions exposés dans la description de l’action qui figure dans l’annexe I. </w:t>
      </w:r>
    </w:p>
    <w:p w:rsidR="00F967BB" w:rsidRPr="00764A85" w:rsidRDefault="00822932" w:rsidP="00C76959">
      <w:pPr>
        <w:spacing w:before="120"/>
        <w:ind w:left="567"/>
        <w:jc w:val="both"/>
        <w:rPr>
          <w:sz w:val="22"/>
          <w:highlight w:val="yellow"/>
        </w:rPr>
      </w:pPr>
      <w:r>
        <w:rPr>
          <w:sz w:val="22"/>
          <w:highlight w:val="yellow"/>
        </w:rPr>
        <w:t>Option 1:</w:t>
      </w:r>
    </w:p>
    <w:p w:rsidR="000F3CC9" w:rsidRPr="00764A85" w:rsidRDefault="00683DFD" w:rsidP="00C76959">
      <w:pPr>
        <w:spacing w:before="120"/>
        <w:ind w:left="567"/>
        <w:jc w:val="both"/>
        <w:rPr>
          <w:sz w:val="22"/>
          <w:highlight w:val="lightGray"/>
        </w:rPr>
      </w:pPr>
      <w:r>
        <w:rPr>
          <w:sz w:val="22"/>
          <w:highlight w:val="lightGray"/>
        </w:rPr>
        <w:t xml:space="preserve">[Le montant maximum du soutien financier par tiers est limité à </w:t>
      </w:r>
      <w:r>
        <w:rPr>
          <w:sz w:val="22"/>
          <w:highlight w:val="yellow"/>
        </w:rPr>
        <w:t>&lt;60 000... ou moins&gt;</w:t>
      </w:r>
      <w:r>
        <w:rPr>
          <w:sz w:val="22"/>
          <w:highlight w:val="lightGray"/>
        </w:rPr>
        <w:t xml:space="preserve"> [EUR] </w:t>
      </w:r>
      <w:r>
        <w:rPr>
          <w:sz w:val="22"/>
          <w:highlight w:val="yellow"/>
        </w:rPr>
        <w:t>[&lt;code ISO de la monnaie du pays de l’administration contractante&gt;]</w:t>
      </w:r>
      <w:r>
        <w:rPr>
          <w:sz w:val="22"/>
          <w:highlight w:val="lightGray"/>
        </w:rPr>
        <w:t>.]</w:t>
      </w:r>
    </w:p>
    <w:p w:rsidR="00981A46" w:rsidRDefault="00822932" w:rsidP="00C76959">
      <w:pPr>
        <w:spacing w:before="120"/>
        <w:ind w:left="567"/>
        <w:jc w:val="both"/>
        <w:rPr>
          <w:sz w:val="22"/>
          <w:highlight w:val="lightGray"/>
        </w:rPr>
      </w:pPr>
      <w:r>
        <w:rPr>
          <w:sz w:val="22"/>
          <w:highlight w:val="yellow"/>
        </w:rPr>
        <w:t>Option 2:</w:t>
      </w:r>
    </w:p>
    <w:p w:rsidR="00DA2B80" w:rsidRPr="008C6493" w:rsidRDefault="009619F0" w:rsidP="008C6493">
      <w:pPr>
        <w:pStyle w:val="CM1"/>
        <w:spacing w:before="200" w:after="200"/>
        <w:ind w:left="567"/>
        <w:rPr>
          <w:sz w:val="22"/>
          <w:highlight w:val="lightGray"/>
        </w:rPr>
      </w:pPr>
      <w:r>
        <w:rPr>
          <w:sz w:val="22"/>
          <w:highlight w:val="yellow"/>
        </w:rPr>
        <w:t xml:space="preserve"> </w:t>
      </w:r>
      <w:r>
        <w:rPr>
          <w:sz w:val="22"/>
          <w:szCs w:val="22"/>
          <w:highlight w:val="yellow"/>
        </w:rPr>
        <w:t>Un soutien financier à des tiers dépassant 60 </w:t>
      </w:r>
      <w:r>
        <w:rPr>
          <w:sz w:val="22"/>
          <w:highlight w:val="yellow"/>
        </w:rPr>
        <w:t>000 EUR</w:t>
      </w:r>
      <w:r>
        <w:rPr>
          <w:highlight w:val="yellow"/>
        </w:rPr>
        <w:t xml:space="preserve"> </w:t>
      </w:r>
      <w:r>
        <w:rPr>
          <w:sz w:val="22"/>
          <w:highlight w:val="yellow"/>
        </w:rPr>
        <w:t>par tiers n’est autorisé que lorsque la réalisation des objectifs des actions serait, autrement, impossible ou exagérément difficile.</w:t>
      </w:r>
      <w:r>
        <w:t xml:space="preserve"> </w:t>
      </w:r>
      <w:r>
        <w:rPr>
          <w:sz w:val="22"/>
          <w:highlight w:val="lightGray"/>
        </w:rPr>
        <w:t>[Le montant maximum de 60 000 EUR par tiers ne sera pas applicable, car la réalisation des objectifs des actions serait, autrement, impossible ou exagérément difficile.]</w:t>
      </w:r>
    </w:p>
    <w:p w:rsidR="00EC2CD3" w:rsidRDefault="00EC2CD3" w:rsidP="00C76959">
      <w:pPr>
        <w:spacing w:before="120"/>
        <w:ind w:left="567"/>
        <w:jc w:val="both"/>
        <w:rPr>
          <w:i/>
          <w:sz w:val="22"/>
          <w:szCs w:val="22"/>
          <w:highlight w:val="lightGray"/>
        </w:rPr>
      </w:pPr>
      <w:r>
        <w:rPr>
          <w:sz w:val="22"/>
          <w:szCs w:val="22"/>
          <w:highlight w:val="lightGray"/>
        </w:rPr>
        <w:t xml:space="preserve">7.1.x </w:t>
      </w:r>
      <w:r>
        <w:rPr>
          <w:sz w:val="22"/>
          <w:highlight w:val="lightGray"/>
        </w:rPr>
        <w:t>Dans le cadre d’un soutien financier à des tiers, le calcul des seuils autorisant la libération du versement de préfinancement suivant conformément aux conditions fixées au point 15.1, option 2, point ii), de l’annexe II, tient compte des fonds décaissés et qui font l’objet d’un engagement juridique formel entre le coordonnateur (ou ses cobénéficiaires et ses entités affiliées) et un tiers.</w:t>
      </w:r>
    </w:p>
    <w:p w:rsidR="00C46BA8" w:rsidRPr="00764A85" w:rsidRDefault="00C46BA8" w:rsidP="0094748D">
      <w:pPr>
        <w:spacing w:before="240"/>
        <w:ind w:left="567"/>
        <w:jc w:val="both"/>
        <w:rPr>
          <w:sz w:val="22"/>
          <w:highlight w:val="yellow"/>
        </w:rPr>
      </w:pPr>
      <w:r>
        <w:rPr>
          <w:sz w:val="22"/>
          <w:highlight w:val="yellow"/>
        </w:rPr>
        <w:t>Si la TVA, les taxes, les droits et les charges ne sont pas éligibles, c’est-à-dire dans un des cas suivants:</w:t>
      </w:r>
    </w:p>
    <w:p w:rsidR="00C46BA8" w:rsidRPr="00764A85" w:rsidRDefault="00C46BA8" w:rsidP="0094748D">
      <w:pPr>
        <w:numPr>
          <w:ilvl w:val="0"/>
          <w:numId w:val="8"/>
        </w:numPr>
        <w:spacing w:before="120"/>
        <w:ind w:left="1134" w:hanging="284"/>
        <w:jc w:val="both"/>
        <w:rPr>
          <w:b/>
          <w:sz w:val="22"/>
          <w:highlight w:val="yellow"/>
        </w:rPr>
      </w:pPr>
      <w:r>
        <w:rPr>
          <w:sz w:val="22"/>
          <w:highlight w:val="yellow"/>
        </w:rPr>
        <w:t xml:space="preserve">l’acte de base/la convention de financement exclut leur éligibilité; </w:t>
      </w:r>
    </w:p>
    <w:p w:rsidR="00C46BA8" w:rsidRPr="00764A85" w:rsidRDefault="00C46BA8" w:rsidP="0094748D">
      <w:pPr>
        <w:numPr>
          <w:ilvl w:val="0"/>
          <w:numId w:val="8"/>
        </w:numPr>
        <w:spacing w:before="120"/>
        <w:ind w:left="1134" w:hanging="284"/>
        <w:jc w:val="both"/>
        <w:rPr>
          <w:b/>
          <w:sz w:val="22"/>
          <w:highlight w:val="yellow"/>
        </w:rPr>
      </w:pPr>
      <w:r>
        <w:rPr>
          <w:sz w:val="22"/>
          <w:highlight w:val="yellow"/>
        </w:rPr>
        <w:t>l’appel à propositions exclut leur éligibilité;</w:t>
      </w:r>
    </w:p>
    <w:p w:rsidR="00C46BA8" w:rsidRPr="00764A85" w:rsidRDefault="00C46BA8" w:rsidP="0094748D">
      <w:pPr>
        <w:numPr>
          <w:ilvl w:val="0"/>
          <w:numId w:val="8"/>
        </w:numPr>
        <w:spacing w:before="120"/>
        <w:ind w:left="1134" w:hanging="284"/>
        <w:jc w:val="both"/>
        <w:rPr>
          <w:b/>
          <w:sz w:val="22"/>
          <w:highlight w:val="yellow"/>
        </w:rPr>
      </w:pPr>
      <w:r>
        <w:rPr>
          <w:sz w:val="22"/>
          <w:highlight w:val="yellow"/>
        </w:rPr>
        <w:t>en ce qui concerne la TVA, les activités soutenues au moyen de la subvention sont exercées par le/les bénéficiaire(s) agissant en tant qu’autorité publique d’un État membre (police, justice et gestion du domaine public).</w:t>
      </w:r>
    </w:p>
    <w:p w:rsidR="00C46BA8" w:rsidRPr="00764A85" w:rsidRDefault="00C46BA8" w:rsidP="0094748D">
      <w:pPr>
        <w:tabs>
          <w:tab w:val="left" w:pos="567"/>
        </w:tabs>
        <w:spacing w:before="120"/>
        <w:ind w:left="709" w:hanging="709"/>
        <w:jc w:val="both"/>
        <w:rPr>
          <w:sz w:val="22"/>
          <w:szCs w:val="22"/>
          <w:highlight w:val="lightGray"/>
        </w:rPr>
      </w:pPr>
      <w:r>
        <w:rPr>
          <w:b/>
          <w:sz w:val="22"/>
          <w:highlight w:val="lightGray"/>
        </w:rPr>
        <w:t>[</w:t>
      </w:r>
      <w:r>
        <w:rPr>
          <w:sz w:val="22"/>
          <w:highlight w:val="lightGray"/>
        </w:rPr>
        <w:t>7.1.x</w:t>
      </w:r>
      <w:r>
        <w:rPr>
          <w:sz w:val="22"/>
          <w:highlight w:val="lightGray"/>
        </w:rPr>
        <w:tab/>
      </w:r>
      <w:r>
        <w:rPr>
          <w:sz w:val="22"/>
          <w:highlight w:val="yellow"/>
        </w:rPr>
        <w:t>&lt;la TVA/ les taxes, droits et charges&gt;</w:t>
      </w:r>
      <w:r>
        <w:rPr>
          <w:sz w:val="22"/>
          <w:highlight w:val="lightGray"/>
        </w:rPr>
        <w:t xml:space="preserve"> ne sont </w:t>
      </w:r>
      <w:r>
        <w:rPr>
          <w:sz w:val="22"/>
          <w:szCs w:val="22"/>
          <w:highlight w:val="lightGray"/>
        </w:rPr>
        <w:t>pas éligibles [pour les activités [suivantes] décrites à l’annexe I.</w:t>
      </w:r>
      <w:r>
        <w:rPr>
          <w:b/>
          <w:bCs/>
          <w:sz w:val="22"/>
          <w:szCs w:val="22"/>
          <w:highlight w:val="lightGray"/>
        </w:rPr>
        <w:t>]</w:t>
      </w:r>
    </w:p>
    <w:p w:rsidR="00426A76" w:rsidRPr="00764A85" w:rsidRDefault="00426A76" w:rsidP="0094748D">
      <w:pPr>
        <w:spacing w:before="240"/>
        <w:ind w:left="567"/>
        <w:rPr>
          <w:sz w:val="22"/>
          <w:szCs w:val="22"/>
          <w:highlight w:val="lightGray"/>
        </w:rPr>
      </w:pPr>
      <w:r>
        <w:rPr>
          <w:sz w:val="22"/>
          <w:szCs w:val="22"/>
          <w:highlight w:val="yellow"/>
        </w:rPr>
        <w:t xml:space="preserve">En cas de système de coûts acceptés (taxes non éligibles, contributions en nature...): </w:t>
      </w:r>
    </w:p>
    <w:p w:rsidR="00426A76" w:rsidRPr="00764A85" w:rsidRDefault="00D46EF8" w:rsidP="00D46EF8">
      <w:pPr>
        <w:spacing w:before="120"/>
        <w:ind w:left="567" w:hanging="567"/>
        <w:rPr>
          <w:sz w:val="22"/>
          <w:szCs w:val="22"/>
          <w:highlight w:val="lightGray"/>
        </w:rPr>
      </w:pPr>
      <w:r>
        <w:rPr>
          <w:sz w:val="22"/>
          <w:szCs w:val="22"/>
          <w:highlight w:val="lightGray"/>
        </w:rPr>
        <w:t>7.1.x</w:t>
      </w:r>
      <w:r>
        <w:rPr>
          <w:sz w:val="22"/>
          <w:szCs w:val="22"/>
          <w:highlight w:val="lightGray"/>
        </w:rPr>
        <w:tab/>
        <w:t xml:space="preserve">Les coûts non éligibles suivants peuvent être considérés comme faisant partie du total des coûts acceptés de l’action aux fins du cofinancement, comme suit: </w:t>
      </w:r>
      <w:r>
        <w:rPr>
          <w:sz w:val="22"/>
          <w:szCs w:val="22"/>
          <w:highlight w:val="yellow"/>
        </w:rPr>
        <w:t xml:space="preserve">&lt;précisez les conditions et les </w:t>
      </w:r>
      <w:r>
        <w:rPr>
          <w:sz w:val="22"/>
          <w:szCs w:val="22"/>
          <w:highlight w:val="yellow"/>
        </w:rPr>
        <w:lastRenderedPageBreak/>
        <w:t xml:space="preserve">particularités des coûts acceptés, tels que les contributions en nature, les taxes, notamment la TVA, etc. Pour les contributions en nature, indiquez le montant estimé de la contribution et la méthode de calcul.&gt; </w:t>
      </w:r>
    </w:p>
    <w:p w:rsidR="00426A76" w:rsidRPr="00764A85" w:rsidRDefault="00426A76" w:rsidP="00D46EF8">
      <w:pPr>
        <w:pStyle w:val="Text2"/>
        <w:spacing w:before="120"/>
        <w:ind w:left="567"/>
        <w:rPr>
          <w:sz w:val="22"/>
          <w:szCs w:val="22"/>
          <w:highlight w:val="lightGray"/>
        </w:rPr>
      </w:pPr>
      <w:r>
        <w:rPr>
          <w:sz w:val="22"/>
          <w:szCs w:val="22"/>
          <w:highlight w:val="lightGray"/>
        </w:rPr>
        <w:t>Le coût correspondant doit être inscrit au budget (annexe III et annexe VI), dans la rubrique 12.</w:t>
      </w:r>
    </w:p>
    <w:p w:rsidR="00426A76" w:rsidRPr="00764A85" w:rsidRDefault="00426A76" w:rsidP="00D46EF8">
      <w:pPr>
        <w:spacing w:before="120"/>
        <w:ind w:left="567"/>
        <w:jc w:val="both"/>
        <w:rPr>
          <w:sz w:val="22"/>
        </w:rPr>
      </w:pPr>
      <w:r>
        <w:rPr>
          <w:sz w:val="22"/>
          <w:highlight w:val="lightGray"/>
        </w:rPr>
        <w:t xml:space="preserve">Le total des coûts acceptés de l’action est estimé à </w:t>
      </w:r>
      <w:r>
        <w:rPr>
          <w:sz w:val="22"/>
          <w:highlight w:val="yellow"/>
        </w:rPr>
        <w:t>&lt;indiquez le montant de la rubrique 13 de l’annexe III&gt;</w:t>
      </w:r>
      <w:r>
        <w:rPr>
          <w:sz w:val="22"/>
          <w:highlight w:val="lightGray"/>
        </w:rPr>
        <w:t xml:space="preserve"> [EUR] </w:t>
      </w:r>
      <w:r>
        <w:rPr>
          <w:sz w:val="22"/>
          <w:highlight w:val="yellow"/>
        </w:rPr>
        <w:t>[&lt;code ISO de la monnaie du pays de l’administration contractante&gt;]</w:t>
      </w:r>
      <w:r>
        <w:rPr>
          <w:sz w:val="22"/>
          <w:highlight w:val="lightGray"/>
        </w:rPr>
        <w:t>, tel qu’indiqué dans l’annexe III.</w:t>
      </w:r>
      <w:r>
        <w:rPr>
          <w:sz w:val="22"/>
        </w:rPr>
        <w:t xml:space="preserve"> </w:t>
      </w:r>
    </w:p>
    <w:p w:rsidR="00426A76" w:rsidRPr="00764A85" w:rsidRDefault="00426A76" w:rsidP="00D46EF8">
      <w:pPr>
        <w:spacing w:before="120"/>
        <w:ind w:left="567"/>
        <w:jc w:val="both"/>
        <w:rPr>
          <w:sz w:val="22"/>
          <w:szCs w:val="22"/>
          <w:highlight w:val="lightGray"/>
        </w:rPr>
      </w:pPr>
      <w:r>
        <w:rPr>
          <w:sz w:val="22"/>
          <w:szCs w:val="22"/>
          <w:highlight w:val="lightGray"/>
        </w:rPr>
        <w:t xml:space="preserve">La contribution de l’administration contractante définie au point 3.2 est en outre limitée à </w:t>
      </w:r>
      <w:r>
        <w:rPr>
          <w:sz w:val="22"/>
          <w:szCs w:val="22"/>
          <w:highlight w:val="yellow"/>
        </w:rPr>
        <w:t>&lt;indiquez le pourcentage applicable&gt;</w:t>
      </w:r>
      <w:r>
        <w:rPr>
          <w:sz w:val="22"/>
          <w:szCs w:val="22"/>
          <w:highlight w:val="lightGray"/>
        </w:rPr>
        <w:t> % du total estimé des coûts acceptés.</w:t>
      </w:r>
    </w:p>
    <w:p w:rsidR="00426A76" w:rsidRDefault="00426A76" w:rsidP="00D46EF8">
      <w:pPr>
        <w:spacing w:before="120"/>
        <w:ind w:left="567"/>
        <w:jc w:val="both"/>
        <w:rPr>
          <w:sz w:val="22"/>
          <w:szCs w:val="22"/>
          <w:highlight w:val="lightGray"/>
        </w:rPr>
      </w:pPr>
      <w:r>
        <w:rPr>
          <w:sz w:val="22"/>
          <w:szCs w:val="22"/>
          <w:highlight w:val="lightGray"/>
        </w:rPr>
        <w:t>Le montant final de la contribution de l’administration contractante est établi conformément aux articles 14 et 17 de l’annexe II. Les pourcentages fixés pour le total des coûts éligibles et le total des coûts acceptés sont cumulables, de sorte que la contribution de l’administration contractante est limitée au montant le plus faible obtenu en appliquant respectivement les pourcentages au total final des coûts éligibles et au total final des coûts acceptés approuvés par l’administration contractante. Si le total des coûts acceptés est égal au total des coûts éligibles, le pourcentage applicable au total des coûts acceptés s’applique au total des coûts éligibles afin de garantir le cofinancement requis.</w:t>
      </w:r>
    </w:p>
    <w:p w:rsidR="00705119" w:rsidRDefault="00705119" w:rsidP="00D46EF8">
      <w:pPr>
        <w:spacing w:before="120"/>
        <w:ind w:left="567"/>
        <w:jc w:val="both"/>
        <w:rPr>
          <w:sz w:val="22"/>
          <w:szCs w:val="22"/>
          <w:highlight w:val="lightGray"/>
        </w:rPr>
      </w:pPr>
    </w:p>
    <w:p w:rsidR="00705119" w:rsidRPr="002326A2" w:rsidRDefault="00705119" w:rsidP="00D46EF8">
      <w:pPr>
        <w:spacing w:before="120"/>
        <w:ind w:left="567"/>
        <w:jc w:val="both"/>
        <w:rPr>
          <w:sz w:val="22"/>
          <w:szCs w:val="22"/>
          <w:highlight w:val="yellow"/>
        </w:rPr>
      </w:pPr>
      <w:r>
        <w:rPr>
          <w:sz w:val="22"/>
          <w:szCs w:val="22"/>
          <w:highlight w:val="yellow"/>
        </w:rPr>
        <w:t>Si le(s) bénéficiaire(s) souhaite(nt) définir un taux de change particulier à appliquer au montant des dépenses préfinancées par le(s) bénéficiaire(s) (ou d’autres donateurs) à la fin de l’action (montant du solde):</w:t>
      </w:r>
    </w:p>
    <w:p w:rsidR="00705119" w:rsidRDefault="00705119" w:rsidP="00D46EF8">
      <w:pPr>
        <w:spacing w:before="120"/>
        <w:ind w:left="567"/>
        <w:jc w:val="both"/>
        <w:rPr>
          <w:sz w:val="22"/>
          <w:szCs w:val="22"/>
          <w:highlight w:val="lightGray"/>
        </w:rPr>
      </w:pPr>
    </w:p>
    <w:p w:rsidR="00705119" w:rsidRPr="00764A85" w:rsidRDefault="00705119" w:rsidP="002326A2">
      <w:pPr>
        <w:tabs>
          <w:tab w:val="left" w:pos="567"/>
        </w:tabs>
        <w:spacing w:before="120"/>
        <w:ind w:left="709" w:hanging="709"/>
        <w:jc w:val="both"/>
        <w:rPr>
          <w:sz w:val="22"/>
          <w:szCs w:val="22"/>
          <w:highlight w:val="lightGray"/>
        </w:rPr>
      </w:pPr>
      <w:r>
        <w:rPr>
          <w:b/>
          <w:sz w:val="22"/>
          <w:highlight w:val="lightGray"/>
        </w:rPr>
        <w:t>[</w:t>
      </w:r>
      <w:r>
        <w:rPr>
          <w:sz w:val="22"/>
          <w:highlight w:val="lightGray"/>
        </w:rPr>
        <w:t>7.1.x</w:t>
      </w:r>
      <w:r>
        <w:rPr>
          <w:sz w:val="22"/>
          <w:highlight w:val="lightGray"/>
        </w:rPr>
        <w:tab/>
        <w:t xml:space="preserve">- Le taux de change à appliquer en cas de solde positif préfinancé par le(s) bénéficiaire(s) (ou d’autres donateurs) à la fin de l’action est </w:t>
      </w:r>
      <w:r>
        <w:rPr>
          <w:sz w:val="22"/>
          <w:highlight w:val="yellow"/>
        </w:rPr>
        <w:t>&lt;indiquez la règle/le critère applicable pour définir le taux de change&gt;</w:t>
      </w:r>
      <w:r>
        <w:rPr>
          <w:sz w:val="22"/>
          <w:highlight w:val="lightGray"/>
        </w:rPr>
        <w:t xml:space="preserve"> selon les pratiques comptables habituelles du(des) bénéficiaire(s)</w:t>
      </w:r>
      <w:r>
        <w:rPr>
          <w:sz w:val="22"/>
          <w:szCs w:val="22"/>
          <w:highlight w:val="lightGray"/>
        </w:rPr>
        <w:t>.</w:t>
      </w:r>
      <w:r>
        <w:rPr>
          <w:b/>
          <w:bCs/>
          <w:sz w:val="22"/>
          <w:highlight w:val="lightGray"/>
        </w:rPr>
        <w:t>]</w:t>
      </w:r>
    </w:p>
    <w:p w:rsidR="00B122F2" w:rsidRDefault="00921D92" w:rsidP="002326A2">
      <w:pPr>
        <w:spacing w:before="120"/>
        <w:ind w:left="709"/>
        <w:jc w:val="both"/>
        <w:rPr>
          <w:sz w:val="22"/>
          <w:szCs w:val="22"/>
          <w:highlight w:val="yellow"/>
        </w:rPr>
      </w:pPr>
      <w:r>
        <w:rPr>
          <w:sz w:val="22"/>
          <w:szCs w:val="22"/>
          <w:highlight w:val="yellow"/>
        </w:rPr>
        <w:t>Répartition des coûts (bureau de projet)</w:t>
      </w:r>
      <w:r w:rsidR="00B122F2">
        <w:rPr>
          <w:rStyle w:val="FootnoteReference"/>
          <w:sz w:val="22"/>
          <w:szCs w:val="22"/>
          <w:highlight w:val="yellow"/>
        </w:rPr>
        <w:footnoteReference w:id="6"/>
      </w:r>
      <w:r>
        <w:rPr>
          <w:sz w:val="22"/>
          <w:szCs w:val="22"/>
          <w:highlight w:val="yellow"/>
        </w:rPr>
        <w:t>:</w:t>
      </w:r>
    </w:p>
    <w:p w:rsidR="00FB44D9" w:rsidRPr="00191C3D" w:rsidRDefault="00B122F2" w:rsidP="00D25C52">
      <w:pPr>
        <w:tabs>
          <w:tab w:val="left" w:pos="567"/>
        </w:tabs>
        <w:spacing w:before="120"/>
        <w:ind w:left="709" w:hanging="709"/>
        <w:jc w:val="both"/>
        <w:rPr>
          <w:sz w:val="22"/>
          <w:highlight w:val="lightGray"/>
        </w:rPr>
      </w:pPr>
      <w:r>
        <w:rPr>
          <w:b/>
          <w:sz w:val="22"/>
          <w:highlight w:val="lightGray"/>
        </w:rPr>
        <w:t>[</w:t>
      </w:r>
      <w:r>
        <w:rPr>
          <w:sz w:val="22"/>
          <w:highlight w:val="lightGray"/>
        </w:rPr>
        <w:t>7.1.x</w:t>
      </w:r>
      <w:r>
        <w:rPr>
          <w:sz w:val="22"/>
          <w:highlight w:val="lightGray"/>
        </w:rPr>
        <w:tab/>
        <w:t>- Lorsque la mise en œuvre de l’action nécessite la mise en place ou l’utilisation d’un bureau de projet, le(s) bénéficiaire(s) peu(ven)t déclarer comme coûts directs éligibles la part des frais de fonctionnement du bureau de projet décrits dans la proposition qui correspond à la durée de l’action, soit sur la base des frais réellement supportés par le bureau de projet pour l’action, soit sur la base de l’approche de répartition des coûts présentée dans le cadre de la proposition.</w:t>
      </w:r>
      <w:r>
        <w:rPr>
          <w:b/>
          <w:bCs/>
          <w:sz w:val="22"/>
          <w:highlight w:val="lightGray"/>
        </w:rPr>
        <w:t>]</w:t>
      </w:r>
      <w:r>
        <w:rPr>
          <w:sz w:val="22"/>
          <w:highlight w:val="lightGray"/>
        </w:rPr>
        <w:t xml:space="preserve">  </w:t>
      </w:r>
      <w:r>
        <w:rPr>
          <w:sz w:val="22"/>
          <w:highlight w:val="lightGray"/>
        </w:rPr>
        <w:tab/>
      </w:r>
      <w:r>
        <w:rPr>
          <w:sz w:val="22"/>
          <w:highlight w:val="lightGray"/>
        </w:rPr>
        <w:tab/>
      </w:r>
    </w:p>
    <w:p w:rsidR="00FB44D9" w:rsidRDefault="00FB44D9" w:rsidP="00A65B30">
      <w:pPr>
        <w:tabs>
          <w:tab w:val="left" w:pos="567"/>
        </w:tabs>
        <w:spacing w:before="120"/>
        <w:jc w:val="both"/>
        <w:rPr>
          <w:sz w:val="22"/>
          <w:highlight w:val="lightGray"/>
        </w:rPr>
      </w:pPr>
    </w:p>
    <w:p w:rsidR="00C2718F" w:rsidRPr="00764A85" w:rsidRDefault="00C2718F" w:rsidP="00A65B30">
      <w:pPr>
        <w:tabs>
          <w:tab w:val="left" w:pos="567"/>
        </w:tabs>
        <w:spacing w:before="120"/>
        <w:ind w:left="709" w:hanging="709"/>
        <w:jc w:val="both"/>
        <w:rPr>
          <w:sz w:val="22"/>
          <w:highlight w:val="lightGray"/>
        </w:rPr>
      </w:pPr>
      <w:r>
        <w:rPr>
          <w:sz w:val="22"/>
          <w:highlight w:val="lightGray"/>
        </w:rPr>
        <w:t>7.2</w:t>
      </w:r>
      <w:r>
        <w:rPr>
          <w:sz w:val="22"/>
          <w:highlight w:val="lightGray"/>
        </w:rPr>
        <w:tab/>
        <w:t>Il est dérogé à l’annexe II par les dispositions suivantes:</w:t>
      </w:r>
    </w:p>
    <w:p w:rsidR="00C849DD" w:rsidRPr="00764A85" w:rsidRDefault="00C849DD" w:rsidP="0094748D">
      <w:pPr>
        <w:tabs>
          <w:tab w:val="left" w:pos="567"/>
          <w:tab w:val="right" w:pos="5678"/>
        </w:tabs>
        <w:autoSpaceDE w:val="0"/>
        <w:autoSpaceDN w:val="0"/>
        <w:adjustRightInd w:val="0"/>
        <w:spacing w:before="120"/>
        <w:ind w:left="567"/>
        <w:jc w:val="both"/>
        <w:rPr>
          <w:sz w:val="22"/>
          <w:szCs w:val="22"/>
        </w:rPr>
      </w:pPr>
      <w:r>
        <w:rPr>
          <w:sz w:val="22"/>
          <w:szCs w:val="22"/>
          <w:highlight w:val="yellow"/>
        </w:rPr>
        <w:t>Pour la gestion indirecte:</w:t>
      </w:r>
    </w:p>
    <w:p w:rsidR="00C849DD" w:rsidRPr="00764A85" w:rsidRDefault="00C849DD" w:rsidP="00D46EF8">
      <w:pPr>
        <w:tabs>
          <w:tab w:val="left" w:pos="567"/>
          <w:tab w:val="right" w:pos="5678"/>
        </w:tabs>
        <w:autoSpaceDE w:val="0"/>
        <w:autoSpaceDN w:val="0"/>
        <w:adjustRightInd w:val="0"/>
        <w:spacing w:before="120"/>
        <w:ind w:left="567" w:hanging="567"/>
        <w:jc w:val="both"/>
        <w:rPr>
          <w:sz w:val="22"/>
          <w:szCs w:val="22"/>
          <w:highlight w:val="lightGray"/>
        </w:rPr>
      </w:pPr>
      <w:r>
        <w:rPr>
          <w:sz w:val="22"/>
          <w:szCs w:val="22"/>
          <w:highlight w:val="lightGray"/>
        </w:rPr>
        <w:t>[7.2.x</w:t>
      </w:r>
      <w:r>
        <w:rPr>
          <w:sz w:val="22"/>
          <w:szCs w:val="22"/>
          <w:highlight w:val="lightGray"/>
        </w:rPr>
        <w:tab/>
      </w:r>
      <w:r>
        <w:rPr>
          <w:sz w:val="22"/>
          <w:szCs w:val="22"/>
          <w:highlight w:val="lightGray"/>
        </w:rPr>
        <w:tab/>
        <w:t xml:space="preserve">Par dérogation au point 15.6 de l’annexe II, à l’expiration du délai prévu au point 15.4, le coordonnateur est en droit de réclamer des intérêts de retard conformément au point 15.6, à la condition d’en faire la demande dans les deux mois suivant la réception du paiement tardif.] </w:t>
      </w:r>
    </w:p>
    <w:p w:rsidR="009E4066" w:rsidRPr="00764A85" w:rsidRDefault="009E4066" w:rsidP="00F13D45">
      <w:pPr>
        <w:tabs>
          <w:tab w:val="left" w:pos="567"/>
          <w:tab w:val="right" w:pos="5678"/>
        </w:tabs>
        <w:autoSpaceDE w:val="0"/>
        <w:autoSpaceDN w:val="0"/>
        <w:adjustRightInd w:val="0"/>
        <w:spacing w:before="120"/>
        <w:jc w:val="both"/>
        <w:rPr>
          <w:sz w:val="22"/>
          <w:szCs w:val="22"/>
          <w:lang w:eastAsia="en-GB"/>
        </w:rPr>
      </w:pPr>
    </w:p>
    <w:p w:rsidR="008C49DC" w:rsidRPr="00764A85" w:rsidRDefault="00372586" w:rsidP="0094748D">
      <w:pPr>
        <w:pStyle w:val="Heading3"/>
        <w:keepNext w:val="0"/>
        <w:widowControl w:val="0"/>
        <w:numPr>
          <w:ilvl w:val="0"/>
          <w:numId w:val="0"/>
        </w:numPr>
        <w:spacing w:before="240" w:after="120"/>
        <w:ind w:left="567"/>
        <w:jc w:val="both"/>
        <w:rPr>
          <w:i w:val="0"/>
          <w:sz w:val="22"/>
        </w:rPr>
      </w:pPr>
      <w:r>
        <w:rPr>
          <w:i w:val="0"/>
          <w:sz w:val="22"/>
          <w:szCs w:val="22"/>
          <w:highlight w:val="yellow"/>
        </w:rPr>
        <w:t xml:space="preserve">Si l’action a pour objectif de renforcer la capacité financière </w:t>
      </w:r>
      <w:r>
        <w:rPr>
          <w:i w:val="0"/>
          <w:sz w:val="22"/>
          <w:highlight w:val="yellow"/>
        </w:rPr>
        <w:t>d’un bénéficiaire ou de personnes physiques qui ont un besoin pressant d’aide et/ou de générer un revenu visant à assurer sa viabilité après la fin du présent contrat:</w:t>
      </w:r>
      <w:r>
        <w:rPr>
          <w:i w:val="0"/>
          <w:sz w:val="22"/>
        </w:rPr>
        <w:t xml:space="preserve"> </w:t>
      </w:r>
    </w:p>
    <w:p w:rsidR="00425706" w:rsidRPr="00764A85" w:rsidRDefault="00372586" w:rsidP="00D46EF8">
      <w:pPr>
        <w:shd w:val="clear" w:color="auto" w:fill="D9D9D9"/>
        <w:tabs>
          <w:tab w:val="left" w:pos="-1440"/>
          <w:tab w:val="left" w:pos="-720"/>
        </w:tabs>
        <w:spacing w:before="120"/>
        <w:ind w:left="567" w:hanging="567"/>
        <w:rPr>
          <w:sz w:val="22"/>
          <w:highlight w:val="lightGray"/>
        </w:rPr>
      </w:pPr>
      <w:r>
        <w:rPr>
          <w:sz w:val="22"/>
          <w:highlight w:val="lightGray"/>
        </w:rPr>
        <w:t>[7.2.x</w:t>
      </w:r>
      <w:r>
        <w:rPr>
          <w:sz w:val="22"/>
          <w:highlight w:val="lightGray"/>
        </w:rPr>
        <w:tab/>
        <w:t xml:space="preserve">La règle du non-profit ne s’applique pas au présent contrat, conformément au point 17.7 de l’annexe II: </w:t>
      </w:r>
    </w:p>
    <w:p w:rsidR="00425706" w:rsidRPr="00764A85" w:rsidRDefault="00425706" w:rsidP="008C49DC">
      <w:pPr>
        <w:shd w:val="clear" w:color="auto" w:fill="D9D9D9"/>
        <w:tabs>
          <w:tab w:val="left" w:pos="-1440"/>
          <w:tab w:val="left" w:pos="-720"/>
        </w:tabs>
        <w:spacing w:before="120"/>
        <w:ind w:left="567"/>
        <w:rPr>
          <w:sz w:val="22"/>
          <w:highlight w:val="yellow"/>
        </w:rPr>
      </w:pPr>
      <w:r>
        <w:rPr>
          <w:sz w:val="22"/>
          <w:highlight w:val="yellow"/>
        </w:rPr>
        <w:t xml:space="preserve">choisissez:  </w:t>
      </w:r>
    </w:p>
    <w:p w:rsidR="008C49DC" w:rsidRPr="00F13D45" w:rsidRDefault="00632D73" w:rsidP="0094748D">
      <w:pPr>
        <w:shd w:val="clear" w:color="auto" w:fill="D9D9D9"/>
        <w:tabs>
          <w:tab w:val="left" w:pos="-1440"/>
          <w:tab w:val="left" w:pos="-720"/>
        </w:tabs>
        <w:spacing w:before="120"/>
        <w:ind w:left="1134" w:hanging="284"/>
        <w:rPr>
          <w:sz w:val="22"/>
          <w:highlight w:val="lightGray"/>
        </w:rPr>
      </w:pPr>
      <w:r>
        <w:rPr>
          <w:sz w:val="22"/>
          <w:highlight w:val="lightGray"/>
        </w:rPr>
        <w:t>[a)</w:t>
      </w:r>
      <w:r>
        <w:rPr>
          <w:sz w:val="22"/>
          <w:highlight w:val="lightGray"/>
        </w:rPr>
        <w:tab/>
        <w:t>actions ayant pour objet de renforcer la capacité financière d’un bénéficiaire]</w:t>
      </w:r>
    </w:p>
    <w:p w:rsidR="008C49DC" w:rsidRPr="00F13D45" w:rsidRDefault="00632D73" w:rsidP="0094748D">
      <w:pPr>
        <w:shd w:val="clear" w:color="auto" w:fill="D9D9D9"/>
        <w:tabs>
          <w:tab w:val="left" w:pos="-1440"/>
          <w:tab w:val="left" w:pos="-720"/>
        </w:tabs>
        <w:spacing w:before="120"/>
        <w:ind w:left="1134" w:hanging="284"/>
        <w:jc w:val="both"/>
        <w:rPr>
          <w:sz w:val="22"/>
          <w:highlight w:val="lightGray"/>
        </w:rPr>
      </w:pPr>
      <w:r>
        <w:rPr>
          <w:sz w:val="22"/>
          <w:highlight w:val="lightGray"/>
        </w:rPr>
        <w:lastRenderedPageBreak/>
        <w:t>[b)</w:t>
      </w:r>
      <w:r>
        <w:rPr>
          <w:sz w:val="22"/>
          <w:highlight w:val="lightGray"/>
        </w:rPr>
        <w:tab/>
        <w:t>actions générant un revenu permettant d’assurer leur continuité après la fin du présent contrat]</w:t>
      </w:r>
    </w:p>
    <w:p w:rsidR="00C31198" w:rsidRPr="00C31198" w:rsidRDefault="00632D73" w:rsidP="0094748D">
      <w:pPr>
        <w:shd w:val="clear" w:color="auto" w:fill="D9D9D9"/>
        <w:tabs>
          <w:tab w:val="left" w:pos="-1440"/>
          <w:tab w:val="left" w:pos="-720"/>
        </w:tabs>
        <w:spacing w:before="120"/>
        <w:ind w:left="1134" w:hanging="284"/>
        <w:jc w:val="both"/>
        <w:rPr>
          <w:sz w:val="22"/>
        </w:rPr>
      </w:pPr>
      <w:r>
        <w:rPr>
          <w:sz w:val="22"/>
          <w:highlight w:val="lightGray"/>
        </w:rPr>
        <w:t>[c)</w:t>
      </w:r>
      <w:r>
        <w:rPr>
          <w:sz w:val="22"/>
          <w:highlight w:val="lightGray"/>
        </w:rPr>
        <w:tab/>
        <w:t>autres aides directes versées à des personnes physiques qui ont un besoin pressant d’aide, comme les sans-emploi et les réfugiés]]</w:t>
      </w:r>
    </w:p>
    <w:p w:rsidR="00E31298" w:rsidRDefault="00156403" w:rsidP="00F13D45">
      <w:pPr>
        <w:tabs>
          <w:tab w:val="left" w:pos="-1440"/>
          <w:tab w:val="left" w:pos="-720"/>
        </w:tabs>
        <w:spacing w:before="120"/>
        <w:jc w:val="both"/>
        <w:rPr>
          <w:sz w:val="22"/>
          <w:highlight w:val="yellow"/>
        </w:rPr>
      </w:pPr>
      <w:r>
        <w:rPr>
          <w:sz w:val="22"/>
          <w:highlight w:val="lightGray"/>
        </w:rPr>
        <w:t>[7.2.x</w:t>
      </w:r>
      <w:r>
        <w:rPr>
          <w:sz w:val="22"/>
          <w:highlight w:val="lightGray"/>
        </w:rPr>
        <w:tab/>
        <w:t xml:space="preserve">Par dérogation au point 15.9 de l’annexe II et aux fins de l’établissement de rapports, </w:t>
      </w:r>
      <w:r>
        <w:rPr>
          <w:bCs/>
          <w:sz w:val="22"/>
          <w:highlight w:val="lightGray"/>
        </w:rPr>
        <w:t>la conversion dans</w:t>
      </w:r>
      <w:r>
        <w:rPr>
          <w:sz w:val="22"/>
          <w:highlight w:val="lightGray"/>
        </w:rPr>
        <w:t xml:space="preserve"> la </w:t>
      </w:r>
      <w:r>
        <w:rPr>
          <w:bCs/>
          <w:sz w:val="22"/>
          <w:highlight w:val="lightGray"/>
        </w:rPr>
        <w:t xml:space="preserve">monnaie fixée dans les conditions particulières se fonde sur le taux de change </w:t>
      </w:r>
      <w:r>
        <w:rPr>
          <w:sz w:val="22"/>
          <w:highlight w:val="yellow"/>
        </w:rPr>
        <w:t>&lt;insérez ici le taux de change à appliquer aux fins de l’établissement de rapports conformément au point 15.9 de l’annexe II&gt;</w:t>
      </w:r>
      <w:r>
        <w:rPr>
          <w:sz w:val="22"/>
          <w:highlight w:val="lightGray"/>
        </w:rPr>
        <w:t>.</w:t>
      </w:r>
    </w:p>
    <w:p w:rsidR="00A237C3" w:rsidRDefault="00E31298" w:rsidP="00A237C3">
      <w:pPr>
        <w:tabs>
          <w:tab w:val="left" w:pos="-1440"/>
          <w:tab w:val="left" w:pos="-720"/>
        </w:tabs>
        <w:spacing w:before="120"/>
        <w:jc w:val="both"/>
        <w:rPr>
          <w:sz w:val="22"/>
          <w:highlight w:val="yellow"/>
        </w:rPr>
      </w:pPr>
      <w:r>
        <w:rPr>
          <w:sz w:val="20"/>
          <w:highlight w:val="lightGray"/>
        </w:rPr>
        <w:t xml:space="preserve">[7.2.x </w:t>
      </w:r>
      <w:r>
        <w:rPr>
          <w:sz w:val="22"/>
          <w:highlight w:val="lightGray"/>
        </w:rPr>
        <w:t>Par dérogation au point 15.10 de l’annexe II, les frais supportés dans des monnaies autres que celle utilisée dans les comptes du(des) bénéficiaire(s) sont convertis</w:t>
      </w:r>
      <w:r>
        <w:t xml:space="preserve"> </w:t>
      </w:r>
      <w:r>
        <w:rPr>
          <w:sz w:val="22"/>
          <w:highlight w:val="yellow"/>
        </w:rPr>
        <w:t>(à insérer lorsque les conditions énoncées au point 15.10 de l’annexe II ne sont pas remplies).</w:t>
      </w:r>
    </w:p>
    <w:p w:rsidR="00E7716F" w:rsidRDefault="00E7716F" w:rsidP="0094748D">
      <w:pPr>
        <w:tabs>
          <w:tab w:val="left" w:pos="-1440"/>
          <w:tab w:val="left" w:pos="-720"/>
        </w:tabs>
        <w:spacing w:before="120"/>
        <w:ind w:left="567"/>
        <w:jc w:val="both"/>
        <w:rPr>
          <w:highlight w:val="yellow"/>
        </w:rPr>
      </w:pPr>
    </w:p>
    <w:p w:rsidR="00942529" w:rsidRPr="00BC03E0" w:rsidRDefault="00942529" w:rsidP="00F13D45">
      <w:pPr>
        <w:tabs>
          <w:tab w:val="left" w:pos="-1440"/>
          <w:tab w:val="left" w:pos="-720"/>
        </w:tabs>
        <w:spacing w:before="120"/>
        <w:jc w:val="both"/>
        <w:rPr>
          <w:sz w:val="22"/>
          <w:szCs w:val="22"/>
        </w:rPr>
      </w:pPr>
      <w:r>
        <w:rPr>
          <w:sz w:val="22"/>
          <w:szCs w:val="22"/>
          <w:highlight w:val="yellow"/>
        </w:rPr>
        <w:t>Lorsque l’un des bénéficiaires est une organisation internationale, référez-vous à l’annexe e3h11_derogations_IOs pour connaître les clauses à insérer ici.</w:t>
      </w:r>
    </w:p>
    <w:p w:rsidR="00F14EAB" w:rsidRPr="00764A85" w:rsidRDefault="001815CB" w:rsidP="0094748D">
      <w:pPr>
        <w:tabs>
          <w:tab w:val="left" w:pos="-1440"/>
        </w:tabs>
        <w:spacing w:before="240"/>
        <w:ind w:left="567"/>
        <w:jc w:val="both"/>
        <w:rPr>
          <w:sz w:val="22"/>
          <w:szCs w:val="22"/>
        </w:rPr>
      </w:pPr>
      <w:r>
        <w:rPr>
          <w:sz w:val="22"/>
          <w:szCs w:val="22"/>
          <w:highlight w:val="yellow"/>
        </w:rPr>
        <w:t>Pour le FED, uniquement lorsque le contrat met en œuvre une convention de financement conclue sur la base d’un modèle de 2013 ou antérieur:</w:t>
      </w:r>
      <w:r>
        <w:rPr>
          <w:sz w:val="22"/>
          <w:szCs w:val="22"/>
        </w:rPr>
        <w:t xml:space="preserve"> </w:t>
      </w:r>
    </w:p>
    <w:p w:rsidR="002A54A4" w:rsidRDefault="007205EA" w:rsidP="007205EA">
      <w:pPr>
        <w:tabs>
          <w:tab w:val="left" w:pos="-1440"/>
          <w:tab w:val="left" w:pos="-720"/>
        </w:tabs>
        <w:spacing w:before="120"/>
        <w:ind w:left="567" w:hanging="567"/>
        <w:jc w:val="both"/>
        <w:rPr>
          <w:sz w:val="22"/>
          <w:szCs w:val="22"/>
          <w:highlight w:val="lightGray"/>
        </w:rPr>
      </w:pPr>
      <w:r>
        <w:rPr>
          <w:sz w:val="22"/>
          <w:szCs w:val="22"/>
          <w:highlight w:val="lightGray"/>
        </w:rPr>
        <w:t>[7.2.x</w:t>
      </w:r>
      <w:r>
        <w:rPr>
          <w:sz w:val="22"/>
          <w:szCs w:val="22"/>
          <w:highlight w:val="lightGray"/>
        </w:rPr>
        <w:tab/>
        <w:t>Le versement de préfinancement initial est effectué dans un délai de 45 jours suivant la réception de la demande de paiement par l’administration contractante.</w:t>
      </w:r>
    </w:p>
    <w:p w:rsidR="00173658" w:rsidRPr="00764A85" w:rsidRDefault="00173658" w:rsidP="0094748D">
      <w:pPr>
        <w:tabs>
          <w:tab w:val="left" w:pos="-1440"/>
        </w:tabs>
        <w:spacing w:before="240"/>
        <w:ind w:left="567"/>
        <w:jc w:val="both"/>
        <w:rPr>
          <w:sz w:val="22"/>
          <w:szCs w:val="22"/>
        </w:rPr>
      </w:pPr>
      <w:r>
        <w:rPr>
          <w:sz w:val="22"/>
          <w:szCs w:val="22"/>
          <w:highlight w:val="yellow"/>
        </w:rPr>
        <w:t>Pour le FED, uniquement lorsque le contrat met en œuvre une convention de financement conclue sur la base d’un modèle de 2014 ou postérieur:</w:t>
      </w:r>
    </w:p>
    <w:p w:rsidR="00173658" w:rsidRDefault="00173658" w:rsidP="00173658">
      <w:pPr>
        <w:tabs>
          <w:tab w:val="left" w:pos="-1440"/>
          <w:tab w:val="left" w:pos="-720"/>
        </w:tabs>
        <w:spacing w:before="120"/>
        <w:ind w:left="567" w:hanging="567"/>
        <w:jc w:val="both"/>
        <w:rPr>
          <w:sz w:val="22"/>
          <w:szCs w:val="22"/>
          <w:highlight w:val="lightGray"/>
        </w:rPr>
      </w:pPr>
      <w:r>
        <w:rPr>
          <w:sz w:val="22"/>
          <w:szCs w:val="22"/>
          <w:highlight w:val="lightGray"/>
        </w:rPr>
        <w:t>[7.2.x</w:t>
      </w:r>
      <w:r>
        <w:rPr>
          <w:sz w:val="22"/>
          <w:szCs w:val="22"/>
          <w:highlight w:val="lightGray"/>
        </w:rPr>
        <w:tab/>
        <w:t>Le versement de préfinancement initial est effectué dans un délai de 60 jours suivant la réception de la demande de paiement par l’administration contractante.</w:t>
      </w:r>
    </w:p>
    <w:p w:rsidR="000B771A" w:rsidRPr="00764A85" w:rsidRDefault="003D25C3" w:rsidP="0094748D">
      <w:pPr>
        <w:tabs>
          <w:tab w:val="left" w:pos="-1440"/>
          <w:tab w:val="left" w:pos="-720"/>
        </w:tabs>
        <w:spacing w:before="240"/>
        <w:ind w:left="567"/>
        <w:jc w:val="both"/>
        <w:rPr>
          <w:sz w:val="22"/>
          <w:szCs w:val="22"/>
        </w:rPr>
      </w:pPr>
      <w:r>
        <w:rPr>
          <w:sz w:val="22"/>
          <w:szCs w:val="22"/>
          <w:highlight w:val="yellow"/>
        </w:rPr>
        <w:t>[Si en vertu d’un accord de financement signé avant le 1.1.2013, lorsque la Commission effectue des paiements au nom de l’administration contractante (dans le cadre d’une gestion décentralisée tant pour le FED que pour le BUDGET).]</w:t>
      </w:r>
    </w:p>
    <w:p w:rsidR="0060277A" w:rsidRDefault="007205EA" w:rsidP="007205EA">
      <w:pPr>
        <w:tabs>
          <w:tab w:val="left" w:pos="-1440"/>
          <w:tab w:val="left" w:pos="-720"/>
        </w:tabs>
        <w:spacing w:before="120"/>
        <w:ind w:left="567" w:hanging="567"/>
        <w:jc w:val="both"/>
        <w:rPr>
          <w:sz w:val="22"/>
          <w:szCs w:val="22"/>
        </w:rPr>
      </w:pPr>
      <w:r>
        <w:rPr>
          <w:sz w:val="22"/>
          <w:szCs w:val="22"/>
          <w:highlight w:val="lightGray"/>
        </w:rPr>
        <w:t>[7.2.x</w:t>
      </w:r>
      <w:r>
        <w:rPr>
          <w:sz w:val="22"/>
          <w:szCs w:val="22"/>
          <w:highlight w:val="lightGray"/>
        </w:rPr>
        <w:tab/>
        <w:t>Tout rapport, accompagné des documents requis, envoyé avec une demande de versement d’une nouvelle tranche de préfinancement ou de paiement du solde est réputé approuvé en l’absence de réaction écrite de l’administration contractante dans les 45 jours suivant sa réception. L’approbation des rapports n’emporte reconnaissance ni de leur régularité, ni du caractère authentique, complet ou exact des déclarations et informations qu’ils contiennent.]</w:t>
      </w:r>
    </w:p>
    <w:p w:rsidR="009A35BC" w:rsidRPr="008C6493" w:rsidRDefault="00B2275A" w:rsidP="009A35BC">
      <w:pPr>
        <w:keepNext/>
        <w:keepLines/>
        <w:tabs>
          <w:tab w:val="left" w:pos="1134"/>
        </w:tabs>
        <w:spacing w:before="240" w:after="120"/>
        <w:ind w:left="1134" w:hanging="1134"/>
        <w:rPr>
          <w:sz w:val="22"/>
          <w:szCs w:val="22"/>
        </w:rPr>
      </w:pPr>
      <w:r>
        <w:rPr>
          <w:sz w:val="22"/>
          <w:szCs w:val="22"/>
        </w:rPr>
        <w:t>7.3 </w:t>
      </w:r>
      <w:r>
        <w:rPr>
          <w:sz w:val="22"/>
          <w:szCs w:val="22"/>
          <w:highlight w:val="yellow"/>
        </w:rPr>
        <w:t>Pour la gestion directe, insérer le texte suivant:</w:t>
      </w:r>
    </w:p>
    <w:p w:rsidR="009A35BC" w:rsidRPr="008C6493" w:rsidRDefault="009A35BC" w:rsidP="009A35BC">
      <w:pPr>
        <w:jc w:val="both"/>
        <w:rPr>
          <w:sz w:val="22"/>
          <w:szCs w:val="22"/>
        </w:rPr>
      </w:pPr>
      <w:r>
        <w:rPr>
          <w:sz w:val="22"/>
          <w:szCs w:val="22"/>
        </w:rPr>
        <w:t>L’entité agissant en tant que responsable du traitement des données, tel que prévu aux points 1.3 et 1.4 des conditions générales, est:</w:t>
      </w:r>
    </w:p>
    <w:p w:rsidR="009A35BC" w:rsidRPr="008C6493" w:rsidRDefault="009A35BC" w:rsidP="009A35BC">
      <w:pPr>
        <w:pStyle w:val="ListParagraph"/>
        <w:spacing w:before="120"/>
        <w:jc w:val="both"/>
        <w:rPr>
          <w:sz w:val="22"/>
          <w:szCs w:val="22"/>
        </w:rPr>
      </w:pPr>
      <w:r>
        <w:rPr>
          <w:sz w:val="22"/>
          <w:szCs w:val="22"/>
        </w:rPr>
        <w:t>[</w:t>
      </w:r>
      <w:r>
        <w:rPr>
          <w:sz w:val="22"/>
          <w:szCs w:val="22"/>
          <w:highlight w:val="yellow"/>
        </w:rPr>
        <w:t>pour la DG INTPA:</w:t>
      </w:r>
      <w:r>
        <w:rPr>
          <w:sz w:val="22"/>
          <w:szCs w:val="22"/>
        </w:rPr>
        <w:t xml:space="preserve"> </w:t>
      </w:r>
      <w:r>
        <w:rPr>
          <w:sz w:val="22"/>
          <w:szCs w:val="22"/>
          <w:highlight w:val="lightGray"/>
        </w:rPr>
        <w:t>le chef de l’unité chargée des affaires juridiques de la DG Partenariats internationaux</w:t>
      </w:r>
      <w:r>
        <w:rPr>
          <w:sz w:val="22"/>
          <w:szCs w:val="22"/>
        </w:rPr>
        <w:t>]</w:t>
      </w:r>
    </w:p>
    <w:p w:rsidR="009A35BC" w:rsidRPr="008C6493" w:rsidRDefault="009A35BC" w:rsidP="009A35BC">
      <w:pPr>
        <w:pStyle w:val="ListParagraph"/>
        <w:spacing w:before="120"/>
        <w:jc w:val="both"/>
        <w:rPr>
          <w:sz w:val="22"/>
          <w:szCs w:val="22"/>
        </w:rPr>
      </w:pPr>
      <w:r>
        <w:rPr>
          <w:sz w:val="22"/>
          <w:szCs w:val="22"/>
        </w:rPr>
        <w:t>[</w:t>
      </w:r>
      <w:r>
        <w:rPr>
          <w:sz w:val="22"/>
          <w:szCs w:val="22"/>
          <w:highlight w:val="yellow"/>
        </w:rPr>
        <w:t>pour toute autre DG:</w:t>
      </w:r>
      <w:r>
        <w:rPr>
          <w:sz w:val="22"/>
          <w:szCs w:val="22"/>
        </w:rPr>
        <w:t xml:space="preserve"> &lt;</w:t>
      </w:r>
      <w:r>
        <w:rPr>
          <w:sz w:val="22"/>
          <w:szCs w:val="22"/>
          <w:highlight w:val="yellow"/>
        </w:rPr>
        <w:t>indiquez la fonction de votre responsable</w:t>
      </w:r>
      <w:r>
        <w:rPr>
          <w:sz w:val="22"/>
          <w:szCs w:val="22"/>
        </w:rPr>
        <w:t>&gt;]</w:t>
      </w:r>
    </w:p>
    <w:p w:rsidR="009A35BC" w:rsidRPr="008C6493" w:rsidRDefault="009A35BC" w:rsidP="009A35BC">
      <w:pPr>
        <w:keepNext/>
        <w:keepLines/>
        <w:tabs>
          <w:tab w:val="left" w:pos="1134"/>
        </w:tabs>
        <w:spacing w:before="240" w:after="120"/>
        <w:rPr>
          <w:sz w:val="22"/>
          <w:szCs w:val="22"/>
        </w:rPr>
      </w:pPr>
      <w:r>
        <w:rPr>
          <w:sz w:val="22"/>
          <w:szCs w:val="22"/>
          <w:highlight w:val="yellow"/>
        </w:rPr>
        <w:t>Pour la gestion indirecte, insérez la mention suivante:</w:t>
      </w:r>
    </w:p>
    <w:p w:rsidR="009A35BC" w:rsidRPr="008C6493" w:rsidRDefault="009A35BC" w:rsidP="009A35BC">
      <w:pPr>
        <w:spacing w:before="120"/>
        <w:ind w:left="-120"/>
        <w:jc w:val="both"/>
        <w:rPr>
          <w:sz w:val="22"/>
          <w:szCs w:val="22"/>
          <w:highlight w:val="lightGray"/>
        </w:rPr>
      </w:pPr>
      <w:r>
        <w:rPr>
          <w:sz w:val="22"/>
          <w:szCs w:val="22"/>
          <w:highlight w:val="lightGray"/>
        </w:rPr>
        <w:t>Aux fins des</w:t>
      </w:r>
      <w:r>
        <w:rPr>
          <w:highlight w:val="lightGray"/>
        </w:rPr>
        <w:t xml:space="preserve"> </w:t>
      </w:r>
      <w:r>
        <w:rPr>
          <w:sz w:val="22"/>
          <w:szCs w:val="22"/>
          <w:highlight w:val="lightGray"/>
        </w:rPr>
        <w:t>points 1.3 et 1.4 des conditions générales, concernant la partie des données transférées par l’administration contractante à la Commission européenne, le responsable du traitement des données à caractère personnel effectué au sein de la Commission est:</w:t>
      </w:r>
    </w:p>
    <w:p w:rsidR="009A35BC" w:rsidRPr="008C6493" w:rsidRDefault="009A35BC" w:rsidP="009A35BC">
      <w:pPr>
        <w:spacing w:before="120"/>
        <w:ind w:left="-120"/>
        <w:jc w:val="both"/>
        <w:rPr>
          <w:sz w:val="22"/>
          <w:szCs w:val="22"/>
        </w:rPr>
      </w:pPr>
      <w:r>
        <w:rPr>
          <w:sz w:val="22"/>
          <w:szCs w:val="22"/>
        </w:rPr>
        <w:t>[</w:t>
      </w:r>
      <w:r>
        <w:rPr>
          <w:sz w:val="22"/>
          <w:szCs w:val="22"/>
          <w:highlight w:val="yellow"/>
        </w:rPr>
        <w:t>pour la DG INTPA:</w:t>
      </w:r>
      <w:r>
        <w:rPr>
          <w:sz w:val="22"/>
          <w:szCs w:val="22"/>
        </w:rPr>
        <w:t xml:space="preserve"> </w:t>
      </w:r>
      <w:r>
        <w:rPr>
          <w:sz w:val="22"/>
          <w:szCs w:val="22"/>
          <w:highlight w:val="lightGray"/>
        </w:rPr>
        <w:t>le chef de l’unité chargée des affaires juridiques de la DG Partenariats internationaux</w:t>
      </w:r>
      <w:r>
        <w:rPr>
          <w:sz w:val="22"/>
          <w:szCs w:val="22"/>
        </w:rPr>
        <w:t>]</w:t>
      </w:r>
    </w:p>
    <w:p w:rsidR="009A35BC" w:rsidRPr="008C6493" w:rsidRDefault="009A35BC" w:rsidP="009A35BC">
      <w:pPr>
        <w:spacing w:before="120"/>
        <w:ind w:left="-120"/>
        <w:jc w:val="both"/>
        <w:rPr>
          <w:sz w:val="22"/>
          <w:szCs w:val="22"/>
        </w:rPr>
      </w:pPr>
      <w:r>
        <w:rPr>
          <w:sz w:val="22"/>
          <w:szCs w:val="22"/>
        </w:rPr>
        <w:t>[</w:t>
      </w:r>
      <w:r>
        <w:rPr>
          <w:sz w:val="22"/>
          <w:szCs w:val="22"/>
          <w:highlight w:val="yellow"/>
        </w:rPr>
        <w:t>pour toute autre DG:</w:t>
      </w:r>
      <w:r>
        <w:rPr>
          <w:sz w:val="22"/>
          <w:szCs w:val="22"/>
        </w:rPr>
        <w:t xml:space="preserve"> &lt;</w:t>
      </w:r>
      <w:r>
        <w:rPr>
          <w:sz w:val="22"/>
          <w:szCs w:val="22"/>
          <w:highlight w:val="yellow"/>
        </w:rPr>
        <w:t>indiquez la fonction de votre responsable</w:t>
      </w:r>
      <w:r>
        <w:rPr>
          <w:sz w:val="22"/>
          <w:szCs w:val="22"/>
        </w:rPr>
        <w:t>&gt;]</w:t>
      </w:r>
    </w:p>
    <w:p w:rsidR="009A35BC" w:rsidRPr="008C6493" w:rsidRDefault="009A35BC" w:rsidP="009A35BC">
      <w:pPr>
        <w:rPr>
          <w:sz w:val="22"/>
          <w:szCs w:val="22"/>
          <w:highlight w:val="lightGray"/>
        </w:rPr>
      </w:pPr>
    </w:p>
    <w:p w:rsidR="009A35BC" w:rsidRDefault="009A35BC" w:rsidP="009A35BC">
      <w:pPr>
        <w:rPr>
          <w:sz w:val="22"/>
          <w:szCs w:val="22"/>
          <w:highlight w:val="yellow"/>
        </w:rPr>
      </w:pPr>
      <w:r>
        <w:rPr>
          <w:sz w:val="22"/>
          <w:szCs w:val="22"/>
          <w:highlight w:val="yellow"/>
        </w:rPr>
        <w:t xml:space="preserve">Pour la gestion indirecte: </w:t>
      </w:r>
    </w:p>
    <w:p w:rsidR="009A35BC" w:rsidRPr="008C6493" w:rsidRDefault="009A35BC" w:rsidP="009A35BC">
      <w:pPr>
        <w:rPr>
          <w:sz w:val="22"/>
          <w:szCs w:val="22"/>
          <w:highlight w:val="yellow"/>
        </w:rPr>
      </w:pPr>
    </w:p>
    <w:p w:rsidR="009A35BC" w:rsidRPr="008C6493" w:rsidRDefault="009A35BC" w:rsidP="009A35BC">
      <w:pPr>
        <w:rPr>
          <w:sz w:val="22"/>
          <w:szCs w:val="22"/>
        </w:rPr>
      </w:pPr>
      <w:r>
        <w:rPr>
          <w:sz w:val="22"/>
          <w:szCs w:val="22"/>
          <w:highlight w:val="lightGray"/>
        </w:rPr>
        <w:t>7.3.x Les points 1.3 et 1.4 de l’annexe II sont remplacés par le texte suivant:</w:t>
      </w:r>
    </w:p>
    <w:p w:rsidR="009A35BC" w:rsidRDefault="009A35BC" w:rsidP="009A35BC">
      <w:pPr>
        <w:jc w:val="both"/>
        <w:rPr>
          <w:sz w:val="22"/>
          <w:szCs w:val="22"/>
          <w:highlight w:val="lightGray"/>
        </w:rPr>
      </w:pPr>
      <w:r>
        <w:rPr>
          <w:sz w:val="22"/>
          <w:szCs w:val="22"/>
          <w:highlight w:val="lightGray"/>
        </w:rPr>
        <w:lastRenderedPageBreak/>
        <w:t>[1. Le traitement des données à caractère personnel relatives à la mise en œuvre du contrat de subvention par l’administration contractante se déroule conformément à la législation nationale de l’État de l’administration contractante et aux dispositions de la convention de financement correspondante.</w:t>
      </w:r>
    </w:p>
    <w:p w:rsidR="009A35BC" w:rsidRPr="008C6493" w:rsidRDefault="009A35BC" w:rsidP="009A35BC">
      <w:pPr>
        <w:jc w:val="both"/>
        <w:rPr>
          <w:sz w:val="22"/>
          <w:szCs w:val="22"/>
          <w:highlight w:val="lightGray"/>
        </w:rPr>
      </w:pPr>
    </w:p>
    <w:p w:rsidR="009A35BC" w:rsidRPr="008C6493" w:rsidRDefault="009A35BC" w:rsidP="009A35BC">
      <w:pPr>
        <w:jc w:val="both"/>
        <w:rPr>
          <w:sz w:val="22"/>
          <w:szCs w:val="22"/>
          <w:u w:val="single"/>
        </w:rPr>
      </w:pPr>
      <w:r>
        <w:rPr>
          <w:sz w:val="22"/>
          <w:szCs w:val="22"/>
          <w:highlight w:val="lightGray"/>
        </w:rPr>
        <w:t>2. Dans la mesure où le contrat de subvention concerne une action financée par l’Union européenne, l’administration contractante peut partager avec la Commission européenne les communications relatives à l’exécution du contrat de subvention. Ces échanges sont à destination de la Commission dans le seul but de permettre à celle-ci d’exercer ses droits et obligations au titre du cadre législatif applicable et de la convention de financement conclue avec le pays partenaire (l’administration contractante). Les échanges peuvent impliquer des transferts de données à caractère personnel (comme des noms, des coordonnées, des signatures et des CV) de personnes physiques participant à l’exécution du contrat de subvention (par exemple des contractants, des membres du personnel, des experts, des stagiaires, des sous-traitants, des assureurs, des garants, des auditeurs et des conseillers juridiques). Lorsque le contractant traite des données à caractère personnel dans le cadre de la mise en œuvre du contrat de subvention, il informe les personnes concernées de l’éventuelle transmission de leurs données à la Commission. Toute donnée à caractère personnel transmise à la Commission sera traitée par cette dernière conformément aux dispositions du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w:t>
      </w:r>
      <w:r w:rsidRPr="008C6493">
        <w:rPr>
          <w:rStyle w:val="FootnoteReference"/>
          <w:sz w:val="22"/>
          <w:szCs w:val="22"/>
          <w:highlight w:val="lightGray"/>
        </w:rPr>
        <w:footnoteReference w:id="7"/>
      </w:r>
      <w:r>
        <w:rPr>
          <w:sz w:val="22"/>
          <w:szCs w:val="22"/>
          <w:highlight w:val="lightGray"/>
        </w:rPr>
        <w:t xml:space="preserve"> et tel qu’indiqué dans la déclaration spécifique sur la protection publiée sur ePRAG].</w:t>
      </w:r>
    </w:p>
    <w:p w:rsidR="00B2275A" w:rsidRDefault="00B2275A" w:rsidP="007205EA">
      <w:pPr>
        <w:tabs>
          <w:tab w:val="left" w:pos="-1440"/>
          <w:tab w:val="left" w:pos="-720"/>
        </w:tabs>
        <w:spacing w:before="120"/>
        <w:ind w:left="567" w:hanging="567"/>
        <w:jc w:val="both"/>
        <w:rPr>
          <w:sz w:val="22"/>
          <w:szCs w:val="22"/>
          <w:lang w:eastAsia="en-GB"/>
        </w:rPr>
      </w:pPr>
    </w:p>
    <w:p w:rsidR="000B771A" w:rsidRPr="00764A85" w:rsidRDefault="000B771A" w:rsidP="007205EA">
      <w:pPr>
        <w:tabs>
          <w:tab w:val="left" w:pos="-1440"/>
          <w:tab w:val="left" w:pos="-720"/>
        </w:tabs>
        <w:spacing w:before="120"/>
        <w:ind w:left="567" w:hanging="567"/>
        <w:jc w:val="both"/>
        <w:rPr>
          <w:sz w:val="22"/>
          <w:szCs w:val="22"/>
          <w:lang w:eastAsia="en-GB"/>
        </w:rPr>
      </w:pPr>
    </w:p>
    <w:p w:rsidR="00544550" w:rsidRPr="00764A85" w:rsidRDefault="00544550" w:rsidP="00290199">
      <w:pPr>
        <w:keepNext/>
        <w:spacing w:before="120" w:after="240"/>
        <w:jc w:val="both"/>
        <w:rPr>
          <w:sz w:val="22"/>
          <w:szCs w:val="22"/>
        </w:rPr>
      </w:pPr>
      <w:r>
        <w:rPr>
          <w:sz w:val="22"/>
          <w:szCs w:val="22"/>
        </w:rPr>
        <w:t>Fait en français en [</w:t>
      </w:r>
      <w:r>
        <w:rPr>
          <w:sz w:val="22"/>
          <w:szCs w:val="22"/>
          <w:highlight w:val="lightGray"/>
        </w:rPr>
        <w:t>deux] [trois</w:t>
      </w:r>
      <w:r>
        <w:rPr>
          <w:sz w:val="22"/>
          <w:szCs w:val="22"/>
        </w:rPr>
        <w:t>] originaux, [</w:t>
      </w:r>
      <w:r>
        <w:rPr>
          <w:sz w:val="22"/>
          <w:szCs w:val="22"/>
          <w:highlight w:val="yellow"/>
        </w:rPr>
        <w:t>pour les contrats en gestion directe</w:t>
      </w:r>
      <w:r>
        <w:rPr>
          <w:sz w:val="22"/>
          <w:szCs w:val="22"/>
        </w:rPr>
        <w:t>:</w:t>
      </w:r>
      <w:r>
        <w:rPr>
          <w:i/>
          <w:sz w:val="22"/>
          <w:szCs w:val="22"/>
        </w:rPr>
        <w:t xml:space="preserve"> </w:t>
      </w:r>
      <w:r>
        <w:rPr>
          <w:sz w:val="22"/>
          <w:szCs w:val="22"/>
        </w:rPr>
        <w:t>[</w:t>
      </w:r>
      <w:r>
        <w:rPr>
          <w:sz w:val="22"/>
          <w:szCs w:val="22"/>
          <w:highlight w:val="lightGray"/>
        </w:rPr>
        <w:t>un] [deux] originaux étant remis à la Commission européenne</w:t>
      </w:r>
      <w:r>
        <w:rPr>
          <w:sz w:val="22"/>
          <w:szCs w:val="22"/>
        </w:rPr>
        <w:t>] [</w:t>
      </w:r>
      <w:r>
        <w:rPr>
          <w:sz w:val="22"/>
          <w:szCs w:val="22"/>
          <w:highlight w:val="yellow"/>
        </w:rPr>
        <w:t>pour les contrats en gestion indirecte</w:t>
      </w:r>
      <w:r>
        <w:rPr>
          <w:sz w:val="22"/>
          <w:szCs w:val="22"/>
        </w:rPr>
        <w:t>:</w:t>
      </w:r>
      <w:r>
        <w:rPr>
          <w:i/>
          <w:sz w:val="22"/>
          <w:szCs w:val="22"/>
        </w:rPr>
        <w:t xml:space="preserve"> </w:t>
      </w:r>
      <w:r>
        <w:rPr>
          <w:sz w:val="22"/>
          <w:szCs w:val="22"/>
          <w:highlight w:val="lightGray"/>
        </w:rPr>
        <w:t>un original étant remis à l’administration contractante, un à la Commission européenne</w:t>
      </w:r>
      <w:r>
        <w:rPr>
          <w:sz w:val="22"/>
          <w:szCs w:val="22"/>
        </w:rPr>
        <w:t>] et un au(x) bénéficiaire(s).</w:t>
      </w:r>
    </w:p>
    <w:tbl>
      <w:tblPr>
        <w:tblW w:w="0" w:type="auto"/>
        <w:jc w:val="center"/>
        <w:tblLayout w:type="fixed"/>
        <w:tblLook w:val="0000" w:firstRow="0" w:lastRow="0" w:firstColumn="0" w:lastColumn="0" w:noHBand="0" w:noVBand="0"/>
      </w:tblPr>
      <w:tblGrid>
        <w:gridCol w:w="1384"/>
        <w:gridCol w:w="3259"/>
        <w:gridCol w:w="2321"/>
        <w:gridCol w:w="2322"/>
      </w:tblGrid>
      <w:tr w:rsidR="009A0B27" w:rsidRPr="00764A85" w:rsidTr="00AC591B">
        <w:trPr>
          <w:jc w:val="center"/>
        </w:trPr>
        <w:tc>
          <w:tcPr>
            <w:tcW w:w="4643" w:type="dxa"/>
            <w:gridSpan w:val="2"/>
          </w:tcPr>
          <w:p w:rsidR="009A0B27" w:rsidRPr="00764A85" w:rsidRDefault="009A0B27" w:rsidP="007205EA">
            <w:pPr>
              <w:pStyle w:val="BodyText"/>
              <w:spacing w:before="120" w:after="120"/>
              <w:rPr>
                <w:b/>
                <w:sz w:val="22"/>
              </w:rPr>
            </w:pPr>
            <w:r>
              <w:rPr>
                <w:b/>
                <w:sz w:val="22"/>
              </w:rPr>
              <w:t>Pour le(s) bénéficiaire(s)</w:t>
            </w:r>
            <w:r w:rsidR="00A67062">
              <w:rPr>
                <w:rStyle w:val="FootnoteReference"/>
                <w:b/>
                <w:sz w:val="22"/>
              </w:rPr>
              <w:footnoteReference w:id="8"/>
            </w:r>
          </w:p>
        </w:tc>
        <w:tc>
          <w:tcPr>
            <w:tcW w:w="4643" w:type="dxa"/>
            <w:gridSpan w:val="2"/>
          </w:tcPr>
          <w:p w:rsidR="009A0B27" w:rsidRPr="00764A85" w:rsidRDefault="009A0B27" w:rsidP="007205EA">
            <w:pPr>
              <w:pStyle w:val="BodyText"/>
              <w:spacing w:before="120" w:after="120"/>
              <w:rPr>
                <w:b/>
                <w:sz w:val="22"/>
              </w:rPr>
            </w:pPr>
            <w:r>
              <w:rPr>
                <w:b/>
                <w:sz w:val="22"/>
              </w:rPr>
              <w:t>Pour l’administration contractante</w:t>
            </w:r>
          </w:p>
        </w:tc>
      </w:tr>
      <w:tr w:rsidR="009A0B27" w:rsidRPr="00764A85" w:rsidTr="00AC591B">
        <w:trPr>
          <w:jc w:val="center"/>
        </w:trPr>
        <w:tc>
          <w:tcPr>
            <w:tcW w:w="1384" w:type="dxa"/>
          </w:tcPr>
          <w:p w:rsidR="009A0B27" w:rsidRPr="00764A85" w:rsidRDefault="009A0B27" w:rsidP="007205EA">
            <w:pPr>
              <w:pStyle w:val="BodyText"/>
              <w:spacing w:before="120" w:after="240"/>
              <w:rPr>
                <w:sz w:val="22"/>
              </w:rPr>
            </w:pPr>
            <w:r>
              <w:rPr>
                <w:sz w:val="22"/>
              </w:rPr>
              <w:t>Nom</w:t>
            </w:r>
          </w:p>
        </w:tc>
        <w:tc>
          <w:tcPr>
            <w:tcW w:w="3259" w:type="dxa"/>
          </w:tcPr>
          <w:p w:rsidR="009A0B27" w:rsidRPr="00764A85" w:rsidRDefault="009A0B27" w:rsidP="007205EA">
            <w:pPr>
              <w:pStyle w:val="BodyText"/>
              <w:spacing w:before="120" w:after="240"/>
              <w:rPr>
                <w:sz w:val="22"/>
              </w:rPr>
            </w:pPr>
          </w:p>
        </w:tc>
        <w:tc>
          <w:tcPr>
            <w:tcW w:w="2321" w:type="dxa"/>
          </w:tcPr>
          <w:p w:rsidR="009A0B27" w:rsidRPr="00764A85" w:rsidRDefault="009A0B27" w:rsidP="007205EA">
            <w:pPr>
              <w:pStyle w:val="BodyText"/>
              <w:spacing w:before="120" w:after="240"/>
              <w:rPr>
                <w:sz w:val="22"/>
              </w:rPr>
            </w:pPr>
            <w:r>
              <w:rPr>
                <w:sz w:val="22"/>
              </w:rPr>
              <w:t>Nom</w:t>
            </w:r>
          </w:p>
        </w:tc>
        <w:tc>
          <w:tcPr>
            <w:tcW w:w="2322" w:type="dxa"/>
          </w:tcPr>
          <w:p w:rsidR="009A0B27" w:rsidRPr="00764A85" w:rsidRDefault="009A0B27" w:rsidP="007205EA">
            <w:pPr>
              <w:pStyle w:val="BodyText"/>
              <w:spacing w:before="120" w:after="240"/>
              <w:rPr>
                <w:sz w:val="22"/>
              </w:rPr>
            </w:pPr>
          </w:p>
        </w:tc>
      </w:tr>
      <w:tr w:rsidR="009A0B27" w:rsidRPr="00764A85" w:rsidTr="00AC591B">
        <w:trPr>
          <w:jc w:val="center"/>
        </w:trPr>
        <w:tc>
          <w:tcPr>
            <w:tcW w:w="1384" w:type="dxa"/>
          </w:tcPr>
          <w:p w:rsidR="009A0B27" w:rsidRPr="00764A85" w:rsidRDefault="009A0B27" w:rsidP="007205EA">
            <w:pPr>
              <w:pStyle w:val="BodyText"/>
              <w:spacing w:before="120" w:after="240"/>
              <w:rPr>
                <w:sz w:val="22"/>
              </w:rPr>
            </w:pPr>
            <w:r>
              <w:rPr>
                <w:sz w:val="22"/>
              </w:rPr>
              <w:t>Fonction</w:t>
            </w:r>
          </w:p>
        </w:tc>
        <w:tc>
          <w:tcPr>
            <w:tcW w:w="3259" w:type="dxa"/>
          </w:tcPr>
          <w:p w:rsidR="009A0B27" w:rsidRPr="00764A85" w:rsidRDefault="009A0B27" w:rsidP="007205EA">
            <w:pPr>
              <w:pStyle w:val="BodyText"/>
              <w:spacing w:before="120" w:after="240"/>
              <w:rPr>
                <w:sz w:val="22"/>
              </w:rPr>
            </w:pPr>
          </w:p>
        </w:tc>
        <w:tc>
          <w:tcPr>
            <w:tcW w:w="2321" w:type="dxa"/>
          </w:tcPr>
          <w:p w:rsidR="009A0B27" w:rsidRPr="00764A85" w:rsidRDefault="009A0B27" w:rsidP="007205EA">
            <w:pPr>
              <w:pStyle w:val="BodyText"/>
              <w:spacing w:before="120" w:after="240"/>
              <w:rPr>
                <w:sz w:val="22"/>
              </w:rPr>
            </w:pPr>
            <w:r>
              <w:rPr>
                <w:sz w:val="22"/>
              </w:rPr>
              <w:t>Fonction</w:t>
            </w:r>
          </w:p>
        </w:tc>
        <w:tc>
          <w:tcPr>
            <w:tcW w:w="2322" w:type="dxa"/>
          </w:tcPr>
          <w:p w:rsidR="009A0B27" w:rsidRPr="00764A85" w:rsidRDefault="009A0B27" w:rsidP="007205EA">
            <w:pPr>
              <w:pStyle w:val="BodyText"/>
              <w:spacing w:before="120" w:after="240"/>
              <w:rPr>
                <w:sz w:val="22"/>
              </w:rPr>
            </w:pPr>
          </w:p>
        </w:tc>
      </w:tr>
      <w:tr w:rsidR="009A0B27" w:rsidRPr="00764A85" w:rsidTr="00AC591B">
        <w:trPr>
          <w:jc w:val="center"/>
        </w:trPr>
        <w:tc>
          <w:tcPr>
            <w:tcW w:w="1384" w:type="dxa"/>
          </w:tcPr>
          <w:p w:rsidR="009A0B27" w:rsidRPr="00764A85" w:rsidRDefault="009A0B27" w:rsidP="007205EA">
            <w:pPr>
              <w:pStyle w:val="BodyText"/>
              <w:spacing w:before="120" w:after="240"/>
              <w:rPr>
                <w:sz w:val="22"/>
              </w:rPr>
            </w:pPr>
            <w:r>
              <w:rPr>
                <w:sz w:val="22"/>
              </w:rPr>
              <w:t>Signature</w:t>
            </w:r>
          </w:p>
        </w:tc>
        <w:tc>
          <w:tcPr>
            <w:tcW w:w="3259" w:type="dxa"/>
          </w:tcPr>
          <w:p w:rsidR="009A0B27" w:rsidRPr="00764A85" w:rsidRDefault="009A0B27" w:rsidP="007205EA">
            <w:pPr>
              <w:pStyle w:val="BodyText"/>
              <w:spacing w:before="120" w:after="240"/>
              <w:rPr>
                <w:sz w:val="22"/>
              </w:rPr>
            </w:pPr>
          </w:p>
        </w:tc>
        <w:tc>
          <w:tcPr>
            <w:tcW w:w="2321" w:type="dxa"/>
          </w:tcPr>
          <w:p w:rsidR="009A0B27" w:rsidRPr="00764A85" w:rsidRDefault="009A0B27" w:rsidP="007205EA">
            <w:pPr>
              <w:pStyle w:val="BodyText"/>
              <w:spacing w:before="120" w:after="240"/>
              <w:rPr>
                <w:sz w:val="22"/>
              </w:rPr>
            </w:pPr>
            <w:r>
              <w:rPr>
                <w:sz w:val="22"/>
              </w:rPr>
              <w:t>Signature</w:t>
            </w:r>
          </w:p>
        </w:tc>
        <w:tc>
          <w:tcPr>
            <w:tcW w:w="2322" w:type="dxa"/>
          </w:tcPr>
          <w:p w:rsidR="009A0B27" w:rsidRPr="00764A85" w:rsidRDefault="009A0B27" w:rsidP="007205EA">
            <w:pPr>
              <w:pStyle w:val="BodyText"/>
              <w:spacing w:before="120" w:after="240"/>
              <w:rPr>
                <w:sz w:val="22"/>
              </w:rPr>
            </w:pPr>
          </w:p>
        </w:tc>
      </w:tr>
      <w:tr w:rsidR="009A0B27" w:rsidRPr="00764A85" w:rsidTr="00AC591B">
        <w:trPr>
          <w:jc w:val="center"/>
        </w:trPr>
        <w:tc>
          <w:tcPr>
            <w:tcW w:w="1384" w:type="dxa"/>
          </w:tcPr>
          <w:p w:rsidR="009A0B27" w:rsidRPr="00764A85" w:rsidRDefault="009A0B27" w:rsidP="007205EA">
            <w:pPr>
              <w:pStyle w:val="BodyText"/>
              <w:spacing w:before="120" w:after="240"/>
              <w:rPr>
                <w:sz w:val="22"/>
              </w:rPr>
            </w:pPr>
            <w:r>
              <w:rPr>
                <w:sz w:val="22"/>
              </w:rPr>
              <w:t>Date</w:t>
            </w:r>
          </w:p>
        </w:tc>
        <w:tc>
          <w:tcPr>
            <w:tcW w:w="3259" w:type="dxa"/>
          </w:tcPr>
          <w:p w:rsidR="009A0B27" w:rsidRPr="00764A85" w:rsidRDefault="009A0B27" w:rsidP="007205EA">
            <w:pPr>
              <w:pStyle w:val="BodyText"/>
              <w:spacing w:before="120" w:after="240"/>
              <w:rPr>
                <w:sz w:val="22"/>
              </w:rPr>
            </w:pPr>
          </w:p>
        </w:tc>
        <w:tc>
          <w:tcPr>
            <w:tcW w:w="2321" w:type="dxa"/>
          </w:tcPr>
          <w:p w:rsidR="009A0B27" w:rsidRPr="00764A85" w:rsidRDefault="009A0B27" w:rsidP="007205EA">
            <w:pPr>
              <w:pStyle w:val="BodyText"/>
              <w:spacing w:before="120" w:after="240"/>
              <w:rPr>
                <w:sz w:val="22"/>
              </w:rPr>
            </w:pPr>
            <w:r>
              <w:rPr>
                <w:sz w:val="22"/>
              </w:rPr>
              <w:t>Date</w:t>
            </w:r>
          </w:p>
        </w:tc>
        <w:tc>
          <w:tcPr>
            <w:tcW w:w="2322" w:type="dxa"/>
          </w:tcPr>
          <w:p w:rsidR="009A0B27" w:rsidRPr="00764A85" w:rsidRDefault="009A0B27" w:rsidP="007205EA">
            <w:pPr>
              <w:pStyle w:val="BodyText"/>
              <w:spacing w:before="120" w:after="240"/>
              <w:rPr>
                <w:sz w:val="22"/>
              </w:rPr>
            </w:pPr>
          </w:p>
        </w:tc>
      </w:tr>
    </w:tbl>
    <w:p w:rsidR="00B5152D" w:rsidRPr="00764A85" w:rsidRDefault="00632D73" w:rsidP="002326A2">
      <w:pPr>
        <w:spacing w:before="120"/>
        <w:jc w:val="both"/>
        <w:rPr>
          <w:sz w:val="22"/>
          <w:szCs w:val="22"/>
        </w:rPr>
      </w:pPr>
      <w:r>
        <w:rPr>
          <w:sz w:val="22"/>
          <w:szCs w:val="22"/>
          <w:highlight w:val="yellow"/>
        </w:rPr>
        <w:t xml:space="preserve">[pour les contrats en gestion indirecte </w:t>
      </w:r>
      <w:r>
        <w:rPr>
          <w:b/>
          <w:sz w:val="22"/>
          <w:szCs w:val="22"/>
          <w:highlight w:val="yellow"/>
        </w:rPr>
        <w:t>[uniquement en cas de contrôle ex ante si la Commission européenne effectue les paiements au titre du contrat et en tant que de besoin (voir «gestion indirecte avec contrôles ex ante», section 6.5.8.6 du PRAG)]</w:t>
      </w:r>
      <w:r>
        <w:rPr>
          <w:sz w:val="22"/>
          <w:szCs w:val="22"/>
        </w:rPr>
        <w:t>:</w:t>
      </w:r>
      <w:r>
        <w:rPr>
          <w:b/>
          <w:sz w:val="22"/>
          <w:szCs w:val="22"/>
        </w:rPr>
        <w:t xml:space="preserve"> </w:t>
      </w:r>
    </w:p>
    <w:p w:rsidR="001A582E" w:rsidRPr="00F13D45" w:rsidRDefault="00B5152D" w:rsidP="001A582E">
      <w:pPr>
        <w:pStyle w:val="BodyText"/>
        <w:spacing w:before="120"/>
        <w:jc w:val="both"/>
        <w:rPr>
          <w:b/>
          <w:sz w:val="16"/>
          <w:highlight w:val="lightGray"/>
        </w:rPr>
      </w:pPr>
      <w:r>
        <w:rPr>
          <w:b/>
          <w:sz w:val="22"/>
          <w:szCs w:val="22"/>
          <w:highlight w:val="lightGray"/>
        </w:rPr>
        <w:t>Approuvé pour financement par l’Union européenne</w:t>
      </w:r>
    </w:p>
    <w:p w:rsidR="00B5152D" w:rsidRPr="00F13D45" w:rsidRDefault="00B5152D" w:rsidP="00290199">
      <w:pPr>
        <w:pStyle w:val="BodyText"/>
        <w:spacing w:before="120" w:after="240"/>
        <w:jc w:val="both"/>
        <w:rPr>
          <w:b/>
          <w:sz w:val="16"/>
          <w:highlight w:val="lightGray"/>
        </w:rPr>
      </w:pPr>
    </w:p>
    <w:p w:rsidR="00B5152D" w:rsidRPr="00F13D45" w:rsidRDefault="00B5152D" w:rsidP="00532286">
      <w:pPr>
        <w:spacing w:before="120"/>
        <w:rPr>
          <w:sz w:val="22"/>
          <w:highlight w:val="lightGray"/>
        </w:rPr>
      </w:pPr>
      <w:r>
        <w:rPr>
          <w:sz w:val="22"/>
          <w:highlight w:val="lightGray"/>
        </w:rPr>
        <w:t>Nom</w:t>
      </w:r>
    </w:p>
    <w:p w:rsidR="00B5152D" w:rsidRPr="00F13D45" w:rsidRDefault="00B5152D" w:rsidP="00532286">
      <w:pPr>
        <w:pStyle w:val="BodyText"/>
        <w:spacing w:before="120"/>
        <w:rPr>
          <w:sz w:val="22"/>
          <w:highlight w:val="lightGray"/>
        </w:rPr>
      </w:pPr>
      <w:r>
        <w:rPr>
          <w:sz w:val="22"/>
          <w:highlight w:val="lightGray"/>
        </w:rPr>
        <w:t>Fonction</w:t>
      </w:r>
    </w:p>
    <w:p w:rsidR="00B5152D" w:rsidRPr="00F13D45" w:rsidRDefault="00B5152D" w:rsidP="00532286">
      <w:pPr>
        <w:pStyle w:val="BodyText"/>
        <w:spacing w:before="120"/>
        <w:rPr>
          <w:sz w:val="22"/>
          <w:highlight w:val="lightGray"/>
        </w:rPr>
      </w:pPr>
      <w:r>
        <w:rPr>
          <w:sz w:val="22"/>
          <w:highlight w:val="lightGray"/>
        </w:rPr>
        <w:t>Signature</w:t>
      </w:r>
    </w:p>
    <w:p w:rsidR="009A0B27" w:rsidRPr="00F13D45" w:rsidRDefault="00B5152D" w:rsidP="00532286">
      <w:pPr>
        <w:spacing w:before="120"/>
        <w:rPr>
          <w:highlight w:val="lightGray"/>
        </w:rPr>
      </w:pPr>
      <w:r>
        <w:rPr>
          <w:sz w:val="22"/>
          <w:highlight w:val="lightGray"/>
        </w:rPr>
        <w:lastRenderedPageBreak/>
        <w:t>Date]</w:t>
      </w:r>
    </w:p>
    <w:sectPr w:rsidR="009A0B27" w:rsidRPr="00F13D45" w:rsidSect="004A6955">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134" w:header="72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770" w:rsidRPr="00B479BA" w:rsidRDefault="00C54770">
      <w:r w:rsidRPr="00B479BA">
        <w:separator/>
      </w:r>
    </w:p>
  </w:endnote>
  <w:endnote w:type="continuationSeparator" w:id="0">
    <w:p w:rsidR="00C54770" w:rsidRPr="00B479BA" w:rsidRDefault="00C54770">
      <w:r w:rsidRPr="00B47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D4" w:rsidRDefault="00035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43" w:rsidRPr="00B479BA" w:rsidRDefault="002C4DA0" w:rsidP="00764A85">
    <w:pPr>
      <w:pStyle w:val="Footer"/>
      <w:tabs>
        <w:tab w:val="clear" w:pos="4320"/>
        <w:tab w:val="clear" w:pos="8640"/>
        <w:tab w:val="right" w:pos="9356"/>
      </w:tabs>
      <w:rPr>
        <w:sz w:val="18"/>
        <w:szCs w:val="18"/>
      </w:rPr>
    </w:pPr>
    <w:r>
      <w:rPr>
        <w:b/>
        <w:sz w:val="18"/>
        <w:szCs w:val="18"/>
      </w:rPr>
      <w:t>2021</w:t>
    </w:r>
    <w:r w:rsidR="00035BD4">
      <w:rPr>
        <w:b/>
        <w:sz w:val="18"/>
        <w:szCs w:val="18"/>
      </w:rPr>
      <w:t>.1</w:t>
    </w:r>
    <w:r>
      <w:rPr>
        <w:sz w:val="18"/>
        <w:szCs w:val="18"/>
      </w:rPr>
      <w:tab/>
      <w:t>Page </w:t>
    </w:r>
    <w:r w:rsidR="00186D43" w:rsidRPr="00B479BA">
      <w:rPr>
        <w:sz w:val="18"/>
        <w:szCs w:val="18"/>
      </w:rPr>
      <w:fldChar w:fldCharType="begin"/>
    </w:r>
    <w:r w:rsidR="00186D43" w:rsidRPr="00B479BA">
      <w:rPr>
        <w:sz w:val="18"/>
        <w:szCs w:val="18"/>
      </w:rPr>
      <w:instrText xml:space="preserve"> PAGE </w:instrText>
    </w:r>
    <w:r w:rsidR="00186D43" w:rsidRPr="00B479BA">
      <w:rPr>
        <w:sz w:val="18"/>
        <w:szCs w:val="18"/>
      </w:rPr>
      <w:fldChar w:fldCharType="separate"/>
    </w:r>
    <w:r w:rsidR="00035BD4">
      <w:rPr>
        <w:noProof/>
        <w:sz w:val="18"/>
        <w:szCs w:val="18"/>
      </w:rPr>
      <w:t>1</w:t>
    </w:r>
    <w:r w:rsidR="00186D43" w:rsidRPr="00B479BA">
      <w:rPr>
        <w:sz w:val="18"/>
        <w:szCs w:val="18"/>
      </w:rPr>
      <w:fldChar w:fldCharType="end"/>
    </w:r>
    <w:r>
      <w:rPr>
        <w:sz w:val="18"/>
        <w:szCs w:val="18"/>
      </w:rPr>
      <w:t xml:space="preserve"> sur </w:t>
    </w:r>
    <w:r w:rsidR="00186D43" w:rsidRPr="00B479BA">
      <w:rPr>
        <w:sz w:val="18"/>
        <w:szCs w:val="18"/>
      </w:rPr>
      <w:fldChar w:fldCharType="begin"/>
    </w:r>
    <w:r w:rsidR="00186D43" w:rsidRPr="00B479BA">
      <w:rPr>
        <w:sz w:val="18"/>
        <w:szCs w:val="18"/>
      </w:rPr>
      <w:instrText xml:space="preserve"> NUMPAGES </w:instrText>
    </w:r>
    <w:r w:rsidR="00186D43" w:rsidRPr="00B479BA">
      <w:rPr>
        <w:sz w:val="18"/>
        <w:szCs w:val="18"/>
      </w:rPr>
      <w:fldChar w:fldCharType="separate"/>
    </w:r>
    <w:r w:rsidR="00035BD4">
      <w:rPr>
        <w:noProof/>
        <w:sz w:val="18"/>
        <w:szCs w:val="18"/>
      </w:rPr>
      <w:t>10</w:t>
    </w:r>
    <w:r w:rsidR="00186D43" w:rsidRPr="00B479BA">
      <w:rPr>
        <w:sz w:val="18"/>
        <w:szCs w:val="18"/>
      </w:rPr>
      <w:fldChar w:fldCharType="end"/>
    </w:r>
  </w:p>
  <w:p w:rsidR="00186D43" w:rsidRPr="00B479BA" w:rsidRDefault="00186D43" w:rsidP="008A6199">
    <w:pPr>
      <w:pStyle w:val="Footer"/>
      <w:tabs>
        <w:tab w:val="clear" w:pos="8640"/>
        <w:tab w:val="right" w:pos="9356"/>
      </w:tabs>
      <w:rPr>
        <w:sz w:val="18"/>
        <w:szCs w:val="18"/>
      </w:rPr>
    </w:pPr>
    <w:r w:rsidRPr="00FE47EA">
      <w:rPr>
        <w:sz w:val="18"/>
        <w:szCs w:val="18"/>
      </w:rPr>
      <w:fldChar w:fldCharType="begin"/>
    </w:r>
    <w:r w:rsidRPr="00FE47EA">
      <w:rPr>
        <w:sz w:val="18"/>
        <w:szCs w:val="18"/>
      </w:rPr>
      <w:instrText xml:space="preserve"> FILENAME </w:instrText>
    </w:r>
    <w:r w:rsidRPr="00FE47EA">
      <w:rPr>
        <w:sz w:val="18"/>
        <w:szCs w:val="18"/>
      </w:rPr>
      <w:fldChar w:fldCharType="separate"/>
    </w:r>
    <w:r w:rsidR="00D8129C">
      <w:rPr>
        <w:noProof/>
        <w:sz w:val="18"/>
        <w:szCs w:val="18"/>
      </w:rPr>
      <w:t>e3h1_speccond_fr.docx</w:t>
    </w:r>
    <w:r w:rsidRPr="00FE47EA">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D4" w:rsidRDefault="00035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770" w:rsidRPr="00B479BA" w:rsidRDefault="00C54770">
      <w:r w:rsidRPr="00B479BA">
        <w:separator/>
      </w:r>
    </w:p>
  </w:footnote>
  <w:footnote w:type="continuationSeparator" w:id="0">
    <w:p w:rsidR="00C54770" w:rsidRPr="00B479BA" w:rsidRDefault="00C54770">
      <w:r w:rsidRPr="00B479BA">
        <w:continuationSeparator/>
      </w:r>
    </w:p>
  </w:footnote>
  <w:footnote w:id="1">
    <w:p w:rsidR="00186D43" w:rsidRPr="00BF0980" w:rsidRDefault="00186D43" w:rsidP="00D40496">
      <w:pPr>
        <w:pStyle w:val="FootnoteText"/>
        <w:ind w:left="142" w:hanging="142"/>
      </w:pPr>
      <w:r>
        <w:rPr>
          <w:rStyle w:val="FootnoteReference"/>
        </w:rPr>
        <w:footnoteRef/>
      </w:r>
      <w:r>
        <w:t xml:space="preserve"> Modèle de procuration figurant dans l’annexe A des lignes directrices à l’intention des demandeurs de subvention.</w:t>
      </w:r>
    </w:p>
  </w:footnote>
  <w:footnote w:id="2">
    <w:p w:rsidR="00186D43" w:rsidRPr="00BF0980" w:rsidRDefault="00186D43" w:rsidP="00191C3D">
      <w:pPr>
        <w:pStyle w:val="FootnoteText"/>
        <w:jc w:val="both"/>
      </w:pPr>
      <w:r>
        <w:rPr>
          <w:rStyle w:val="FootnoteReference"/>
        </w:rPr>
        <w:footnoteRef/>
      </w:r>
      <w:r>
        <w:t xml:space="preserve"> Dans le cas d’une subvention de fonctionnement, les frais ne peuvent avoir été supportés ni avant la soumission de la demande de subvention ni avant le début de l’exercice budgétaire du bénéficiaire.</w:t>
      </w:r>
    </w:p>
  </w:footnote>
  <w:footnote w:id="3">
    <w:p w:rsidR="00BC51FC" w:rsidRPr="00BF0980" w:rsidRDefault="00BC51FC" w:rsidP="00191C3D">
      <w:pPr>
        <w:pStyle w:val="FootnoteText"/>
        <w:jc w:val="both"/>
      </w:pPr>
      <w:r>
        <w:rPr>
          <w:rStyle w:val="FootnoteReference"/>
        </w:rPr>
        <w:footnoteRef/>
      </w:r>
      <w:r>
        <w:t xml:space="preserve"> </w:t>
      </w:r>
      <w:r>
        <w:rPr>
          <w:highlight w:val="yellow"/>
        </w:rPr>
        <w:t>La durée d’une subvention de fonctionnement ne peut excéder 12 mois.</w:t>
      </w:r>
    </w:p>
  </w:footnote>
  <w:footnote w:id="4">
    <w:p w:rsidR="00186D43" w:rsidRPr="00BF0980" w:rsidRDefault="00186D43" w:rsidP="00191C3D">
      <w:pPr>
        <w:pStyle w:val="FootnoteText"/>
        <w:tabs>
          <w:tab w:val="left" w:pos="142"/>
        </w:tabs>
        <w:jc w:val="both"/>
      </w:pPr>
      <w:r>
        <w:rPr>
          <w:rStyle w:val="FootnoteReference"/>
        </w:rPr>
        <w:footnoteRef/>
      </w:r>
      <w:r>
        <w:t xml:space="preserve"> </w:t>
      </w:r>
      <w:r>
        <w:rPr>
          <w:highlight w:val="yellow"/>
        </w:rPr>
        <w:t>Veuillez noter que, pour les subventions à l’action, les montants octroyés et les pourcentages indiqués dans cet article doivent également être mis à jour dans l’annexe III «Budget de l’action», dans la feuille de calcul «Sources de financement attendues et résumé des coûts estimés».</w:t>
      </w:r>
    </w:p>
  </w:footnote>
  <w:footnote w:id="5">
    <w:p w:rsidR="00186D43" w:rsidRPr="00BF0980" w:rsidRDefault="00186D43" w:rsidP="009250B6">
      <w:pPr>
        <w:pStyle w:val="FootnoteText"/>
      </w:pPr>
      <w:r>
        <w:rPr>
          <w:rStyle w:val="FootnoteReference"/>
        </w:rPr>
        <w:footnoteRef/>
      </w:r>
      <w:r>
        <w:t xml:space="preserve"> Dans le cas où l’administration contractante dispose de son propre système d’audit et de vérification.</w:t>
      </w:r>
    </w:p>
  </w:footnote>
  <w:footnote w:id="6">
    <w:p w:rsidR="00B122F2" w:rsidRPr="00BF0980" w:rsidRDefault="00B122F2">
      <w:pPr>
        <w:pStyle w:val="FootnoteText"/>
      </w:pPr>
      <w:r>
        <w:rPr>
          <w:rStyle w:val="FootnoteReference"/>
        </w:rPr>
        <w:footnoteRef/>
      </w:r>
      <w:r>
        <w:t xml:space="preserve"> </w:t>
      </w:r>
      <w:r>
        <w:rPr>
          <w:highlight w:val="yellow"/>
        </w:rPr>
        <w:t>À insérer si l’action spécifique l’exige.</w:t>
      </w:r>
    </w:p>
  </w:footnote>
  <w:footnote w:id="7">
    <w:p w:rsidR="009A35BC" w:rsidRDefault="009A35BC" w:rsidP="00191C3D">
      <w:pPr>
        <w:pStyle w:val="FootnoteText"/>
        <w:jc w:val="both"/>
      </w:pPr>
      <w:r>
        <w:rPr>
          <w:rStyle w:val="FootnoteReference"/>
        </w:rPr>
        <w:footnoteRef/>
      </w:r>
      <w:r>
        <w:t xml:space="preserve"> JO L 205 du 21.11.2018, p. 39.</w:t>
      </w:r>
    </w:p>
  </w:footnote>
  <w:footnote w:id="8">
    <w:p w:rsidR="00A67062" w:rsidRPr="00BF0980" w:rsidRDefault="00A67062" w:rsidP="00191C3D">
      <w:pPr>
        <w:pStyle w:val="FootnoteText"/>
        <w:jc w:val="both"/>
      </w:pPr>
      <w:r>
        <w:rPr>
          <w:rStyle w:val="FootnoteReference"/>
        </w:rPr>
        <w:footnoteRef/>
      </w:r>
      <w:r>
        <w:t> Conformément au mandat conféré au coordonnateur (voir le formulaire de demande), celui-ci signe le présent contrat également au nom des autres bénéficiaires qui, de ce fait, deviennent parties au contrat sans avoir besoin de le signer eux-mêmes.</w:t>
      </w:r>
      <w:r>
        <w:rPr>
          <w:color w:val="1F497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D4" w:rsidRDefault="00035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43" w:rsidRPr="00B479BA" w:rsidRDefault="00186D4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D4" w:rsidRDefault="00035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CF8AF48"/>
    <w:lvl w:ilvl="0">
      <w:start w:val="1"/>
      <w:numFmt w:val="decimal"/>
      <w:pStyle w:val="Heading1"/>
      <w:lvlText w:val="%1."/>
      <w:legacy w:legacy="1" w:legacySpace="120" w:legacyIndent="480"/>
      <w:lvlJc w:val="left"/>
      <w:pPr>
        <w:ind w:left="482" w:hanging="480"/>
      </w:pPr>
    </w:lvl>
    <w:lvl w:ilvl="1">
      <w:start w:val="1"/>
      <w:numFmt w:val="decimal"/>
      <w:lvlText w:val="%1.%2."/>
      <w:legacy w:legacy="1" w:legacySpace="120" w:legacyIndent="600"/>
      <w:lvlJc w:val="left"/>
      <w:pPr>
        <w:ind w:left="1077" w:hanging="600"/>
      </w:pPr>
    </w:lvl>
    <w:lvl w:ilvl="2">
      <w:start w:val="1"/>
      <w:numFmt w:val="decimal"/>
      <w:pStyle w:val="Heading3"/>
      <w:lvlText w:val="%1.%2.%3."/>
      <w:legacy w:legacy="1" w:legacySpace="120" w:legacyIndent="840"/>
      <w:lvlJc w:val="left"/>
      <w:pPr>
        <w:ind w:left="1916" w:hanging="840"/>
      </w:pPr>
    </w:lvl>
    <w:lvl w:ilvl="3">
      <w:start w:val="1"/>
      <w:numFmt w:val="decimal"/>
      <w:pStyle w:val="Heading4"/>
      <w:lvlText w:val="%1.%2.%3.%4."/>
      <w:legacy w:legacy="1" w:legacySpace="120" w:legacyIndent="960"/>
      <w:lvlJc w:val="left"/>
      <w:pPr>
        <w:ind w:left="2880" w:hanging="960"/>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numFmt w:val="none"/>
      <w:lvlText w:val=""/>
      <w:lvlJc w:val="left"/>
    </w:lvl>
  </w:abstractNum>
  <w:abstractNum w:abstractNumId="1" w15:restartNumberingAfterBreak="0">
    <w:nsid w:val="0C315B9F"/>
    <w:multiLevelType w:val="hybridMultilevel"/>
    <w:tmpl w:val="37F662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21328"/>
    <w:multiLevelType w:val="hybridMultilevel"/>
    <w:tmpl w:val="EAAEB892"/>
    <w:lvl w:ilvl="0" w:tplc="C922A02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633728"/>
    <w:multiLevelType w:val="hybridMultilevel"/>
    <w:tmpl w:val="55122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E0045"/>
    <w:multiLevelType w:val="hybridMultilevel"/>
    <w:tmpl w:val="4296EA42"/>
    <w:lvl w:ilvl="0" w:tplc="6916DD1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34306"/>
    <w:multiLevelType w:val="multilevel"/>
    <w:tmpl w:val="825EECA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32"/>
        </w:tabs>
        <w:ind w:left="632"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352"/>
        </w:tabs>
        <w:ind w:left="1352" w:hanging="720"/>
      </w:pPr>
      <w:rPr>
        <w:rFonts w:hint="default"/>
      </w:rPr>
    </w:lvl>
    <w:lvl w:ilvl="4">
      <w:start w:val="1"/>
      <w:numFmt w:val="lowerLetter"/>
      <w:lvlText w:val="(%5)"/>
      <w:lvlJc w:val="left"/>
      <w:pPr>
        <w:tabs>
          <w:tab w:val="num" w:pos="1232"/>
        </w:tabs>
        <w:ind w:left="1232" w:hanging="360"/>
      </w:pPr>
      <w:rPr>
        <w:rFonts w:hint="default"/>
      </w:rPr>
    </w:lvl>
    <w:lvl w:ilvl="5">
      <w:start w:val="1"/>
      <w:numFmt w:val="lowerRoman"/>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lowerLetter"/>
      <w:lvlText w:val="%8."/>
      <w:lvlJc w:val="left"/>
      <w:pPr>
        <w:tabs>
          <w:tab w:val="num" w:pos="2312"/>
        </w:tabs>
        <w:ind w:left="2312" w:hanging="360"/>
      </w:pPr>
      <w:rPr>
        <w:rFonts w:hint="default"/>
      </w:rPr>
    </w:lvl>
    <w:lvl w:ilvl="8">
      <w:start w:val="1"/>
      <w:numFmt w:val="lowerRoman"/>
      <w:lvlText w:val="%9."/>
      <w:lvlJc w:val="left"/>
      <w:pPr>
        <w:tabs>
          <w:tab w:val="num" w:pos="2672"/>
        </w:tabs>
        <w:ind w:left="2672" w:hanging="360"/>
      </w:pPr>
      <w:rPr>
        <w:rFonts w:hint="default"/>
      </w:r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10260E0"/>
    <w:multiLevelType w:val="hybridMultilevel"/>
    <w:tmpl w:val="0BC4DB32"/>
    <w:lvl w:ilvl="0" w:tplc="E06E9EA2">
      <w:start w:val="1"/>
      <w:numFmt w:val="bullet"/>
      <w:lvlText w:val=""/>
      <w:lvlJc w:val="left"/>
      <w:pPr>
        <w:ind w:left="720" w:hanging="360"/>
      </w:pPr>
      <w:rPr>
        <w:rFonts w:ascii="Symbol" w:hAnsi="Symbol" w:hint="default"/>
      </w:rPr>
    </w:lvl>
    <w:lvl w:ilvl="1" w:tplc="91E2073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216B9"/>
    <w:multiLevelType w:val="multilevel"/>
    <w:tmpl w:val="A738B850"/>
    <w:lvl w:ilvl="0">
      <w:start w:val="1"/>
      <w:numFmt w:val="decimal"/>
      <w:lvlText w:val="%1."/>
      <w:lvlJc w:val="left"/>
      <w:pPr>
        <w:tabs>
          <w:tab w:val="num" w:pos="1440"/>
        </w:tabs>
        <w:ind w:left="1440" w:hanging="1440"/>
      </w:pPr>
    </w:lvl>
    <w:lvl w:ilvl="1">
      <w:start w:val="1"/>
      <w:numFmt w:val="decimal"/>
      <w:pStyle w:val="NumPar2"/>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8BF0007"/>
    <w:multiLevelType w:val="hybridMultilevel"/>
    <w:tmpl w:val="77D0019E"/>
    <w:lvl w:ilvl="0" w:tplc="E14015F4">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0" w15:restartNumberingAfterBreak="0">
    <w:nsid w:val="4A7E17C1"/>
    <w:multiLevelType w:val="hybridMultilevel"/>
    <w:tmpl w:val="FD5C728A"/>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66D38"/>
    <w:multiLevelType w:val="hybridMultilevel"/>
    <w:tmpl w:val="9FD66154"/>
    <w:lvl w:ilvl="0" w:tplc="8F66C52E">
      <w:start w:val="1"/>
      <w:numFmt w:val="bullet"/>
      <w:lvlText w:val="-"/>
      <w:lvlJc w:val="left"/>
      <w:pPr>
        <w:ind w:left="1570" w:hanging="360"/>
      </w:pPr>
      <w:rPr>
        <w:rFonts w:ascii="Calibri" w:hAnsi="Calibri" w:hint="default"/>
        <w:sz w:val="18"/>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2" w15:restartNumberingAfterBreak="0">
    <w:nsid w:val="4DC54DDA"/>
    <w:multiLevelType w:val="hybridMultilevel"/>
    <w:tmpl w:val="D36421D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8950FDF"/>
    <w:multiLevelType w:val="hybridMultilevel"/>
    <w:tmpl w:val="90D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CF564E"/>
    <w:multiLevelType w:val="multilevel"/>
    <w:tmpl w:val="2D624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8"/>
  </w:num>
  <w:num w:numId="3">
    <w:abstractNumId w:val="1"/>
  </w:num>
  <w:num w:numId="4">
    <w:abstractNumId w:val="6"/>
  </w:num>
  <w:num w:numId="5">
    <w:abstractNumId w:val="13"/>
  </w:num>
  <w:num w:numId="6">
    <w:abstractNumId w:val="5"/>
  </w:num>
  <w:num w:numId="7">
    <w:abstractNumId w:val="14"/>
  </w:num>
  <w:num w:numId="8">
    <w:abstractNumId w:val="3"/>
  </w:num>
  <w:num w:numId="9">
    <w:abstractNumId w:val="7"/>
  </w:num>
  <w:num w:numId="10">
    <w:abstractNumId w:val="4"/>
  </w:num>
  <w:num w:numId="11">
    <w:abstractNumId w:val="10"/>
  </w:num>
  <w:num w:numId="12">
    <w:abstractNumId w:val="12"/>
  </w:num>
  <w:num w:numId="13">
    <w:abstractNumId w:val="7"/>
  </w:num>
  <w:num w:numId="14">
    <w:abstractNumId w:val="2"/>
  </w:num>
  <w:num w:numId="15">
    <w:abstractNumId w:val="2"/>
  </w:num>
  <w:num w:numId="16">
    <w:abstractNumId w:val="11"/>
  </w:num>
  <w:num w:numId="1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826814"/>
    <w:rsid w:val="00002DD4"/>
    <w:rsid w:val="000040A9"/>
    <w:rsid w:val="0000611C"/>
    <w:rsid w:val="000104A0"/>
    <w:rsid w:val="00010C96"/>
    <w:rsid w:val="000129F3"/>
    <w:rsid w:val="00015139"/>
    <w:rsid w:val="00016342"/>
    <w:rsid w:val="00016C74"/>
    <w:rsid w:val="00033754"/>
    <w:rsid w:val="00034994"/>
    <w:rsid w:val="00035BD4"/>
    <w:rsid w:val="0004127E"/>
    <w:rsid w:val="00041A83"/>
    <w:rsid w:val="00046153"/>
    <w:rsid w:val="000470E0"/>
    <w:rsid w:val="00047BD7"/>
    <w:rsid w:val="00051454"/>
    <w:rsid w:val="00053BA0"/>
    <w:rsid w:val="00055AB2"/>
    <w:rsid w:val="0006066F"/>
    <w:rsid w:val="00064103"/>
    <w:rsid w:val="00065FA9"/>
    <w:rsid w:val="00075A7C"/>
    <w:rsid w:val="00076102"/>
    <w:rsid w:val="000779E8"/>
    <w:rsid w:val="00082800"/>
    <w:rsid w:val="000910D3"/>
    <w:rsid w:val="0009787A"/>
    <w:rsid w:val="000A4451"/>
    <w:rsid w:val="000A4ABF"/>
    <w:rsid w:val="000A60EC"/>
    <w:rsid w:val="000A722D"/>
    <w:rsid w:val="000A75D8"/>
    <w:rsid w:val="000B1CBD"/>
    <w:rsid w:val="000B326E"/>
    <w:rsid w:val="000B33DA"/>
    <w:rsid w:val="000B5191"/>
    <w:rsid w:val="000B5CD1"/>
    <w:rsid w:val="000B678F"/>
    <w:rsid w:val="000B771A"/>
    <w:rsid w:val="000B7D81"/>
    <w:rsid w:val="000C064D"/>
    <w:rsid w:val="000C1DA8"/>
    <w:rsid w:val="000C53FC"/>
    <w:rsid w:val="000C5B9B"/>
    <w:rsid w:val="000D0459"/>
    <w:rsid w:val="000D14F4"/>
    <w:rsid w:val="000D36AB"/>
    <w:rsid w:val="000D37B8"/>
    <w:rsid w:val="000D59FC"/>
    <w:rsid w:val="000E05DC"/>
    <w:rsid w:val="000E1356"/>
    <w:rsid w:val="000E18A6"/>
    <w:rsid w:val="000E3BAD"/>
    <w:rsid w:val="000E7B81"/>
    <w:rsid w:val="000F3CC9"/>
    <w:rsid w:val="000F3EDF"/>
    <w:rsid w:val="00100CB4"/>
    <w:rsid w:val="00100F8A"/>
    <w:rsid w:val="00101F53"/>
    <w:rsid w:val="00102BB0"/>
    <w:rsid w:val="00103412"/>
    <w:rsid w:val="0010748E"/>
    <w:rsid w:val="00111A0B"/>
    <w:rsid w:val="00112959"/>
    <w:rsid w:val="00121C26"/>
    <w:rsid w:val="00126604"/>
    <w:rsid w:val="00126B09"/>
    <w:rsid w:val="00130237"/>
    <w:rsid w:val="001403A8"/>
    <w:rsid w:val="00141876"/>
    <w:rsid w:val="00141F49"/>
    <w:rsid w:val="001424BB"/>
    <w:rsid w:val="00144538"/>
    <w:rsid w:val="00145FC0"/>
    <w:rsid w:val="001515AF"/>
    <w:rsid w:val="001529AA"/>
    <w:rsid w:val="00156403"/>
    <w:rsid w:val="001603EA"/>
    <w:rsid w:val="00160C2A"/>
    <w:rsid w:val="001612C7"/>
    <w:rsid w:val="00161ABE"/>
    <w:rsid w:val="00164D58"/>
    <w:rsid w:val="0016570F"/>
    <w:rsid w:val="0016721A"/>
    <w:rsid w:val="00171512"/>
    <w:rsid w:val="00171DEF"/>
    <w:rsid w:val="00173658"/>
    <w:rsid w:val="0017673C"/>
    <w:rsid w:val="0017725F"/>
    <w:rsid w:val="0018016A"/>
    <w:rsid w:val="001815CB"/>
    <w:rsid w:val="001841D9"/>
    <w:rsid w:val="0018427B"/>
    <w:rsid w:val="00186648"/>
    <w:rsid w:val="0018668C"/>
    <w:rsid w:val="00186D43"/>
    <w:rsid w:val="001878B1"/>
    <w:rsid w:val="00187D68"/>
    <w:rsid w:val="00190641"/>
    <w:rsid w:val="00191C3D"/>
    <w:rsid w:val="00194F85"/>
    <w:rsid w:val="00195338"/>
    <w:rsid w:val="00195ABD"/>
    <w:rsid w:val="0019638A"/>
    <w:rsid w:val="00196716"/>
    <w:rsid w:val="00196AB6"/>
    <w:rsid w:val="001A03F3"/>
    <w:rsid w:val="001A1117"/>
    <w:rsid w:val="001A582E"/>
    <w:rsid w:val="001A7BFE"/>
    <w:rsid w:val="001B77BE"/>
    <w:rsid w:val="001C5565"/>
    <w:rsid w:val="001D2CC5"/>
    <w:rsid w:val="001D4FF6"/>
    <w:rsid w:val="001E0676"/>
    <w:rsid w:val="001E7941"/>
    <w:rsid w:val="001F0EDE"/>
    <w:rsid w:val="001F12FD"/>
    <w:rsid w:val="001F1B86"/>
    <w:rsid w:val="001F2C36"/>
    <w:rsid w:val="001F3BD3"/>
    <w:rsid w:val="001F4B18"/>
    <w:rsid w:val="001F7082"/>
    <w:rsid w:val="0020007C"/>
    <w:rsid w:val="00202FA5"/>
    <w:rsid w:val="0020520B"/>
    <w:rsid w:val="00205915"/>
    <w:rsid w:val="00205EDC"/>
    <w:rsid w:val="0021035A"/>
    <w:rsid w:val="00211E0F"/>
    <w:rsid w:val="00214B69"/>
    <w:rsid w:val="0021623B"/>
    <w:rsid w:val="00216B72"/>
    <w:rsid w:val="00220DDC"/>
    <w:rsid w:val="0022374C"/>
    <w:rsid w:val="00224705"/>
    <w:rsid w:val="00224A40"/>
    <w:rsid w:val="00227F89"/>
    <w:rsid w:val="00230362"/>
    <w:rsid w:val="00232698"/>
    <w:rsid w:val="002326A2"/>
    <w:rsid w:val="002343F3"/>
    <w:rsid w:val="002350E4"/>
    <w:rsid w:val="0023599F"/>
    <w:rsid w:val="00236829"/>
    <w:rsid w:val="00236C49"/>
    <w:rsid w:val="00237120"/>
    <w:rsid w:val="00237956"/>
    <w:rsid w:val="00237B31"/>
    <w:rsid w:val="00240510"/>
    <w:rsid w:val="00242A9A"/>
    <w:rsid w:val="0024388D"/>
    <w:rsid w:val="00243C20"/>
    <w:rsid w:val="0024505E"/>
    <w:rsid w:val="002451E0"/>
    <w:rsid w:val="00246CBC"/>
    <w:rsid w:val="00251021"/>
    <w:rsid w:val="002521FE"/>
    <w:rsid w:val="00252383"/>
    <w:rsid w:val="00254BC7"/>
    <w:rsid w:val="00255B54"/>
    <w:rsid w:val="00255DC9"/>
    <w:rsid w:val="002634E7"/>
    <w:rsid w:val="00265EFB"/>
    <w:rsid w:val="00271B18"/>
    <w:rsid w:val="00272296"/>
    <w:rsid w:val="00272880"/>
    <w:rsid w:val="00272CE0"/>
    <w:rsid w:val="00274F11"/>
    <w:rsid w:val="0027614D"/>
    <w:rsid w:val="00276B7A"/>
    <w:rsid w:val="00276D52"/>
    <w:rsid w:val="0027734E"/>
    <w:rsid w:val="00277B62"/>
    <w:rsid w:val="00282D7F"/>
    <w:rsid w:val="00284995"/>
    <w:rsid w:val="00286A4D"/>
    <w:rsid w:val="00290199"/>
    <w:rsid w:val="0029180E"/>
    <w:rsid w:val="0029279F"/>
    <w:rsid w:val="00296E5D"/>
    <w:rsid w:val="002A2FD5"/>
    <w:rsid w:val="002A3E52"/>
    <w:rsid w:val="002A52C4"/>
    <w:rsid w:val="002A54A4"/>
    <w:rsid w:val="002A5F6B"/>
    <w:rsid w:val="002A6A0D"/>
    <w:rsid w:val="002B0341"/>
    <w:rsid w:val="002B1F1A"/>
    <w:rsid w:val="002B27F9"/>
    <w:rsid w:val="002C0D7E"/>
    <w:rsid w:val="002C1A43"/>
    <w:rsid w:val="002C37D5"/>
    <w:rsid w:val="002C4DA0"/>
    <w:rsid w:val="002C788E"/>
    <w:rsid w:val="002D7A5B"/>
    <w:rsid w:val="002E076A"/>
    <w:rsid w:val="002E3A3A"/>
    <w:rsid w:val="002E60D5"/>
    <w:rsid w:val="002E641D"/>
    <w:rsid w:val="002F1AAF"/>
    <w:rsid w:val="002F1EBD"/>
    <w:rsid w:val="002F3913"/>
    <w:rsid w:val="002F42B8"/>
    <w:rsid w:val="002F458B"/>
    <w:rsid w:val="002F629D"/>
    <w:rsid w:val="002F66E0"/>
    <w:rsid w:val="002F67AD"/>
    <w:rsid w:val="003020FE"/>
    <w:rsid w:val="00303D12"/>
    <w:rsid w:val="003054C6"/>
    <w:rsid w:val="00306292"/>
    <w:rsid w:val="00307A26"/>
    <w:rsid w:val="00311073"/>
    <w:rsid w:val="00312045"/>
    <w:rsid w:val="00314B2C"/>
    <w:rsid w:val="003150E9"/>
    <w:rsid w:val="00317301"/>
    <w:rsid w:val="00317C5A"/>
    <w:rsid w:val="003211BF"/>
    <w:rsid w:val="003221A6"/>
    <w:rsid w:val="003318C3"/>
    <w:rsid w:val="00334934"/>
    <w:rsid w:val="00334F2E"/>
    <w:rsid w:val="00336F74"/>
    <w:rsid w:val="0034455B"/>
    <w:rsid w:val="00344F47"/>
    <w:rsid w:val="00345476"/>
    <w:rsid w:val="0034692E"/>
    <w:rsid w:val="00347812"/>
    <w:rsid w:val="00355BCD"/>
    <w:rsid w:val="00357AE7"/>
    <w:rsid w:val="00357DAE"/>
    <w:rsid w:val="00360390"/>
    <w:rsid w:val="00360C98"/>
    <w:rsid w:val="00365DC9"/>
    <w:rsid w:val="0037003B"/>
    <w:rsid w:val="003708C6"/>
    <w:rsid w:val="00372586"/>
    <w:rsid w:val="00373CEE"/>
    <w:rsid w:val="00374C97"/>
    <w:rsid w:val="0038311F"/>
    <w:rsid w:val="00384AAD"/>
    <w:rsid w:val="00384B85"/>
    <w:rsid w:val="00385C87"/>
    <w:rsid w:val="00386C42"/>
    <w:rsid w:val="00387D61"/>
    <w:rsid w:val="00387FEB"/>
    <w:rsid w:val="00390112"/>
    <w:rsid w:val="00391696"/>
    <w:rsid w:val="00395259"/>
    <w:rsid w:val="00396E73"/>
    <w:rsid w:val="003A1F4B"/>
    <w:rsid w:val="003A2535"/>
    <w:rsid w:val="003A53D0"/>
    <w:rsid w:val="003A68B8"/>
    <w:rsid w:val="003A6CA5"/>
    <w:rsid w:val="003B3EAF"/>
    <w:rsid w:val="003B7E8E"/>
    <w:rsid w:val="003C0331"/>
    <w:rsid w:val="003C3BB6"/>
    <w:rsid w:val="003D1CC3"/>
    <w:rsid w:val="003D25C3"/>
    <w:rsid w:val="003D55B9"/>
    <w:rsid w:val="003E1063"/>
    <w:rsid w:val="003E5821"/>
    <w:rsid w:val="003F1CB1"/>
    <w:rsid w:val="003F381A"/>
    <w:rsid w:val="003F3A93"/>
    <w:rsid w:val="003F69D5"/>
    <w:rsid w:val="003F7402"/>
    <w:rsid w:val="0040111A"/>
    <w:rsid w:val="0040435E"/>
    <w:rsid w:val="00406B27"/>
    <w:rsid w:val="00407057"/>
    <w:rsid w:val="00410B99"/>
    <w:rsid w:val="00410FC1"/>
    <w:rsid w:val="00411607"/>
    <w:rsid w:val="00412BCE"/>
    <w:rsid w:val="00413A26"/>
    <w:rsid w:val="00414535"/>
    <w:rsid w:val="0041752E"/>
    <w:rsid w:val="004213C7"/>
    <w:rsid w:val="00424C6F"/>
    <w:rsid w:val="00425706"/>
    <w:rsid w:val="00425C7E"/>
    <w:rsid w:val="00425E7D"/>
    <w:rsid w:val="00426A76"/>
    <w:rsid w:val="004329E7"/>
    <w:rsid w:val="0043785D"/>
    <w:rsid w:val="00441D72"/>
    <w:rsid w:val="00442C66"/>
    <w:rsid w:val="00445A06"/>
    <w:rsid w:val="00446D34"/>
    <w:rsid w:val="0045198E"/>
    <w:rsid w:val="0045327B"/>
    <w:rsid w:val="00457585"/>
    <w:rsid w:val="00460441"/>
    <w:rsid w:val="00462C88"/>
    <w:rsid w:val="00465AE1"/>
    <w:rsid w:val="00466FEC"/>
    <w:rsid w:val="00467951"/>
    <w:rsid w:val="004809B5"/>
    <w:rsid w:val="00480C0D"/>
    <w:rsid w:val="00483B7E"/>
    <w:rsid w:val="00484D0A"/>
    <w:rsid w:val="004878BE"/>
    <w:rsid w:val="0049217A"/>
    <w:rsid w:val="004A1243"/>
    <w:rsid w:val="004A137D"/>
    <w:rsid w:val="004A52A4"/>
    <w:rsid w:val="004A6955"/>
    <w:rsid w:val="004B1A61"/>
    <w:rsid w:val="004B45D3"/>
    <w:rsid w:val="004B6C61"/>
    <w:rsid w:val="004B7739"/>
    <w:rsid w:val="004B7CE4"/>
    <w:rsid w:val="004C16EE"/>
    <w:rsid w:val="004C5233"/>
    <w:rsid w:val="004C5854"/>
    <w:rsid w:val="004C735B"/>
    <w:rsid w:val="004C7516"/>
    <w:rsid w:val="004D00A3"/>
    <w:rsid w:val="004D0163"/>
    <w:rsid w:val="004D1CD1"/>
    <w:rsid w:val="004D2A62"/>
    <w:rsid w:val="004D7228"/>
    <w:rsid w:val="004D74E0"/>
    <w:rsid w:val="004E0512"/>
    <w:rsid w:val="004E1C19"/>
    <w:rsid w:val="004E371B"/>
    <w:rsid w:val="004E680C"/>
    <w:rsid w:val="004F144F"/>
    <w:rsid w:val="004F16EB"/>
    <w:rsid w:val="004F7981"/>
    <w:rsid w:val="00506CFC"/>
    <w:rsid w:val="00510B95"/>
    <w:rsid w:val="0051546D"/>
    <w:rsid w:val="00515E07"/>
    <w:rsid w:val="00517C59"/>
    <w:rsid w:val="0052280D"/>
    <w:rsid w:val="00522CE3"/>
    <w:rsid w:val="005235B3"/>
    <w:rsid w:val="00523BDD"/>
    <w:rsid w:val="00524E50"/>
    <w:rsid w:val="00530FAD"/>
    <w:rsid w:val="00531613"/>
    <w:rsid w:val="00532286"/>
    <w:rsid w:val="00533EE5"/>
    <w:rsid w:val="005346B2"/>
    <w:rsid w:val="00534B3A"/>
    <w:rsid w:val="0054369A"/>
    <w:rsid w:val="00544550"/>
    <w:rsid w:val="00545EBB"/>
    <w:rsid w:val="0054694B"/>
    <w:rsid w:val="00546B41"/>
    <w:rsid w:val="00547681"/>
    <w:rsid w:val="0055234D"/>
    <w:rsid w:val="0055501D"/>
    <w:rsid w:val="0055799E"/>
    <w:rsid w:val="00562E53"/>
    <w:rsid w:val="00564181"/>
    <w:rsid w:val="0056522D"/>
    <w:rsid w:val="005652C0"/>
    <w:rsid w:val="005654D1"/>
    <w:rsid w:val="0056559E"/>
    <w:rsid w:val="00571823"/>
    <w:rsid w:val="00573244"/>
    <w:rsid w:val="00574946"/>
    <w:rsid w:val="00574C43"/>
    <w:rsid w:val="005769B8"/>
    <w:rsid w:val="00581C88"/>
    <w:rsid w:val="005845E7"/>
    <w:rsid w:val="0058494B"/>
    <w:rsid w:val="00585943"/>
    <w:rsid w:val="00586328"/>
    <w:rsid w:val="00586E3C"/>
    <w:rsid w:val="00587523"/>
    <w:rsid w:val="005A24C6"/>
    <w:rsid w:val="005A40D2"/>
    <w:rsid w:val="005B1133"/>
    <w:rsid w:val="005B459B"/>
    <w:rsid w:val="005B6BFD"/>
    <w:rsid w:val="005B7285"/>
    <w:rsid w:val="005C175F"/>
    <w:rsid w:val="005C2DB0"/>
    <w:rsid w:val="005C6224"/>
    <w:rsid w:val="005D48E8"/>
    <w:rsid w:val="005D5A28"/>
    <w:rsid w:val="005E1DF0"/>
    <w:rsid w:val="005E2F77"/>
    <w:rsid w:val="005E49AB"/>
    <w:rsid w:val="005E4EA0"/>
    <w:rsid w:val="005F2047"/>
    <w:rsid w:val="005F72C2"/>
    <w:rsid w:val="0060277A"/>
    <w:rsid w:val="00602CBD"/>
    <w:rsid w:val="006059DB"/>
    <w:rsid w:val="00610E94"/>
    <w:rsid w:val="006128F3"/>
    <w:rsid w:val="006152C2"/>
    <w:rsid w:val="00615407"/>
    <w:rsid w:val="00615557"/>
    <w:rsid w:val="00615D3D"/>
    <w:rsid w:val="0061757E"/>
    <w:rsid w:val="00620C9A"/>
    <w:rsid w:val="00620DB2"/>
    <w:rsid w:val="0062436F"/>
    <w:rsid w:val="0062470E"/>
    <w:rsid w:val="0062471B"/>
    <w:rsid w:val="00625E45"/>
    <w:rsid w:val="006275CC"/>
    <w:rsid w:val="0063259A"/>
    <w:rsid w:val="00632D73"/>
    <w:rsid w:val="006339A2"/>
    <w:rsid w:val="0063681F"/>
    <w:rsid w:val="006379AA"/>
    <w:rsid w:val="006428D4"/>
    <w:rsid w:val="00643EFA"/>
    <w:rsid w:val="00651728"/>
    <w:rsid w:val="00652C64"/>
    <w:rsid w:val="00652DC5"/>
    <w:rsid w:val="00652FE1"/>
    <w:rsid w:val="006551B0"/>
    <w:rsid w:val="00655542"/>
    <w:rsid w:val="00661290"/>
    <w:rsid w:val="00662B89"/>
    <w:rsid w:val="006641D7"/>
    <w:rsid w:val="006643E0"/>
    <w:rsid w:val="00664DDD"/>
    <w:rsid w:val="0067714D"/>
    <w:rsid w:val="0067745E"/>
    <w:rsid w:val="0068085C"/>
    <w:rsid w:val="00681298"/>
    <w:rsid w:val="006813A7"/>
    <w:rsid w:val="00682BDE"/>
    <w:rsid w:val="00683DFD"/>
    <w:rsid w:val="00691077"/>
    <w:rsid w:val="006944F7"/>
    <w:rsid w:val="00696145"/>
    <w:rsid w:val="006A0EBA"/>
    <w:rsid w:val="006A2877"/>
    <w:rsid w:val="006A69A7"/>
    <w:rsid w:val="006A75AE"/>
    <w:rsid w:val="006B25CA"/>
    <w:rsid w:val="006B3375"/>
    <w:rsid w:val="006B3EC4"/>
    <w:rsid w:val="006B491D"/>
    <w:rsid w:val="006B4A06"/>
    <w:rsid w:val="006C0E79"/>
    <w:rsid w:val="006C1D7C"/>
    <w:rsid w:val="006C3676"/>
    <w:rsid w:val="006C57D7"/>
    <w:rsid w:val="006C7D02"/>
    <w:rsid w:val="006D0D35"/>
    <w:rsid w:val="006D15BD"/>
    <w:rsid w:val="006D18E1"/>
    <w:rsid w:val="006D2A29"/>
    <w:rsid w:val="006D2E7A"/>
    <w:rsid w:val="006D606E"/>
    <w:rsid w:val="006D6B88"/>
    <w:rsid w:val="006E127F"/>
    <w:rsid w:val="006E485C"/>
    <w:rsid w:val="006E4BF5"/>
    <w:rsid w:val="006E602D"/>
    <w:rsid w:val="006E6CAA"/>
    <w:rsid w:val="006F044C"/>
    <w:rsid w:val="006F1EFA"/>
    <w:rsid w:val="006F2AD6"/>
    <w:rsid w:val="006F42C6"/>
    <w:rsid w:val="006F6459"/>
    <w:rsid w:val="006F79BD"/>
    <w:rsid w:val="00701C3B"/>
    <w:rsid w:val="007027E8"/>
    <w:rsid w:val="00705119"/>
    <w:rsid w:val="00707F09"/>
    <w:rsid w:val="007114F5"/>
    <w:rsid w:val="00711769"/>
    <w:rsid w:val="007177AB"/>
    <w:rsid w:val="00717B01"/>
    <w:rsid w:val="007205EA"/>
    <w:rsid w:val="00721234"/>
    <w:rsid w:val="00721763"/>
    <w:rsid w:val="00721E97"/>
    <w:rsid w:val="0073029F"/>
    <w:rsid w:val="00733123"/>
    <w:rsid w:val="00741654"/>
    <w:rsid w:val="00741C17"/>
    <w:rsid w:val="00742E50"/>
    <w:rsid w:val="007447BC"/>
    <w:rsid w:val="00746AE9"/>
    <w:rsid w:val="00750CE5"/>
    <w:rsid w:val="007528E5"/>
    <w:rsid w:val="00753807"/>
    <w:rsid w:val="007539BC"/>
    <w:rsid w:val="00756415"/>
    <w:rsid w:val="00757FB8"/>
    <w:rsid w:val="00763310"/>
    <w:rsid w:val="00763E18"/>
    <w:rsid w:val="00764A85"/>
    <w:rsid w:val="00765FF6"/>
    <w:rsid w:val="0076638D"/>
    <w:rsid w:val="007665B9"/>
    <w:rsid w:val="00771B77"/>
    <w:rsid w:val="00772B6E"/>
    <w:rsid w:val="00774574"/>
    <w:rsid w:val="0077624D"/>
    <w:rsid w:val="00777DCB"/>
    <w:rsid w:val="007827EF"/>
    <w:rsid w:val="00784A0E"/>
    <w:rsid w:val="0079320C"/>
    <w:rsid w:val="00794E97"/>
    <w:rsid w:val="00796177"/>
    <w:rsid w:val="007A04EB"/>
    <w:rsid w:val="007A4784"/>
    <w:rsid w:val="007A4F49"/>
    <w:rsid w:val="007B06F1"/>
    <w:rsid w:val="007B2705"/>
    <w:rsid w:val="007B303D"/>
    <w:rsid w:val="007B392D"/>
    <w:rsid w:val="007B51F1"/>
    <w:rsid w:val="007B6422"/>
    <w:rsid w:val="007B6C0E"/>
    <w:rsid w:val="007B7288"/>
    <w:rsid w:val="007C16D3"/>
    <w:rsid w:val="007C31B2"/>
    <w:rsid w:val="007C32B9"/>
    <w:rsid w:val="007C4B37"/>
    <w:rsid w:val="007C5C49"/>
    <w:rsid w:val="007D0690"/>
    <w:rsid w:val="007D141A"/>
    <w:rsid w:val="007D260E"/>
    <w:rsid w:val="007D3136"/>
    <w:rsid w:val="007D4C67"/>
    <w:rsid w:val="007D4F4D"/>
    <w:rsid w:val="007D6A6F"/>
    <w:rsid w:val="007E0D71"/>
    <w:rsid w:val="007E16B2"/>
    <w:rsid w:val="007E2E0B"/>
    <w:rsid w:val="007E77B2"/>
    <w:rsid w:val="007F2301"/>
    <w:rsid w:val="007F2AFB"/>
    <w:rsid w:val="007F2F01"/>
    <w:rsid w:val="007F360E"/>
    <w:rsid w:val="007F3E7A"/>
    <w:rsid w:val="007F74E1"/>
    <w:rsid w:val="00800685"/>
    <w:rsid w:val="00802D26"/>
    <w:rsid w:val="00806B9E"/>
    <w:rsid w:val="008141EA"/>
    <w:rsid w:val="00815386"/>
    <w:rsid w:val="00821FBC"/>
    <w:rsid w:val="00822932"/>
    <w:rsid w:val="00826379"/>
    <w:rsid w:val="00826814"/>
    <w:rsid w:val="008268BC"/>
    <w:rsid w:val="00826A9D"/>
    <w:rsid w:val="008300F9"/>
    <w:rsid w:val="008309E7"/>
    <w:rsid w:val="00835F46"/>
    <w:rsid w:val="00841F9A"/>
    <w:rsid w:val="00842000"/>
    <w:rsid w:val="00846B5A"/>
    <w:rsid w:val="008511F5"/>
    <w:rsid w:val="0086159E"/>
    <w:rsid w:val="00863775"/>
    <w:rsid w:val="00865CC9"/>
    <w:rsid w:val="00866996"/>
    <w:rsid w:val="008700F4"/>
    <w:rsid w:val="00873F3B"/>
    <w:rsid w:val="008773AD"/>
    <w:rsid w:val="00881052"/>
    <w:rsid w:val="00882CC1"/>
    <w:rsid w:val="00883AF7"/>
    <w:rsid w:val="00884C09"/>
    <w:rsid w:val="00886713"/>
    <w:rsid w:val="00891246"/>
    <w:rsid w:val="00891467"/>
    <w:rsid w:val="008916E1"/>
    <w:rsid w:val="008926BB"/>
    <w:rsid w:val="00892ABD"/>
    <w:rsid w:val="008932D2"/>
    <w:rsid w:val="00894885"/>
    <w:rsid w:val="00896542"/>
    <w:rsid w:val="008A1A88"/>
    <w:rsid w:val="008A5D01"/>
    <w:rsid w:val="008A5D68"/>
    <w:rsid w:val="008A6199"/>
    <w:rsid w:val="008B27C9"/>
    <w:rsid w:val="008B4EB8"/>
    <w:rsid w:val="008C3516"/>
    <w:rsid w:val="008C4872"/>
    <w:rsid w:val="008C49DC"/>
    <w:rsid w:val="008C60B4"/>
    <w:rsid w:val="008C6493"/>
    <w:rsid w:val="008C6674"/>
    <w:rsid w:val="008C6A20"/>
    <w:rsid w:val="008C6D5A"/>
    <w:rsid w:val="008C7A7E"/>
    <w:rsid w:val="008D3811"/>
    <w:rsid w:val="008D6464"/>
    <w:rsid w:val="008E1027"/>
    <w:rsid w:val="008E2EA1"/>
    <w:rsid w:val="008E7381"/>
    <w:rsid w:val="008E748E"/>
    <w:rsid w:val="008F1DA5"/>
    <w:rsid w:val="008F425C"/>
    <w:rsid w:val="008F45C0"/>
    <w:rsid w:val="008F45CE"/>
    <w:rsid w:val="008F468F"/>
    <w:rsid w:val="008F5EBA"/>
    <w:rsid w:val="008F6A10"/>
    <w:rsid w:val="008F6AD7"/>
    <w:rsid w:val="008F76A5"/>
    <w:rsid w:val="009002AF"/>
    <w:rsid w:val="00900595"/>
    <w:rsid w:val="00902BD3"/>
    <w:rsid w:val="00903B37"/>
    <w:rsid w:val="00903BAD"/>
    <w:rsid w:val="00906EF4"/>
    <w:rsid w:val="00907B0E"/>
    <w:rsid w:val="00912782"/>
    <w:rsid w:val="0091494C"/>
    <w:rsid w:val="00921AC6"/>
    <w:rsid w:val="00921D92"/>
    <w:rsid w:val="00922958"/>
    <w:rsid w:val="00922F3C"/>
    <w:rsid w:val="00922F9D"/>
    <w:rsid w:val="009250B6"/>
    <w:rsid w:val="0093326B"/>
    <w:rsid w:val="00940AF1"/>
    <w:rsid w:val="00941289"/>
    <w:rsid w:val="00942529"/>
    <w:rsid w:val="009450DA"/>
    <w:rsid w:val="0094748D"/>
    <w:rsid w:val="0095101B"/>
    <w:rsid w:val="009516EB"/>
    <w:rsid w:val="00952C27"/>
    <w:rsid w:val="009563C4"/>
    <w:rsid w:val="009619F0"/>
    <w:rsid w:val="009624D7"/>
    <w:rsid w:val="0096533B"/>
    <w:rsid w:val="00970CCB"/>
    <w:rsid w:val="00972FB0"/>
    <w:rsid w:val="00974804"/>
    <w:rsid w:val="00980C49"/>
    <w:rsid w:val="009811B2"/>
    <w:rsid w:val="00981A46"/>
    <w:rsid w:val="009868EB"/>
    <w:rsid w:val="0098723B"/>
    <w:rsid w:val="00987591"/>
    <w:rsid w:val="00991808"/>
    <w:rsid w:val="00994E5C"/>
    <w:rsid w:val="0099742A"/>
    <w:rsid w:val="009977FA"/>
    <w:rsid w:val="009A0B27"/>
    <w:rsid w:val="009A1A49"/>
    <w:rsid w:val="009A35BC"/>
    <w:rsid w:val="009A3674"/>
    <w:rsid w:val="009A516B"/>
    <w:rsid w:val="009A58DE"/>
    <w:rsid w:val="009B3309"/>
    <w:rsid w:val="009B6D20"/>
    <w:rsid w:val="009C0047"/>
    <w:rsid w:val="009C12E4"/>
    <w:rsid w:val="009C67C9"/>
    <w:rsid w:val="009C6A1A"/>
    <w:rsid w:val="009C76AB"/>
    <w:rsid w:val="009D3C36"/>
    <w:rsid w:val="009D47E4"/>
    <w:rsid w:val="009D5172"/>
    <w:rsid w:val="009D5F4A"/>
    <w:rsid w:val="009D6C2F"/>
    <w:rsid w:val="009D7641"/>
    <w:rsid w:val="009E1AE9"/>
    <w:rsid w:val="009E2F2C"/>
    <w:rsid w:val="009E4066"/>
    <w:rsid w:val="009E4C58"/>
    <w:rsid w:val="009E6DCC"/>
    <w:rsid w:val="009E7886"/>
    <w:rsid w:val="009F2327"/>
    <w:rsid w:val="009F5800"/>
    <w:rsid w:val="00A0236C"/>
    <w:rsid w:val="00A028CE"/>
    <w:rsid w:val="00A03CE0"/>
    <w:rsid w:val="00A05A40"/>
    <w:rsid w:val="00A07AF4"/>
    <w:rsid w:val="00A10C95"/>
    <w:rsid w:val="00A12A41"/>
    <w:rsid w:val="00A16F03"/>
    <w:rsid w:val="00A20C0D"/>
    <w:rsid w:val="00A21085"/>
    <w:rsid w:val="00A237C3"/>
    <w:rsid w:val="00A304BF"/>
    <w:rsid w:val="00A3622A"/>
    <w:rsid w:val="00A36F67"/>
    <w:rsid w:val="00A409AA"/>
    <w:rsid w:val="00A4144A"/>
    <w:rsid w:val="00A4156E"/>
    <w:rsid w:val="00A44FE3"/>
    <w:rsid w:val="00A456A6"/>
    <w:rsid w:val="00A526FF"/>
    <w:rsid w:val="00A54F15"/>
    <w:rsid w:val="00A555BD"/>
    <w:rsid w:val="00A55B1E"/>
    <w:rsid w:val="00A56DEF"/>
    <w:rsid w:val="00A65B30"/>
    <w:rsid w:val="00A6634F"/>
    <w:rsid w:val="00A66C2A"/>
    <w:rsid w:val="00A67062"/>
    <w:rsid w:val="00A70AE1"/>
    <w:rsid w:val="00A71E29"/>
    <w:rsid w:val="00A72709"/>
    <w:rsid w:val="00A735AB"/>
    <w:rsid w:val="00A825C7"/>
    <w:rsid w:val="00A84144"/>
    <w:rsid w:val="00A84C54"/>
    <w:rsid w:val="00A87D82"/>
    <w:rsid w:val="00A90D45"/>
    <w:rsid w:val="00A910C9"/>
    <w:rsid w:val="00A927ED"/>
    <w:rsid w:val="00A93C98"/>
    <w:rsid w:val="00A947D4"/>
    <w:rsid w:val="00AA2DBC"/>
    <w:rsid w:val="00AA32EE"/>
    <w:rsid w:val="00AA5CFE"/>
    <w:rsid w:val="00AB05FF"/>
    <w:rsid w:val="00AB1234"/>
    <w:rsid w:val="00AB2CBA"/>
    <w:rsid w:val="00AB3569"/>
    <w:rsid w:val="00AB4367"/>
    <w:rsid w:val="00AB55FF"/>
    <w:rsid w:val="00AB654C"/>
    <w:rsid w:val="00AB703B"/>
    <w:rsid w:val="00AB7BC6"/>
    <w:rsid w:val="00AB7E15"/>
    <w:rsid w:val="00AC1C04"/>
    <w:rsid w:val="00AC4A5B"/>
    <w:rsid w:val="00AC591B"/>
    <w:rsid w:val="00AD59DC"/>
    <w:rsid w:val="00AE702D"/>
    <w:rsid w:val="00AF03CC"/>
    <w:rsid w:val="00AF0E95"/>
    <w:rsid w:val="00AF7675"/>
    <w:rsid w:val="00B0502F"/>
    <w:rsid w:val="00B0796F"/>
    <w:rsid w:val="00B07AA8"/>
    <w:rsid w:val="00B07C5E"/>
    <w:rsid w:val="00B122F2"/>
    <w:rsid w:val="00B13152"/>
    <w:rsid w:val="00B1545E"/>
    <w:rsid w:val="00B2089E"/>
    <w:rsid w:val="00B2275A"/>
    <w:rsid w:val="00B25C33"/>
    <w:rsid w:val="00B266DD"/>
    <w:rsid w:val="00B30165"/>
    <w:rsid w:val="00B30CDB"/>
    <w:rsid w:val="00B312C6"/>
    <w:rsid w:val="00B3138A"/>
    <w:rsid w:val="00B4657A"/>
    <w:rsid w:val="00B479BA"/>
    <w:rsid w:val="00B5152D"/>
    <w:rsid w:val="00B52526"/>
    <w:rsid w:val="00B52AE3"/>
    <w:rsid w:val="00B532DB"/>
    <w:rsid w:val="00B558D2"/>
    <w:rsid w:val="00B60158"/>
    <w:rsid w:val="00B60E07"/>
    <w:rsid w:val="00B63EAC"/>
    <w:rsid w:val="00B64EF2"/>
    <w:rsid w:val="00B67F8B"/>
    <w:rsid w:val="00B70C42"/>
    <w:rsid w:val="00B72BDE"/>
    <w:rsid w:val="00B7311D"/>
    <w:rsid w:val="00B73A85"/>
    <w:rsid w:val="00B75D23"/>
    <w:rsid w:val="00B75F00"/>
    <w:rsid w:val="00B9146B"/>
    <w:rsid w:val="00B96347"/>
    <w:rsid w:val="00B964DD"/>
    <w:rsid w:val="00BA1913"/>
    <w:rsid w:val="00BA1ED9"/>
    <w:rsid w:val="00BA65FC"/>
    <w:rsid w:val="00BA7276"/>
    <w:rsid w:val="00BB0F74"/>
    <w:rsid w:val="00BB1F10"/>
    <w:rsid w:val="00BB3347"/>
    <w:rsid w:val="00BB5992"/>
    <w:rsid w:val="00BB65A6"/>
    <w:rsid w:val="00BC023E"/>
    <w:rsid w:val="00BC03E0"/>
    <w:rsid w:val="00BC51FC"/>
    <w:rsid w:val="00BC5C67"/>
    <w:rsid w:val="00BC5CAD"/>
    <w:rsid w:val="00BD0840"/>
    <w:rsid w:val="00BE2E33"/>
    <w:rsid w:val="00BE6314"/>
    <w:rsid w:val="00BE7035"/>
    <w:rsid w:val="00BF0980"/>
    <w:rsid w:val="00BF3D51"/>
    <w:rsid w:val="00BF5280"/>
    <w:rsid w:val="00BF64DD"/>
    <w:rsid w:val="00C02954"/>
    <w:rsid w:val="00C060D0"/>
    <w:rsid w:val="00C06687"/>
    <w:rsid w:val="00C07F31"/>
    <w:rsid w:val="00C1145F"/>
    <w:rsid w:val="00C11C4C"/>
    <w:rsid w:val="00C16962"/>
    <w:rsid w:val="00C17EFC"/>
    <w:rsid w:val="00C17F0B"/>
    <w:rsid w:val="00C2050E"/>
    <w:rsid w:val="00C2186D"/>
    <w:rsid w:val="00C2718F"/>
    <w:rsid w:val="00C30194"/>
    <w:rsid w:val="00C31198"/>
    <w:rsid w:val="00C32D7E"/>
    <w:rsid w:val="00C3648B"/>
    <w:rsid w:val="00C45615"/>
    <w:rsid w:val="00C46BA8"/>
    <w:rsid w:val="00C47CAB"/>
    <w:rsid w:val="00C54770"/>
    <w:rsid w:val="00C566E2"/>
    <w:rsid w:val="00C57A03"/>
    <w:rsid w:val="00C604D4"/>
    <w:rsid w:val="00C60A6D"/>
    <w:rsid w:val="00C61481"/>
    <w:rsid w:val="00C627C8"/>
    <w:rsid w:val="00C640AE"/>
    <w:rsid w:val="00C676C0"/>
    <w:rsid w:val="00C74243"/>
    <w:rsid w:val="00C76959"/>
    <w:rsid w:val="00C81A9D"/>
    <w:rsid w:val="00C83039"/>
    <w:rsid w:val="00C839EA"/>
    <w:rsid w:val="00C849DD"/>
    <w:rsid w:val="00C918B6"/>
    <w:rsid w:val="00C92C2C"/>
    <w:rsid w:val="00C9400B"/>
    <w:rsid w:val="00C95AE0"/>
    <w:rsid w:val="00CA62B3"/>
    <w:rsid w:val="00CA69CB"/>
    <w:rsid w:val="00CB212B"/>
    <w:rsid w:val="00CB25C4"/>
    <w:rsid w:val="00CB28E6"/>
    <w:rsid w:val="00CB362C"/>
    <w:rsid w:val="00CB3AE7"/>
    <w:rsid w:val="00CB422C"/>
    <w:rsid w:val="00CB5889"/>
    <w:rsid w:val="00CC19D2"/>
    <w:rsid w:val="00CC3EAF"/>
    <w:rsid w:val="00CC6A4B"/>
    <w:rsid w:val="00CD0D3A"/>
    <w:rsid w:val="00CD2939"/>
    <w:rsid w:val="00CD7495"/>
    <w:rsid w:val="00CE6A4E"/>
    <w:rsid w:val="00CE77A3"/>
    <w:rsid w:val="00CF39D3"/>
    <w:rsid w:val="00D00573"/>
    <w:rsid w:val="00D02361"/>
    <w:rsid w:val="00D14EE9"/>
    <w:rsid w:val="00D2080C"/>
    <w:rsid w:val="00D25164"/>
    <w:rsid w:val="00D25C52"/>
    <w:rsid w:val="00D27FD2"/>
    <w:rsid w:val="00D333C2"/>
    <w:rsid w:val="00D351B2"/>
    <w:rsid w:val="00D358BC"/>
    <w:rsid w:val="00D40496"/>
    <w:rsid w:val="00D422A8"/>
    <w:rsid w:val="00D469B5"/>
    <w:rsid w:val="00D46EF8"/>
    <w:rsid w:val="00D5013F"/>
    <w:rsid w:val="00D50F32"/>
    <w:rsid w:val="00D51735"/>
    <w:rsid w:val="00D52ACA"/>
    <w:rsid w:val="00D531C7"/>
    <w:rsid w:val="00D5323F"/>
    <w:rsid w:val="00D56500"/>
    <w:rsid w:val="00D65D98"/>
    <w:rsid w:val="00D7014F"/>
    <w:rsid w:val="00D7102C"/>
    <w:rsid w:val="00D71244"/>
    <w:rsid w:val="00D72D48"/>
    <w:rsid w:val="00D759C5"/>
    <w:rsid w:val="00D76F3A"/>
    <w:rsid w:val="00D7786D"/>
    <w:rsid w:val="00D8129C"/>
    <w:rsid w:val="00D84732"/>
    <w:rsid w:val="00D84CC6"/>
    <w:rsid w:val="00D857C3"/>
    <w:rsid w:val="00D869EB"/>
    <w:rsid w:val="00D86AEE"/>
    <w:rsid w:val="00D91715"/>
    <w:rsid w:val="00D91F18"/>
    <w:rsid w:val="00D927A2"/>
    <w:rsid w:val="00D92B0C"/>
    <w:rsid w:val="00DA0440"/>
    <w:rsid w:val="00DA2B80"/>
    <w:rsid w:val="00DA384A"/>
    <w:rsid w:val="00DA3E61"/>
    <w:rsid w:val="00DA7C9E"/>
    <w:rsid w:val="00DB06B2"/>
    <w:rsid w:val="00DB1B89"/>
    <w:rsid w:val="00DB7808"/>
    <w:rsid w:val="00DC1882"/>
    <w:rsid w:val="00DC19E1"/>
    <w:rsid w:val="00DC19F8"/>
    <w:rsid w:val="00DC27C7"/>
    <w:rsid w:val="00DC5558"/>
    <w:rsid w:val="00DC63BA"/>
    <w:rsid w:val="00DD0960"/>
    <w:rsid w:val="00DD29C5"/>
    <w:rsid w:val="00DD676F"/>
    <w:rsid w:val="00DD730B"/>
    <w:rsid w:val="00DE4E57"/>
    <w:rsid w:val="00DE6361"/>
    <w:rsid w:val="00DE6655"/>
    <w:rsid w:val="00DF2103"/>
    <w:rsid w:val="00DF302C"/>
    <w:rsid w:val="00DF30D7"/>
    <w:rsid w:val="00DF3928"/>
    <w:rsid w:val="00DF4929"/>
    <w:rsid w:val="00DF5425"/>
    <w:rsid w:val="00DF759A"/>
    <w:rsid w:val="00E05F52"/>
    <w:rsid w:val="00E1185E"/>
    <w:rsid w:val="00E124C2"/>
    <w:rsid w:val="00E1360E"/>
    <w:rsid w:val="00E13A25"/>
    <w:rsid w:val="00E13D51"/>
    <w:rsid w:val="00E207A4"/>
    <w:rsid w:val="00E20E7C"/>
    <w:rsid w:val="00E23607"/>
    <w:rsid w:val="00E2489A"/>
    <w:rsid w:val="00E24D6A"/>
    <w:rsid w:val="00E30129"/>
    <w:rsid w:val="00E30403"/>
    <w:rsid w:val="00E31298"/>
    <w:rsid w:val="00E4444C"/>
    <w:rsid w:val="00E44E02"/>
    <w:rsid w:val="00E44F41"/>
    <w:rsid w:val="00E4614F"/>
    <w:rsid w:val="00E4628D"/>
    <w:rsid w:val="00E4647C"/>
    <w:rsid w:val="00E467A6"/>
    <w:rsid w:val="00E5418C"/>
    <w:rsid w:val="00E54BAC"/>
    <w:rsid w:val="00E54E14"/>
    <w:rsid w:val="00E56F1E"/>
    <w:rsid w:val="00E57F21"/>
    <w:rsid w:val="00E611EF"/>
    <w:rsid w:val="00E63472"/>
    <w:rsid w:val="00E635AB"/>
    <w:rsid w:val="00E64386"/>
    <w:rsid w:val="00E730F8"/>
    <w:rsid w:val="00E7716F"/>
    <w:rsid w:val="00E77B12"/>
    <w:rsid w:val="00E8073B"/>
    <w:rsid w:val="00E81904"/>
    <w:rsid w:val="00E828AA"/>
    <w:rsid w:val="00E838F7"/>
    <w:rsid w:val="00E83C09"/>
    <w:rsid w:val="00E85C8F"/>
    <w:rsid w:val="00E87A8B"/>
    <w:rsid w:val="00E9269E"/>
    <w:rsid w:val="00E92D70"/>
    <w:rsid w:val="00E9478B"/>
    <w:rsid w:val="00EA0FBE"/>
    <w:rsid w:val="00EA3A7F"/>
    <w:rsid w:val="00EB0B35"/>
    <w:rsid w:val="00EB364A"/>
    <w:rsid w:val="00EB4F07"/>
    <w:rsid w:val="00EB5146"/>
    <w:rsid w:val="00EB5C0E"/>
    <w:rsid w:val="00EC2CD3"/>
    <w:rsid w:val="00EC4191"/>
    <w:rsid w:val="00EC522C"/>
    <w:rsid w:val="00EC69EC"/>
    <w:rsid w:val="00ED1452"/>
    <w:rsid w:val="00ED3374"/>
    <w:rsid w:val="00ED51BF"/>
    <w:rsid w:val="00ED54F6"/>
    <w:rsid w:val="00ED790B"/>
    <w:rsid w:val="00ED7A4A"/>
    <w:rsid w:val="00EE02C2"/>
    <w:rsid w:val="00EE033B"/>
    <w:rsid w:val="00EE5626"/>
    <w:rsid w:val="00EE574E"/>
    <w:rsid w:val="00EE5F13"/>
    <w:rsid w:val="00EE625B"/>
    <w:rsid w:val="00F02808"/>
    <w:rsid w:val="00F03312"/>
    <w:rsid w:val="00F03CEB"/>
    <w:rsid w:val="00F04226"/>
    <w:rsid w:val="00F048BB"/>
    <w:rsid w:val="00F04FB8"/>
    <w:rsid w:val="00F05DDE"/>
    <w:rsid w:val="00F061D3"/>
    <w:rsid w:val="00F06703"/>
    <w:rsid w:val="00F11092"/>
    <w:rsid w:val="00F1162F"/>
    <w:rsid w:val="00F118E7"/>
    <w:rsid w:val="00F13D45"/>
    <w:rsid w:val="00F145F1"/>
    <w:rsid w:val="00F14EAB"/>
    <w:rsid w:val="00F17942"/>
    <w:rsid w:val="00F21491"/>
    <w:rsid w:val="00F23AE0"/>
    <w:rsid w:val="00F3036A"/>
    <w:rsid w:val="00F30DCF"/>
    <w:rsid w:val="00F31935"/>
    <w:rsid w:val="00F339C8"/>
    <w:rsid w:val="00F35625"/>
    <w:rsid w:val="00F35818"/>
    <w:rsid w:val="00F4085F"/>
    <w:rsid w:val="00F414D0"/>
    <w:rsid w:val="00F4194E"/>
    <w:rsid w:val="00F440AE"/>
    <w:rsid w:val="00F4626D"/>
    <w:rsid w:val="00F531F9"/>
    <w:rsid w:val="00F5560E"/>
    <w:rsid w:val="00F55E80"/>
    <w:rsid w:val="00F57195"/>
    <w:rsid w:val="00F57590"/>
    <w:rsid w:val="00F625AB"/>
    <w:rsid w:val="00F70B9F"/>
    <w:rsid w:val="00F70E7D"/>
    <w:rsid w:val="00F7384E"/>
    <w:rsid w:val="00F73C7E"/>
    <w:rsid w:val="00F74001"/>
    <w:rsid w:val="00F75D88"/>
    <w:rsid w:val="00F7728C"/>
    <w:rsid w:val="00F80252"/>
    <w:rsid w:val="00F80A9C"/>
    <w:rsid w:val="00F81F17"/>
    <w:rsid w:val="00F8652F"/>
    <w:rsid w:val="00F9549A"/>
    <w:rsid w:val="00F9654B"/>
    <w:rsid w:val="00F967BB"/>
    <w:rsid w:val="00F96E7B"/>
    <w:rsid w:val="00F97A52"/>
    <w:rsid w:val="00FA28DF"/>
    <w:rsid w:val="00FA3771"/>
    <w:rsid w:val="00FA3F66"/>
    <w:rsid w:val="00FA5603"/>
    <w:rsid w:val="00FA57C7"/>
    <w:rsid w:val="00FB0431"/>
    <w:rsid w:val="00FB0985"/>
    <w:rsid w:val="00FB12B8"/>
    <w:rsid w:val="00FB25A7"/>
    <w:rsid w:val="00FB2E00"/>
    <w:rsid w:val="00FB44D9"/>
    <w:rsid w:val="00FB5FA2"/>
    <w:rsid w:val="00FB6528"/>
    <w:rsid w:val="00FC23DC"/>
    <w:rsid w:val="00FC2CD0"/>
    <w:rsid w:val="00FC3A53"/>
    <w:rsid w:val="00FC51B4"/>
    <w:rsid w:val="00FC52A6"/>
    <w:rsid w:val="00FC533D"/>
    <w:rsid w:val="00FD5BD7"/>
    <w:rsid w:val="00FD7BD7"/>
    <w:rsid w:val="00FE1872"/>
    <w:rsid w:val="00FE1C88"/>
    <w:rsid w:val="00FE2CBE"/>
    <w:rsid w:val="00FE47EA"/>
    <w:rsid w:val="00FE7389"/>
    <w:rsid w:val="00FF0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1DCAC"/>
  <w15:chartTrackingRefBased/>
  <w15:docId w15:val="{51EBE7AF-5A49-460F-88B9-6E972E58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331"/>
    <w:rPr>
      <w:sz w:val="24"/>
      <w:lang w:eastAsia="en-US"/>
    </w:rPr>
  </w:style>
  <w:style w:type="paragraph" w:styleId="Heading1">
    <w:name w:val="heading 1"/>
    <w:basedOn w:val="Normal"/>
    <w:next w:val="Text1"/>
    <w:qFormat/>
    <w:pPr>
      <w:keepNext/>
      <w:numPr>
        <w:numId w:val="1"/>
      </w:numPr>
      <w:spacing w:before="240" w:after="240"/>
      <w:ind w:hanging="482"/>
      <w:outlineLvl w:val="0"/>
    </w:pPr>
    <w:rPr>
      <w:b/>
      <w:smallCap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Text3"/>
    <w:qFormat/>
    <w:pPr>
      <w:keepNext/>
      <w:numPr>
        <w:ilvl w:val="2"/>
        <w:numId w:val="1"/>
      </w:numPr>
      <w:spacing w:after="240"/>
      <w:ind w:hanging="839"/>
      <w:outlineLvl w:val="2"/>
    </w:pPr>
    <w:rPr>
      <w:i/>
    </w:rPr>
  </w:style>
  <w:style w:type="paragraph" w:styleId="Heading4">
    <w:name w:val="heading 4"/>
    <w:basedOn w:val="Normal"/>
    <w:next w:val="Text4"/>
    <w:qFormat/>
    <w:pPr>
      <w:keepNext/>
      <w:numPr>
        <w:ilvl w:val="3"/>
        <w:numId w:val="1"/>
      </w:numPr>
      <w:spacing w:after="240"/>
      <w:ind w:hanging="9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pPr>
  </w:style>
  <w:style w:type="paragraph" w:customStyle="1" w:styleId="Text2">
    <w:name w:val="Text 2"/>
    <w:basedOn w:val="Normal"/>
    <w:pPr>
      <w:tabs>
        <w:tab w:val="left" w:pos="2161"/>
      </w:tabs>
      <w:spacing w:after="240"/>
      <w:ind w:left="1077"/>
    </w:pPr>
  </w:style>
  <w:style w:type="paragraph" w:customStyle="1" w:styleId="Text3">
    <w:name w:val="Text 3"/>
    <w:basedOn w:val="Normal"/>
    <w:pPr>
      <w:tabs>
        <w:tab w:val="left" w:pos="2302"/>
      </w:tabs>
      <w:spacing w:after="240"/>
      <w:ind w:left="1917"/>
    </w:pPr>
  </w:style>
  <w:style w:type="paragraph" w:customStyle="1" w:styleId="Text4">
    <w:name w:val="Text 4"/>
    <w:basedOn w:val="Normal"/>
    <w:pPr>
      <w:spacing w:after="240"/>
      <w:ind w:left="2880"/>
    </w:p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BodyText">
    <w:name w:val="Body Text"/>
    <w:basedOn w:val="Normal"/>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3C0331"/>
    <w:pPr>
      <w:spacing w:after="60"/>
    </w:pPr>
    <w:rPr>
      <w:sz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pPr>
    <w:rPr>
      <w:b/>
    </w:rPr>
  </w:style>
  <w:style w:type="paragraph" w:customStyle="1" w:styleId="Enclosures">
    <w:name w:val="Enclosures"/>
    <w:basedOn w:val="Normal"/>
    <w:next w:val="Participants"/>
    <w:pPr>
      <w:keepNext/>
      <w:keepLines/>
      <w:tabs>
        <w:tab w:val="left" w:pos="5642"/>
      </w:tabs>
      <w:spacing w:before="480"/>
      <w:ind w:left="1792" w:hanging="1792"/>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character" w:customStyle="1" w:styleId="tw4winMark">
    <w:name w:val="tw4winMark"/>
    <w:rPr>
      <w:vanish/>
      <w:color w:val="800080"/>
      <w:vertAlign w:val="subscript"/>
    </w:rPr>
  </w:style>
  <w:style w:type="paragraph" w:customStyle="1" w:styleId="NumPar2">
    <w:name w:val="NumPar 2"/>
    <w:basedOn w:val="Heading2"/>
    <w:next w:val="Normal"/>
    <w:pPr>
      <w:keepNext w:val="0"/>
      <w:numPr>
        <w:ilvl w:val="1"/>
        <w:numId w:val="2"/>
      </w:numPr>
      <w:spacing w:before="0" w:after="240"/>
      <w:jc w:val="both"/>
      <w:outlineLvl w:val="9"/>
    </w:pPr>
    <w:rPr>
      <w:rFonts w:ascii="Times New Roman" w:hAnsi="Times New Roman"/>
      <w:b w:val="0"/>
      <w:i w:val="0"/>
      <w:sz w:val="28"/>
    </w:rPr>
  </w:style>
  <w:style w:type="character" w:styleId="CommentReference">
    <w:name w:val="annotation reference"/>
    <w:uiPriority w:val="99"/>
    <w:semiHidden/>
    <w:rsid w:val="0063259A"/>
    <w:rPr>
      <w:sz w:val="16"/>
      <w:szCs w:val="16"/>
    </w:rPr>
  </w:style>
  <w:style w:type="paragraph" w:styleId="CommentText">
    <w:name w:val="annotation text"/>
    <w:basedOn w:val="Normal"/>
    <w:link w:val="CommentTextChar"/>
    <w:uiPriority w:val="99"/>
    <w:semiHidden/>
    <w:rsid w:val="0063259A"/>
    <w:rPr>
      <w:sz w:val="20"/>
    </w:rPr>
  </w:style>
  <w:style w:type="paragraph" w:styleId="CommentSubject">
    <w:name w:val="annotation subject"/>
    <w:basedOn w:val="CommentText"/>
    <w:next w:val="CommentText"/>
    <w:semiHidden/>
    <w:rsid w:val="0063259A"/>
    <w:rPr>
      <w:b/>
      <w:bCs/>
    </w:rPr>
  </w:style>
  <w:style w:type="paragraph" w:styleId="BalloonText">
    <w:name w:val="Balloon Text"/>
    <w:basedOn w:val="Normal"/>
    <w:semiHidden/>
    <w:rsid w:val="0063259A"/>
    <w:rPr>
      <w:rFonts w:ascii="Tahoma" w:hAnsi="Tahoma" w:cs="Tahoma"/>
      <w:sz w:val="16"/>
      <w:szCs w:val="1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2186D"/>
    <w:pPr>
      <w:spacing w:after="160" w:line="240" w:lineRule="exact"/>
    </w:pPr>
    <w:rPr>
      <w:rFonts w:ascii="Tahoma" w:hAnsi="Tahoma"/>
    </w:rPr>
  </w:style>
  <w:style w:type="paragraph" w:styleId="ListNumber">
    <w:name w:val="List Number"/>
    <w:basedOn w:val="Normal"/>
    <w:rsid w:val="001A1117"/>
    <w:pPr>
      <w:numPr>
        <w:numId w:val="4"/>
      </w:numPr>
      <w:spacing w:after="240"/>
      <w:jc w:val="both"/>
    </w:pPr>
  </w:style>
  <w:style w:type="character" w:styleId="Hyperlink">
    <w:name w:val="Hyperlink"/>
    <w:rsid w:val="001A1117"/>
    <w:rPr>
      <w:color w:val="0000FF"/>
      <w:u w:val="single"/>
    </w:rPr>
  </w:style>
  <w:style w:type="paragraph" w:customStyle="1" w:styleId="ListNumberLevel2">
    <w:name w:val="List Number (Level 2)"/>
    <w:basedOn w:val="Normal"/>
    <w:rsid w:val="001A1117"/>
    <w:pPr>
      <w:numPr>
        <w:ilvl w:val="1"/>
        <w:numId w:val="4"/>
      </w:numPr>
      <w:spacing w:after="240"/>
      <w:jc w:val="both"/>
    </w:pPr>
  </w:style>
  <w:style w:type="paragraph" w:customStyle="1" w:styleId="ListNumberLevel3">
    <w:name w:val="List Number (Level 3)"/>
    <w:basedOn w:val="Normal"/>
    <w:rsid w:val="001A1117"/>
    <w:pPr>
      <w:numPr>
        <w:ilvl w:val="2"/>
        <w:numId w:val="4"/>
      </w:numPr>
      <w:spacing w:after="240"/>
      <w:jc w:val="both"/>
    </w:pPr>
  </w:style>
  <w:style w:type="paragraph" w:customStyle="1" w:styleId="ListNumberLevel4">
    <w:name w:val="List Number (Level 4)"/>
    <w:basedOn w:val="Normal"/>
    <w:rsid w:val="001A1117"/>
    <w:pPr>
      <w:numPr>
        <w:ilvl w:val="3"/>
        <w:numId w:val="4"/>
      </w:numPr>
      <w:spacing w:after="240"/>
      <w:jc w:val="both"/>
    </w:pPr>
  </w:style>
  <w:style w:type="paragraph" w:styleId="Revision">
    <w:name w:val="Revision"/>
    <w:hidden/>
    <w:uiPriority w:val="99"/>
    <w:semiHidden/>
    <w:rsid w:val="00082800"/>
    <w:rPr>
      <w:sz w:val="24"/>
      <w:lang w:eastAsia="en-US"/>
    </w:rPr>
  </w:style>
  <w:style w:type="character" w:customStyle="1" w:styleId="CommentTextChar">
    <w:name w:val="Comment Text Char"/>
    <w:link w:val="CommentText"/>
    <w:uiPriority w:val="99"/>
    <w:semiHidden/>
    <w:rsid w:val="004C735B"/>
    <w:rPr>
      <w:lang w:eastAsia="en-US"/>
    </w:rPr>
  </w:style>
  <w:style w:type="paragraph" w:styleId="ListParagraph">
    <w:name w:val="List Paragraph"/>
    <w:basedOn w:val="Normal"/>
    <w:uiPriority w:val="34"/>
    <w:qFormat/>
    <w:rsid w:val="00B1545E"/>
    <w:pPr>
      <w:ind w:left="720"/>
    </w:pPr>
    <w:rPr>
      <w:rFonts w:eastAsia="Calibri"/>
      <w:szCs w:val="24"/>
      <w:lang w:eastAsia="en-GB"/>
    </w:rPr>
  </w:style>
  <w:style w:type="paragraph" w:customStyle="1" w:styleId="CM1">
    <w:name w:val="CM1"/>
    <w:basedOn w:val="Normal"/>
    <w:next w:val="Normal"/>
    <w:uiPriority w:val="99"/>
    <w:rsid w:val="00CF39D3"/>
    <w:pPr>
      <w:autoSpaceDE w:val="0"/>
      <w:autoSpaceDN w:val="0"/>
      <w:adjustRightInd w:val="0"/>
    </w:pPr>
    <w:rPr>
      <w:rFonts w:ascii="EUAlbertina" w:hAnsi="EUAlbertina"/>
      <w:szCs w:val="24"/>
      <w:lang w:eastAsia="fr-BE"/>
    </w:rPr>
  </w:style>
  <w:style w:type="paragraph" w:customStyle="1" w:styleId="CM3">
    <w:name w:val="CM3"/>
    <w:basedOn w:val="Normal"/>
    <w:next w:val="Normal"/>
    <w:uiPriority w:val="99"/>
    <w:rsid w:val="00CF39D3"/>
    <w:pPr>
      <w:autoSpaceDE w:val="0"/>
      <w:autoSpaceDN w:val="0"/>
      <w:adjustRightInd w:val="0"/>
    </w:pPr>
    <w:rPr>
      <w:rFonts w:ascii="EUAlbertina" w:hAnsi="EUAlbertina"/>
      <w:szCs w:val="24"/>
      <w:lang w:eastAsia="fr-B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9A35BC"/>
    <w:rPr>
      <w:lang w:eastAsia="en-US"/>
    </w:rPr>
  </w:style>
  <w:style w:type="paragraph" w:customStyle="1" w:styleId="Char2">
    <w:name w:val="Char2"/>
    <w:basedOn w:val="Normal"/>
    <w:link w:val="FootnoteReference"/>
    <w:rsid w:val="009A35BC"/>
    <w:pPr>
      <w:spacing w:after="160" w:line="240" w:lineRule="exact"/>
    </w:pPr>
    <w:rPr>
      <w:sz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8213">
      <w:bodyDiv w:val="1"/>
      <w:marLeft w:val="0"/>
      <w:marRight w:val="0"/>
      <w:marTop w:val="0"/>
      <w:marBottom w:val="0"/>
      <w:divBdr>
        <w:top w:val="none" w:sz="0" w:space="0" w:color="auto"/>
        <w:left w:val="none" w:sz="0" w:space="0" w:color="auto"/>
        <w:bottom w:val="none" w:sz="0" w:space="0" w:color="auto"/>
        <w:right w:val="none" w:sz="0" w:space="0" w:color="auto"/>
      </w:divBdr>
    </w:div>
    <w:div w:id="77487579">
      <w:bodyDiv w:val="1"/>
      <w:marLeft w:val="0"/>
      <w:marRight w:val="0"/>
      <w:marTop w:val="0"/>
      <w:marBottom w:val="0"/>
      <w:divBdr>
        <w:top w:val="none" w:sz="0" w:space="0" w:color="auto"/>
        <w:left w:val="none" w:sz="0" w:space="0" w:color="auto"/>
        <w:bottom w:val="none" w:sz="0" w:space="0" w:color="auto"/>
        <w:right w:val="none" w:sz="0" w:space="0" w:color="auto"/>
      </w:divBdr>
    </w:div>
    <w:div w:id="82537549">
      <w:bodyDiv w:val="1"/>
      <w:marLeft w:val="0"/>
      <w:marRight w:val="0"/>
      <w:marTop w:val="0"/>
      <w:marBottom w:val="0"/>
      <w:divBdr>
        <w:top w:val="none" w:sz="0" w:space="0" w:color="auto"/>
        <w:left w:val="none" w:sz="0" w:space="0" w:color="auto"/>
        <w:bottom w:val="none" w:sz="0" w:space="0" w:color="auto"/>
        <w:right w:val="none" w:sz="0" w:space="0" w:color="auto"/>
      </w:divBdr>
    </w:div>
    <w:div w:id="131143579">
      <w:bodyDiv w:val="1"/>
      <w:marLeft w:val="0"/>
      <w:marRight w:val="0"/>
      <w:marTop w:val="0"/>
      <w:marBottom w:val="0"/>
      <w:divBdr>
        <w:top w:val="none" w:sz="0" w:space="0" w:color="auto"/>
        <w:left w:val="none" w:sz="0" w:space="0" w:color="auto"/>
        <w:bottom w:val="none" w:sz="0" w:space="0" w:color="auto"/>
        <w:right w:val="none" w:sz="0" w:space="0" w:color="auto"/>
      </w:divBdr>
    </w:div>
    <w:div w:id="217864920">
      <w:bodyDiv w:val="1"/>
      <w:marLeft w:val="0"/>
      <w:marRight w:val="0"/>
      <w:marTop w:val="0"/>
      <w:marBottom w:val="0"/>
      <w:divBdr>
        <w:top w:val="none" w:sz="0" w:space="0" w:color="auto"/>
        <w:left w:val="none" w:sz="0" w:space="0" w:color="auto"/>
        <w:bottom w:val="none" w:sz="0" w:space="0" w:color="auto"/>
        <w:right w:val="none" w:sz="0" w:space="0" w:color="auto"/>
      </w:divBdr>
    </w:div>
    <w:div w:id="232089573">
      <w:bodyDiv w:val="1"/>
      <w:marLeft w:val="0"/>
      <w:marRight w:val="0"/>
      <w:marTop w:val="0"/>
      <w:marBottom w:val="0"/>
      <w:divBdr>
        <w:top w:val="none" w:sz="0" w:space="0" w:color="auto"/>
        <w:left w:val="none" w:sz="0" w:space="0" w:color="auto"/>
        <w:bottom w:val="none" w:sz="0" w:space="0" w:color="auto"/>
        <w:right w:val="none" w:sz="0" w:space="0" w:color="auto"/>
      </w:divBdr>
    </w:div>
    <w:div w:id="256330319">
      <w:bodyDiv w:val="1"/>
      <w:marLeft w:val="0"/>
      <w:marRight w:val="0"/>
      <w:marTop w:val="0"/>
      <w:marBottom w:val="0"/>
      <w:divBdr>
        <w:top w:val="none" w:sz="0" w:space="0" w:color="auto"/>
        <w:left w:val="none" w:sz="0" w:space="0" w:color="auto"/>
        <w:bottom w:val="none" w:sz="0" w:space="0" w:color="auto"/>
        <w:right w:val="none" w:sz="0" w:space="0" w:color="auto"/>
      </w:divBdr>
    </w:div>
    <w:div w:id="267587405">
      <w:bodyDiv w:val="1"/>
      <w:marLeft w:val="0"/>
      <w:marRight w:val="0"/>
      <w:marTop w:val="0"/>
      <w:marBottom w:val="0"/>
      <w:divBdr>
        <w:top w:val="none" w:sz="0" w:space="0" w:color="auto"/>
        <w:left w:val="none" w:sz="0" w:space="0" w:color="auto"/>
        <w:bottom w:val="none" w:sz="0" w:space="0" w:color="auto"/>
        <w:right w:val="none" w:sz="0" w:space="0" w:color="auto"/>
      </w:divBdr>
    </w:div>
    <w:div w:id="396901614">
      <w:bodyDiv w:val="1"/>
      <w:marLeft w:val="0"/>
      <w:marRight w:val="0"/>
      <w:marTop w:val="0"/>
      <w:marBottom w:val="0"/>
      <w:divBdr>
        <w:top w:val="none" w:sz="0" w:space="0" w:color="auto"/>
        <w:left w:val="none" w:sz="0" w:space="0" w:color="auto"/>
        <w:bottom w:val="none" w:sz="0" w:space="0" w:color="auto"/>
        <w:right w:val="none" w:sz="0" w:space="0" w:color="auto"/>
      </w:divBdr>
    </w:div>
    <w:div w:id="625893720">
      <w:bodyDiv w:val="1"/>
      <w:marLeft w:val="0"/>
      <w:marRight w:val="0"/>
      <w:marTop w:val="0"/>
      <w:marBottom w:val="0"/>
      <w:divBdr>
        <w:top w:val="none" w:sz="0" w:space="0" w:color="auto"/>
        <w:left w:val="none" w:sz="0" w:space="0" w:color="auto"/>
        <w:bottom w:val="none" w:sz="0" w:space="0" w:color="auto"/>
        <w:right w:val="none" w:sz="0" w:space="0" w:color="auto"/>
      </w:divBdr>
    </w:div>
    <w:div w:id="673797170">
      <w:bodyDiv w:val="1"/>
      <w:marLeft w:val="0"/>
      <w:marRight w:val="0"/>
      <w:marTop w:val="0"/>
      <w:marBottom w:val="0"/>
      <w:divBdr>
        <w:top w:val="none" w:sz="0" w:space="0" w:color="auto"/>
        <w:left w:val="none" w:sz="0" w:space="0" w:color="auto"/>
        <w:bottom w:val="none" w:sz="0" w:space="0" w:color="auto"/>
        <w:right w:val="none" w:sz="0" w:space="0" w:color="auto"/>
      </w:divBdr>
    </w:div>
    <w:div w:id="730159440">
      <w:bodyDiv w:val="1"/>
      <w:marLeft w:val="0"/>
      <w:marRight w:val="0"/>
      <w:marTop w:val="0"/>
      <w:marBottom w:val="0"/>
      <w:divBdr>
        <w:top w:val="none" w:sz="0" w:space="0" w:color="auto"/>
        <w:left w:val="none" w:sz="0" w:space="0" w:color="auto"/>
        <w:bottom w:val="none" w:sz="0" w:space="0" w:color="auto"/>
        <w:right w:val="none" w:sz="0" w:space="0" w:color="auto"/>
      </w:divBdr>
    </w:div>
    <w:div w:id="866337600">
      <w:bodyDiv w:val="1"/>
      <w:marLeft w:val="0"/>
      <w:marRight w:val="0"/>
      <w:marTop w:val="0"/>
      <w:marBottom w:val="0"/>
      <w:divBdr>
        <w:top w:val="none" w:sz="0" w:space="0" w:color="auto"/>
        <w:left w:val="none" w:sz="0" w:space="0" w:color="auto"/>
        <w:bottom w:val="none" w:sz="0" w:space="0" w:color="auto"/>
        <w:right w:val="none" w:sz="0" w:space="0" w:color="auto"/>
      </w:divBdr>
    </w:div>
    <w:div w:id="1026905357">
      <w:bodyDiv w:val="1"/>
      <w:marLeft w:val="0"/>
      <w:marRight w:val="0"/>
      <w:marTop w:val="0"/>
      <w:marBottom w:val="0"/>
      <w:divBdr>
        <w:top w:val="none" w:sz="0" w:space="0" w:color="auto"/>
        <w:left w:val="none" w:sz="0" w:space="0" w:color="auto"/>
        <w:bottom w:val="none" w:sz="0" w:space="0" w:color="auto"/>
        <w:right w:val="none" w:sz="0" w:space="0" w:color="auto"/>
      </w:divBdr>
    </w:div>
    <w:div w:id="1171720828">
      <w:bodyDiv w:val="1"/>
      <w:marLeft w:val="0"/>
      <w:marRight w:val="0"/>
      <w:marTop w:val="0"/>
      <w:marBottom w:val="0"/>
      <w:divBdr>
        <w:top w:val="none" w:sz="0" w:space="0" w:color="auto"/>
        <w:left w:val="none" w:sz="0" w:space="0" w:color="auto"/>
        <w:bottom w:val="none" w:sz="0" w:space="0" w:color="auto"/>
        <w:right w:val="none" w:sz="0" w:space="0" w:color="auto"/>
      </w:divBdr>
    </w:div>
    <w:div w:id="1541630814">
      <w:bodyDiv w:val="1"/>
      <w:marLeft w:val="0"/>
      <w:marRight w:val="0"/>
      <w:marTop w:val="0"/>
      <w:marBottom w:val="0"/>
      <w:divBdr>
        <w:top w:val="none" w:sz="0" w:space="0" w:color="auto"/>
        <w:left w:val="none" w:sz="0" w:space="0" w:color="auto"/>
        <w:bottom w:val="none" w:sz="0" w:space="0" w:color="auto"/>
        <w:right w:val="none" w:sz="0" w:space="0" w:color="auto"/>
      </w:divBdr>
    </w:div>
    <w:div w:id="1550649628">
      <w:bodyDiv w:val="1"/>
      <w:marLeft w:val="0"/>
      <w:marRight w:val="0"/>
      <w:marTop w:val="0"/>
      <w:marBottom w:val="0"/>
      <w:divBdr>
        <w:top w:val="none" w:sz="0" w:space="0" w:color="auto"/>
        <w:left w:val="none" w:sz="0" w:space="0" w:color="auto"/>
        <w:bottom w:val="none" w:sz="0" w:space="0" w:color="auto"/>
        <w:right w:val="none" w:sz="0" w:space="0" w:color="auto"/>
      </w:divBdr>
    </w:div>
    <w:div w:id="1629042811">
      <w:bodyDiv w:val="1"/>
      <w:marLeft w:val="0"/>
      <w:marRight w:val="0"/>
      <w:marTop w:val="0"/>
      <w:marBottom w:val="0"/>
      <w:divBdr>
        <w:top w:val="none" w:sz="0" w:space="0" w:color="auto"/>
        <w:left w:val="none" w:sz="0" w:space="0" w:color="auto"/>
        <w:bottom w:val="none" w:sz="0" w:space="0" w:color="auto"/>
        <w:right w:val="none" w:sz="0" w:space="0" w:color="auto"/>
      </w:divBdr>
    </w:div>
    <w:div w:id="1761488619">
      <w:bodyDiv w:val="1"/>
      <w:marLeft w:val="0"/>
      <w:marRight w:val="0"/>
      <w:marTop w:val="0"/>
      <w:marBottom w:val="0"/>
      <w:divBdr>
        <w:top w:val="none" w:sz="0" w:space="0" w:color="auto"/>
        <w:left w:val="none" w:sz="0" w:space="0" w:color="auto"/>
        <w:bottom w:val="none" w:sz="0" w:space="0" w:color="auto"/>
        <w:right w:val="none" w:sz="0" w:space="0" w:color="auto"/>
      </w:divBdr>
    </w:div>
    <w:div w:id="1844124609">
      <w:bodyDiv w:val="1"/>
      <w:marLeft w:val="0"/>
      <w:marRight w:val="0"/>
      <w:marTop w:val="0"/>
      <w:marBottom w:val="0"/>
      <w:divBdr>
        <w:top w:val="none" w:sz="0" w:space="0" w:color="auto"/>
        <w:left w:val="none" w:sz="0" w:space="0" w:color="auto"/>
        <w:bottom w:val="none" w:sz="0" w:space="0" w:color="auto"/>
        <w:right w:val="none" w:sz="0" w:space="0" w:color="auto"/>
      </w:divBdr>
    </w:div>
    <w:div w:id="2056192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48437-6287-40DE-B22B-CD4342A43E60}">
  <ds:schemaRefs>
    <ds:schemaRef ds:uri="http://schemas.openxmlformats.org/officeDocument/2006/bibliography"/>
  </ds:schemaRefs>
</ds:datastoreItem>
</file>

<file path=customXml/itemProps2.xml><?xml version="1.0" encoding="utf-8"?>
<ds:datastoreItem xmlns:ds="http://schemas.openxmlformats.org/officeDocument/2006/customXml" ds:itemID="{63F5AA8F-B29F-42F9-BBCA-C3F87D77FEA1}"/>
</file>

<file path=customXml/itemProps3.xml><?xml version="1.0" encoding="utf-8"?>
<ds:datastoreItem xmlns:ds="http://schemas.openxmlformats.org/officeDocument/2006/customXml" ds:itemID="{7F6F0FE7-504C-4B0F-B071-3229995CC9F9}"/>
</file>

<file path=customXml/itemProps4.xml><?xml version="1.0" encoding="utf-8"?>
<ds:datastoreItem xmlns:ds="http://schemas.openxmlformats.org/officeDocument/2006/customXml" ds:itemID="{E1A1C5A6-DFDF-4F5A-81EF-D279513D2150}"/>
</file>

<file path=docProps/app.xml><?xml version="1.0" encoding="utf-8"?>
<Properties xmlns="http://schemas.openxmlformats.org/officeDocument/2006/extended-properties" xmlns:vt="http://schemas.openxmlformats.org/officeDocument/2006/docPropsVTypes">
  <Template>Normal</Template>
  <TotalTime>5</TotalTime>
  <Pages>10</Pages>
  <Words>3481</Words>
  <Characters>20125</Characters>
  <Application>Microsoft Office Word</Application>
  <DocSecurity>0</DocSecurity>
  <Lines>359</Lines>
  <Paragraphs>201</Paragraphs>
  <ScaleCrop>false</ScaleCrop>
  <HeadingPairs>
    <vt:vector size="2" baseType="variant">
      <vt:variant>
        <vt:lpstr>Title</vt:lpstr>
      </vt:variant>
      <vt:variant>
        <vt:i4>1</vt:i4>
      </vt:variant>
    </vt:vector>
  </HeadingPairs>
  <TitlesOfParts>
    <vt:vector size="1" baseType="lpstr">
      <vt:lpstr>CONVENTION de SUBVENTION TYPE - AIDES EXTERIEURES</vt:lpstr>
    </vt:vector>
  </TitlesOfParts>
  <Company>XXXXXXX</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SUBVENTION TYPE - AIDES EXTERIEURES</dc:title>
  <dc:subject/>
  <dc:creator>XXXXXXX</dc:creator>
  <cp:keywords/>
  <cp:lastModifiedBy>OTERO VEGA Yolanda (DEVCO)</cp:lastModifiedBy>
  <cp:revision>5</cp:revision>
  <cp:lastPrinted>2014-01-20T08:23:00Z</cp:lastPrinted>
  <dcterms:created xsi:type="dcterms:W3CDTF">2021-11-19T16:34:00Z</dcterms:created>
  <dcterms:modified xsi:type="dcterms:W3CDTF">2022-05-10T12:25:00Z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0x010100724FDE23FB365D4CB8B2901107175F9F</vt:lpwstr>
  </property>
</Properties>
</file>