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78340B" w14:textId="04854359" w:rsidR="00351B3E" w:rsidRPr="00AA2D39" w:rsidRDefault="00351B3E" w:rsidP="00351B3E">
      <w:pPr>
        <w:widowControl w:val="0"/>
        <w:spacing w:after="240" w:line="240" w:lineRule="auto"/>
        <w:jc w:val="center"/>
        <w:rPr>
          <w:b/>
          <w:noProof/>
          <w:color w:val="1F4E79" w:themeColor="accent1" w:themeShade="80"/>
          <w:sz w:val="28"/>
          <w:szCs w:val="28"/>
        </w:rPr>
      </w:pPr>
      <w:bookmarkStart w:id="0" w:name="_GoBack"/>
      <w:bookmarkEnd w:id="0"/>
      <w:r>
        <w:rPr>
          <w:b/>
          <w:color w:val="1F4E79" w:themeColor="accent1" w:themeShade="80"/>
          <w:sz w:val="28"/>
          <w:szCs w:val="28"/>
        </w:rPr>
        <w:t>DG INTPA</w:t>
      </w:r>
    </w:p>
    <w:p w14:paraId="6CD0CE9A" w14:textId="22292402" w:rsidR="00E606DB" w:rsidRPr="00AA2D39" w:rsidRDefault="00946C80" w:rsidP="00E606DB">
      <w:pPr>
        <w:jc w:val="center"/>
        <w:rPr>
          <w:b/>
          <w:noProof/>
          <w:color w:val="1F4E79" w:themeColor="accent1" w:themeShade="80"/>
          <w:sz w:val="28"/>
          <w:szCs w:val="28"/>
        </w:rPr>
      </w:pPr>
      <w:r>
        <w:rPr>
          <w:b/>
          <w:color w:val="1F4E79" w:themeColor="accent1" w:themeShade="80"/>
          <w:sz w:val="28"/>
          <w:szCs w:val="28"/>
        </w:rPr>
        <w:t>Partie A – Auto-évaluation des demandeurs, codemandeurs et entités affiliées sur la politique et la procédure internes de l’organisation en matière d’exploitation, d’abus et de harcèlement sexuels</w:t>
      </w:r>
    </w:p>
    <w:tbl>
      <w:tblPr>
        <w:tblStyle w:val="TableGrid1"/>
        <w:tblW w:w="14283" w:type="dxa"/>
        <w:tblLook w:val="04A0" w:firstRow="1" w:lastRow="0" w:firstColumn="1" w:lastColumn="0" w:noHBand="0" w:noVBand="1"/>
      </w:tblPr>
      <w:tblGrid>
        <w:gridCol w:w="5206"/>
        <w:gridCol w:w="1116"/>
        <w:gridCol w:w="1026"/>
        <w:gridCol w:w="1025"/>
        <w:gridCol w:w="1031"/>
        <w:gridCol w:w="1170"/>
        <w:gridCol w:w="1026"/>
        <w:gridCol w:w="2683"/>
      </w:tblGrid>
      <w:tr w:rsidR="002352F8" w:rsidRPr="0074490D" w14:paraId="040784DA" w14:textId="77777777" w:rsidTr="00E80976">
        <w:trPr>
          <w:trHeight w:val="480"/>
        </w:trPr>
        <w:tc>
          <w:tcPr>
            <w:tcW w:w="5304" w:type="dxa"/>
            <w:shd w:val="clear" w:color="auto" w:fill="2E74B5"/>
          </w:tcPr>
          <w:p w14:paraId="3A33A464" w14:textId="77777777" w:rsidR="002352F8" w:rsidRPr="0074490D" w:rsidRDefault="002352F8" w:rsidP="00E80976">
            <w:pPr>
              <w:widowControl w:val="0"/>
              <w:spacing w:before="120" w:after="120" w:line="259" w:lineRule="auto"/>
              <w:rPr>
                <w:rFonts w:ascii="Calibri" w:eastAsia="Calibri" w:hAnsi="Calibri" w:cs="Calibri"/>
                <w:b/>
                <w:noProof/>
                <w:color w:val="FFFFFF"/>
              </w:rPr>
            </w:pPr>
            <w:r>
              <w:rPr>
                <w:rFonts w:ascii="Calibri" w:hAnsi="Calibri"/>
                <w:b/>
                <w:color w:val="FFFFFF"/>
              </w:rPr>
              <w:t>Question: comment évalueriez-vous le niveau de conformité de votre organisation en ce qui concerne les éléments suivants?</w:t>
            </w:r>
          </w:p>
        </w:tc>
        <w:tc>
          <w:tcPr>
            <w:tcW w:w="1041" w:type="dxa"/>
            <w:shd w:val="clear" w:color="auto" w:fill="2E74B5"/>
          </w:tcPr>
          <w:p w14:paraId="6A3650EA" w14:textId="77777777" w:rsidR="002352F8" w:rsidRPr="0074490D" w:rsidRDefault="002352F8" w:rsidP="00E80976">
            <w:pPr>
              <w:widowControl w:val="0"/>
              <w:spacing w:before="120" w:after="120" w:line="259" w:lineRule="auto"/>
              <w:jc w:val="center"/>
              <w:rPr>
                <w:rFonts w:ascii="Calibri" w:eastAsia="Calibri" w:hAnsi="Calibri" w:cs="Calibri"/>
                <w:b/>
                <w:noProof/>
                <w:color w:val="FFFFFF"/>
              </w:rPr>
            </w:pPr>
            <w:r>
              <w:rPr>
                <w:rFonts w:ascii="Calibri" w:hAnsi="Calibri"/>
                <w:b/>
                <w:color w:val="FFFFFF"/>
              </w:rPr>
              <w:t>Excellent</w:t>
            </w:r>
          </w:p>
        </w:tc>
        <w:tc>
          <w:tcPr>
            <w:tcW w:w="1041" w:type="dxa"/>
            <w:shd w:val="clear" w:color="auto" w:fill="2E74B5"/>
          </w:tcPr>
          <w:p w14:paraId="40CB10E0" w14:textId="77777777" w:rsidR="002352F8" w:rsidRDefault="002352F8" w:rsidP="00E80976">
            <w:pPr>
              <w:widowControl w:val="0"/>
              <w:spacing w:before="120" w:after="120" w:line="259" w:lineRule="auto"/>
              <w:jc w:val="center"/>
              <w:rPr>
                <w:rFonts w:ascii="Calibri" w:eastAsia="Calibri" w:hAnsi="Calibri" w:cs="Calibri"/>
                <w:b/>
                <w:noProof/>
                <w:color w:val="FFFFFF"/>
              </w:rPr>
            </w:pPr>
            <w:r>
              <w:rPr>
                <w:rFonts w:ascii="Calibri" w:hAnsi="Calibri"/>
                <w:b/>
                <w:color w:val="FFFFFF"/>
              </w:rPr>
              <w:t>Très bon</w:t>
            </w:r>
          </w:p>
        </w:tc>
        <w:tc>
          <w:tcPr>
            <w:tcW w:w="1041" w:type="dxa"/>
            <w:shd w:val="clear" w:color="auto" w:fill="2E74B5"/>
          </w:tcPr>
          <w:p w14:paraId="4953427B" w14:textId="77777777" w:rsidR="002352F8" w:rsidRDefault="002352F8" w:rsidP="00E80976">
            <w:pPr>
              <w:widowControl w:val="0"/>
              <w:spacing w:before="120" w:after="120" w:line="259" w:lineRule="auto"/>
              <w:jc w:val="center"/>
              <w:rPr>
                <w:rFonts w:ascii="Calibri" w:eastAsia="Calibri" w:hAnsi="Calibri" w:cs="Calibri"/>
                <w:b/>
                <w:noProof/>
                <w:color w:val="FFFFFF"/>
              </w:rPr>
            </w:pPr>
            <w:r>
              <w:rPr>
                <w:rFonts w:ascii="Calibri" w:hAnsi="Calibri"/>
                <w:b/>
                <w:color w:val="FFFFFF"/>
              </w:rPr>
              <w:t>Bon</w:t>
            </w:r>
          </w:p>
        </w:tc>
        <w:tc>
          <w:tcPr>
            <w:tcW w:w="1041" w:type="dxa"/>
            <w:shd w:val="clear" w:color="auto" w:fill="2E74B5"/>
          </w:tcPr>
          <w:p w14:paraId="1A2A521C" w14:textId="77777777" w:rsidR="002352F8" w:rsidRDefault="002352F8" w:rsidP="00E80976">
            <w:pPr>
              <w:widowControl w:val="0"/>
              <w:spacing w:before="120" w:after="120" w:line="259" w:lineRule="auto"/>
              <w:jc w:val="center"/>
              <w:rPr>
                <w:rFonts w:ascii="Calibri" w:eastAsia="Calibri" w:hAnsi="Calibri" w:cs="Calibri"/>
                <w:b/>
                <w:noProof/>
                <w:color w:val="FFFFFF"/>
              </w:rPr>
            </w:pPr>
            <w:r>
              <w:rPr>
                <w:rFonts w:ascii="Calibri" w:hAnsi="Calibri"/>
                <w:b/>
                <w:color w:val="FFFFFF"/>
              </w:rPr>
              <w:t>Assez bon</w:t>
            </w:r>
          </w:p>
        </w:tc>
        <w:tc>
          <w:tcPr>
            <w:tcW w:w="1041" w:type="dxa"/>
            <w:shd w:val="clear" w:color="auto" w:fill="2E74B5"/>
          </w:tcPr>
          <w:p w14:paraId="649CC573" w14:textId="77777777" w:rsidR="002352F8" w:rsidRDefault="002352F8" w:rsidP="00E80976">
            <w:pPr>
              <w:widowControl w:val="0"/>
              <w:spacing w:before="120" w:after="120" w:line="259" w:lineRule="auto"/>
              <w:jc w:val="center"/>
              <w:rPr>
                <w:rFonts w:ascii="Calibri" w:eastAsia="Calibri" w:hAnsi="Calibri" w:cs="Calibri"/>
                <w:b/>
                <w:noProof/>
                <w:color w:val="FFFFFF"/>
              </w:rPr>
            </w:pPr>
            <w:r>
              <w:rPr>
                <w:rFonts w:ascii="Calibri" w:hAnsi="Calibri"/>
                <w:b/>
                <w:color w:val="FFFFFF"/>
              </w:rPr>
              <w:t>Médiocre</w:t>
            </w:r>
          </w:p>
        </w:tc>
        <w:tc>
          <w:tcPr>
            <w:tcW w:w="1041" w:type="dxa"/>
            <w:shd w:val="clear" w:color="auto" w:fill="2E74B5"/>
          </w:tcPr>
          <w:p w14:paraId="6D4FBF57" w14:textId="77777777" w:rsidR="002352F8" w:rsidRDefault="002352F8" w:rsidP="00E80976">
            <w:pPr>
              <w:widowControl w:val="0"/>
              <w:spacing w:before="120" w:after="120" w:line="259" w:lineRule="auto"/>
              <w:jc w:val="center"/>
              <w:rPr>
                <w:rFonts w:ascii="Calibri" w:eastAsia="Calibri" w:hAnsi="Calibri" w:cs="Calibri"/>
                <w:b/>
                <w:noProof/>
                <w:color w:val="FFFFFF"/>
              </w:rPr>
            </w:pPr>
            <w:r>
              <w:rPr>
                <w:rFonts w:ascii="Calibri" w:hAnsi="Calibri"/>
                <w:b/>
                <w:color w:val="FFFFFF"/>
              </w:rPr>
              <w:t>S.O.</w:t>
            </w:r>
          </w:p>
        </w:tc>
        <w:tc>
          <w:tcPr>
            <w:tcW w:w="2733" w:type="dxa"/>
            <w:shd w:val="clear" w:color="auto" w:fill="2E74B5"/>
          </w:tcPr>
          <w:p w14:paraId="276C6265" w14:textId="77777777" w:rsidR="002352F8" w:rsidRDefault="002352F8" w:rsidP="00E80976">
            <w:pPr>
              <w:widowControl w:val="0"/>
              <w:spacing w:before="120" w:after="120" w:line="259" w:lineRule="auto"/>
              <w:jc w:val="center"/>
              <w:rPr>
                <w:rFonts w:ascii="Calibri" w:eastAsia="Calibri" w:hAnsi="Calibri" w:cs="Calibri"/>
                <w:b/>
                <w:noProof/>
                <w:color w:val="FFFFFF"/>
              </w:rPr>
            </w:pPr>
            <w:r>
              <w:rPr>
                <w:rFonts w:ascii="Calibri" w:hAnsi="Calibri"/>
                <w:b/>
                <w:color w:val="FFFFFF"/>
              </w:rPr>
              <w:t>Remarques</w:t>
            </w:r>
          </w:p>
        </w:tc>
      </w:tr>
      <w:tr w:rsidR="002352F8" w:rsidRPr="0074490D" w14:paraId="3E6B14E3" w14:textId="77777777" w:rsidTr="00E80976">
        <w:trPr>
          <w:trHeight w:val="480"/>
        </w:trPr>
        <w:tc>
          <w:tcPr>
            <w:tcW w:w="5304" w:type="dxa"/>
            <w:shd w:val="clear" w:color="auto" w:fill="2E74B5"/>
          </w:tcPr>
          <w:p w14:paraId="2F804F9A" w14:textId="77777777" w:rsidR="002352F8" w:rsidRPr="0074490D" w:rsidRDefault="002352F8" w:rsidP="00E80976">
            <w:pPr>
              <w:widowControl w:val="0"/>
              <w:spacing w:before="120" w:after="120" w:line="259" w:lineRule="auto"/>
              <w:rPr>
                <w:rFonts w:ascii="Calibri" w:eastAsia="Calibri" w:hAnsi="Calibri" w:cs="Calibri"/>
                <w:b/>
                <w:noProof/>
                <w:color w:val="FFFFFF"/>
              </w:rPr>
            </w:pPr>
            <w:r>
              <w:rPr>
                <w:rFonts w:ascii="Calibri" w:hAnsi="Calibri"/>
                <w:b/>
                <w:color w:val="FFFFFF"/>
              </w:rPr>
              <w:t>Normes déontologiques et professionnelles</w:t>
            </w:r>
          </w:p>
        </w:tc>
        <w:tc>
          <w:tcPr>
            <w:tcW w:w="1041" w:type="dxa"/>
            <w:shd w:val="clear" w:color="auto" w:fill="2E74B5"/>
          </w:tcPr>
          <w:p w14:paraId="687A8775" w14:textId="77777777" w:rsidR="002352F8" w:rsidRPr="0074490D" w:rsidRDefault="002352F8" w:rsidP="00E80976">
            <w:pPr>
              <w:widowControl w:val="0"/>
              <w:spacing w:before="120" w:after="120" w:line="259" w:lineRule="auto"/>
              <w:rPr>
                <w:rFonts w:ascii="Calibri" w:eastAsia="Calibri" w:hAnsi="Calibri" w:cs="Calibri"/>
                <w:b/>
                <w:noProof/>
                <w:color w:val="FFFFFF"/>
                <w:lang w:val="en-IE" w:eastAsia="en-IE"/>
              </w:rPr>
            </w:pPr>
          </w:p>
        </w:tc>
        <w:tc>
          <w:tcPr>
            <w:tcW w:w="1041" w:type="dxa"/>
            <w:shd w:val="clear" w:color="auto" w:fill="2E74B5"/>
          </w:tcPr>
          <w:p w14:paraId="3FAB7C67" w14:textId="77777777" w:rsidR="002352F8" w:rsidRPr="0074490D" w:rsidRDefault="002352F8" w:rsidP="00E80976">
            <w:pPr>
              <w:widowControl w:val="0"/>
              <w:spacing w:before="120" w:after="120" w:line="259" w:lineRule="auto"/>
              <w:rPr>
                <w:rFonts w:ascii="Calibri" w:eastAsia="Calibri" w:hAnsi="Calibri" w:cs="Calibri"/>
                <w:b/>
                <w:noProof/>
                <w:color w:val="FFFFFF"/>
                <w:lang w:val="en-IE" w:eastAsia="en-IE"/>
              </w:rPr>
            </w:pPr>
          </w:p>
        </w:tc>
        <w:tc>
          <w:tcPr>
            <w:tcW w:w="1041" w:type="dxa"/>
            <w:shd w:val="clear" w:color="auto" w:fill="2E74B5"/>
          </w:tcPr>
          <w:p w14:paraId="30D060A6" w14:textId="77777777" w:rsidR="002352F8" w:rsidRPr="0074490D" w:rsidRDefault="002352F8" w:rsidP="00E80976">
            <w:pPr>
              <w:widowControl w:val="0"/>
              <w:spacing w:before="120" w:after="120" w:line="259" w:lineRule="auto"/>
              <w:rPr>
                <w:rFonts w:ascii="Calibri" w:eastAsia="Calibri" w:hAnsi="Calibri" w:cs="Calibri"/>
                <w:b/>
                <w:noProof/>
                <w:color w:val="FFFFFF"/>
                <w:lang w:val="en-IE" w:eastAsia="en-IE"/>
              </w:rPr>
            </w:pPr>
          </w:p>
        </w:tc>
        <w:tc>
          <w:tcPr>
            <w:tcW w:w="1041" w:type="dxa"/>
            <w:shd w:val="clear" w:color="auto" w:fill="2E74B5"/>
          </w:tcPr>
          <w:p w14:paraId="451882FE" w14:textId="77777777" w:rsidR="002352F8" w:rsidRPr="0074490D" w:rsidRDefault="002352F8" w:rsidP="00E80976">
            <w:pPr>
              <w:widowControl w:val="0"/>
              <w:spacing w:before="120" w:after="120" w:line="259" w:lineRule="auto"/>
              <w:rPr>
                <w:rFonts w:ascii="Calibri" w:eastAsia="Calibri" w:hAnsi="Calibri" w:cs="Calibri"/>
                <w:b/>
                <w:noProof/>
                <w:color w:val="FFFFFF"/>
                <w:lang w:val="en-IE" w:eastAsia="en-IE"/>
              </w:rPr>
            </w:pPr>
          </w:p>
        </w:tc>
        <w:tc>
          <w:tcPr>
            <w:tcW w:w="1041" w:type="dxa"/>
            <w:shd w:val="clear" w:color="auto" w:fill="2E74B5"/>
          </w:tcPr>
          <w:p w14:paraId="58661713" w14:textId="77777777" w:rsidR="002352F8" w:rsidRPr="0074490D" w:rsidRDefault="002352F8" w:rsidP="00E80976">
            <w:pPr>
              <w:widowControl w:val="0"/>
              <w:spacing w:before="120" w:after="120" w:line="259" w:lineRule="auto"/>
              <w:rPr>
                <w:rFonts w:ascii="Calibri" w:eastAsia="Calibri" w:hAnsi="Calibri" w:cs="Calibri"/>
                <w:b/>
                <w:noProof/>
                <w:color w:val="FFFFFF"/>
                <w:lang w:val="en-IE" w:eastAsia="en-IE"/>
              </w:rPr>
            </w:pPr>
          </w:p>
        </w:tc>
        <w:tc>
          <w:tcPr>
            <w:tcW w:w="1041" w:type="dxa"/>
            <w:shd w:val="clear" w:color="auto" w:fill="2E74B5"/>
          </w:tcPr>
          <w:p w14:paraId="5F9014B5" w14:textId="77777777" w:rsidR="002352F8" w:rsidRPr="0074490D" w:rsidRDefault="002352F8" w:rsidP="00E80976">
            <w:pPr>
              <w:widowControl w:val="0"/>
              <w:spacing w:before="120" w:after="120" w:line="259" w:lineRule="auto"/>
              <w:rPr>
                <w:rFonts w:ascii="Calibri" w:eastAsia="Calibri" w:hAnsi="Calibri" w:cs="Calibri"/>
                <w:b/>
                <w:noProof/>
                <w:color w:val="FFFFFF"/>
                <w:lang w:val="en-IE" w:eastAsia="en-IE"/>
              </w:rPr>
            </w:pPr>
          </w:p>
        </w:tc>
        <w:tc>
          <w:tcPr>
            <w:tcW w:w="2733" w:type="dxa"/>
            <w:shd w:val="clear" w:color="auto" w:fill="2E74B5"/>
          </w:tcPr>
          <w:p w14:paraId="357757AB" w14:textId="77777777" w:rsidR="002352F8" w:rsidRPr="0074490D" w:rsidRDefault="002352F8" w:rsidP="00E80976">
            <w:pPr>
              <w:widowControl w:val="0"/>
              <w:spacing w:before="120" w:after="120" w:line="259" w:lineRule="auto"/>
              <w:rPr>
                <w:rFonts w:ascii="Calibri" w:eastAsia="Calibri" w:hAnsi="Calibri" w:cs="Calibri"/>
                <w:b/>
                <w:noProof/>
                <w:color w:val="FFFFFF"/>
                <w:lang w:val="en-IE" w:eastAsia="en-IE"/>
              </w:rPr>
            </w:pPr>
          </w:p>
        </w:tc>
      </w:tr>
      <w:tr w:rsidR="002352F8" w:rsidRPr="0074490D" w14:paraId="33335303" w14:textId="77777777" w:rsidTr="00E80976">
        <w:tc>
          <w:tcPr>
            <w:tcW w:w="5304" w:type="dxa"/>
          </w:tcPr>
          <w:p w14:paraId="2D0D132B" w14:textId="77777777" w:rsidR="002352F8" w:rsidRDefault="002352F8" w:rsidP="002352F8">
            <w:pPr>
              <w:widowControl w:val="0"/>
              <w:numPr>
                <w:ilvl w:val="0"/>
                <w:numId w:val="3"/>
              </w:numPr>
              <w:spacing w:before="120" w:after="120"/>
              <w:ind w:left="284" w:hanging="284"/>
              <w:contextualSpacing/>
              <w:rPr>
                <w:rFonts w:ascii="Calibri" w:eastAsia="Calibri" w:hAnsi="Calibri" w:cs="Calibri"/>
                <w:noProof/>
              </w:rPr>
            </w:pPr>
            <w:r>
              <w:rPr>
                <w:rFonts w:ascii="Calibri" w:hAnsi="Calibri"/>
              </w:rPr>
              <w:t>L’organisation a mis en place une politique et des procédures en matière d’exploitation, d’abus et de harcèlement sexuels.</w:t>
            </w:r>
          </w:p>
          <w:p w14:paraId="69A53621" w14:textId="77777777" w:rsidR="002352F8" w:rsidRPr="0074490D" w:rsidRDefault="002352F8" w:rsidP="00E80976">
            <w:pPr>
              <w:widowControl w:val="0"/>
              <w:spacing w:before="120" w:after="120"/>
              <w:ind w:left="284"/>
              <w:contextualSpacing/>
              <w:rPr>
                <w:rFonts w:ascii="Calibri" w:eastAsia="Calibri" w:hAnsi="Calibri" w:cs="Calibri"/>
                <w:noProof/>
                <w:lang w:eastAsia="en-IE"/>
              </w:rPr>
            </w:pPr>
          </w:p>
        </w:tc>
        <w:tc>
          <w:tcPr>
            <w:tcW w:w="1041" w:type="dxa"/>
          </w:tcPr>
          <w:p w14:paraId="021A8435" w14:textId="77777777" w:rsidR="002352F8" w:rsidRPr="0074490D" w:rsidRDefault="002352F8" w:rsidP="00E80976">
            <w:pPr>
              <w:widowControl w:val="0"/>
              <w:spacing w:before="120" w:after="120"/>
              <w:contextualSpacing/>
              <w:rPr>
                <w:rFonts w:ascii="Calibri" w:eastAsia="Calibri" w:hAnsi="Calibri" w:cs="Calibri"/>
              </w:rPr>
            </w:pPr>
          </w:p>
        </w:tc>
        <w:tc>
          <w:tcPr>
            <w:tcW w:w="1041" w:type="dxa"/>
          </w:tcPr>
          <w:p w14:paraId="4E4E8E2A" w14:textId="77777777" w:rsidR="002352F8" w:rsidRPr="0074490D" w:rsidRDefault="002352F8" w:rsidP="00E80976">
            <w:pPr>
              <w:widowControl w:val="0"/>
              <w:spacing w:before="120" w:after="120"/>
              <w:contextualSpacing/>
              <w:rPr>
                <w:rFonts w:ascii="Calibri" w:eastAsia="Calibri" w:hAnsi="Calibri" w:cs="Calibri"/>
              </w:rPr>
            </w:pPr>
          </w:p>
        </w:tc>
        <w:tc>
          <w:tcPr>
            <w:tcW w:w="1041" w:type="dxa"/>
          </w:tcPr>
          <w:p w14:paraId="36B0C1D8" w14:textId="77777777" w:rsidR="002352F8" w:rsidRPr="0074490D" w:rsidRDefault="002352F8" w:rsidP="00E80976">
            <w:pPr>
              <w:widowControl w:val="0"/>
              <w:spacing w:before="120" w:after="120"/>
              <w:contextualSpacing/>
              <w:rPr>
                <w:rFonts w:ascii="Calibri" w:eastAsia="Calibri" w:hAnsi="Calibri" w:cs="Calibri"/>
              </w:rPr>
            </w:pPr>
          </w:p>
        </w:tc>
        <w:tc>
          <w:tcPr>
            <w:tcW w:w="1041" w:type="dxa"/>
          </w:tcPr>
          <w:p w14:paraId="36094B1E" w14:textId="77777777" w:rsidR="002352F8" w:rsidRPr="0074490D" w:rsidRDefault="002352F8" w:rsidP="00E80976">
            <w:pPr>
              <w:widowControl w:val="0"/>
              <w:spacing w:before="120" w:after="120"/>
              <w:contextualSpacing/>
              <w:rPr>
                <w:rFonts w:ascii="Calibri" w:eastAsia="Calibri" w:hAnsi="Calibri" w:cs="Calibri"/>
              </w:rPr>
            </w:pPr>
          </w:p>
        </w:tc>
        <w:tc>
          <w:tcPr>
            <w:tcW w:w="1041" w:type="dxa"/>
          </w:tcPr>
          <w:p w14:paraId="1D939AF6" w14:textId="77777777" w:rsidR="002352F8" w:rsidRPr="0074490D" w:rsidRDefault="002352F8" w:rsidP="00E80976">
            <w:pPr>
              <w:widowControl w:val="0"/>
              <w:spacing w:before="120" w:after="120"/>
              <w:contextualSpacing/>
              <w:rPr>
                <w:rFonts w:ascii="Calibri" w:eastAsia="Calibri" w:hAnsi="Calibri" w:cs="Calibri"/>
              </w:rPr>
            </w:pPr>
          </w:p>
        </w:tc>
        <w:tc>
          <w:tcPr>
            <w:tcW w:w="1041" w:type="dxa"/>
          </w:tcPr>
          <w:p w14:paraId="42AC99C5" w14:textId="77777777" w:rsidR="002352F8" w:rsidRPr="0074490D" w:rsidRDefault="002352F8" w:rsidP="00E80976">
            <w:pPr>
              <w:widowControl w:val="0"/>
              <w:spacing w:before="120" w:after="120"/>
              <w:contextualSpacing/>
              <w:rPr>
                <w:rFonts w:ascii="Calibri" w:eastAsia="Calibri" w:hAnsi="Calibri" w:cs="Calibri"/>
              </w:rPr>
            </w:pPr>
          </w:p>
        </w:tc>
        <w:tc>
          <w:tcPr>
            <w:tcW w:w="2733" w:type="dxa"/>
          </w:tcPr>
          <w:p w14:paraId="72940290" w14:textId="77777777" w:rsidR="002352F8" w:rsidRPr="0074490D" w:rsidRDefault="002352F8" w:rsidP="00E80976">
            <w:pPr>
              <w:widowControl w:val="0"/>
              <w:spacing w:before="120" w:after="120"/>
              <w:contextualSpacing/>
              <w:rPr>
                <w:rFonts w:ascii="Calibri" w:eastAsia="Calibri" w:hAnsi="Calibri" w:cs="Calibri"/>
              </w:rPr>
            </w:pPr>
          </w:p>
        </w:tc>
      </w:tr>
      <w:tr w:rsidR="002352F8" w:rsidRPr="0074490D" w14:paraId="598F33F9" w14:textId="77777777" w:rsidTr="00E80976">
        <w:tc>
          <w:tcPr>
            <w:tcW w:w="5304" w:type="dxa"/>
            <w:tcBorders>
              <w:bottom w:val="single" w:sz="4" w:space="0" w:color="auto"/>
            </w:tcBorders>
          </w:tcPr>
          <w:p w14:paraId="530467F1" w14:textId="6F69ACF4" w:rsidR="002352F8" w:rsidRDefault="002352F8" w:rsidP="002352F8">
            <w:pPr>
              <w:widowControl w:val="0"/>
              <w:numPr>
                <w:ilvl w:val="0"/>
                <w:numId w:val="3"/>
              </w:numPr>
              <w:spacing w:before="120" w:after="120"/>
              <w:ind w:left="284" w:hanging="284"/>
              <w:contextualSpacing/>
              <w:rPr>
                <w:rFonts w:ascii="Calibri" w:eastAsia="Calibri" w:hAnsi="Calibri" w:cs="Calibri"/>
              </w:rPr>
            </w:pPr>
            <w:r>
              <w:rPr>
                <w:rFonts w:ascii="Calibri" w:hAnsi="Calibri"/>
              </w:rPr>
              <w:t>La politique et les procédures en matière d’exploitation, d’abus et de harcèlement sexuels contiennent des précisions sur les dispositions relatives aux enquêtes et aux sanctions disciplinaires en cas d’infraction conformément au droit applicable, y compris des décisions de gestion et des enquêtes.</w:t>
            </w:r>
          </w:p>
          <w:p w14:paraId="6B1457D3" w14:textId="77777777" w:rsidR="002352F8" w:rsidRPr="0074490D" w:rsidRDefault="002352F8" w:rsidP="00E80976">
            <w:pPr>
              <w:widowControl w:val="0"/>
              <w:spacing w:before="120" w:after="120"/>
              <w:ind w:left="284"/>
              <w:contextualSpacing/>
              <w:rPr>
                <w:rFonts w:ascii="Calibri" w:eastAsia="Calibri" w:hAnsi="Calibri" w:cs="Calibri"/>
              </w:rPr>
            </w:pPr>
          </w:p>
        </w:tc>
        <w:tc>
          <w:tcPr>
            <w:tcW w:w="1041" w:type="dxa"/>
            <w:tcBorders>
              <w:bottom w:val="single" w:sz="4" w:space="0" w:color="auto"/>
            </w:tcBorders>
          </w:tcPr>
          <w:p w14:paraId="067A1A3D" w14:textId="77777777" w:rsidR="002352F8" w:rsidRPr="0074490D" w:rsidRDefault="002352F8" w:rsidP="00E80976">
            <w:pPr>
              <w:widowControl w:val="0"/>
              <w:spacing w:before="120" w:after="120"/>
              <w:contextualSpacing/>
              <w:rPr>
                <w:rFonts w:ascii="Calibri" w:eastAsia="Calibri" w:hAnsi="Calibri" w:cs="Calibri"/>
              </w:rPr>
            </w:pPr>
          </w:p>
        </w:tc>
        <w:tc>
          <w:tcPr>
            <w:tcW w:w="1041" w:type="dxa"/>
            <w:tcBorders>
              <w:bottom w:val="single" w:sz="4" w:space="0" w:color="auto"/>
            </w:tcBorders>
          </w:tcPr>
          <w:p w14:paraId="154D4EE2" w14:textId="77777777" w:rsidR="002352F8" w:rsidRPr="0074490D" w:rsidRDefault="002352F8" w:rsidP="00E80976">
            <w:pPr>
              <w:widowControl w:val="0"/>
              <w:spacing w:before="120" w:after="120"/>
              <w:contextualSpacing/>
              <w:rPr>
                <w:rFonts w:ascii="Calibri" w:eastAsia="Calibri" w:hAnsi="Calibri" w:cs="Calibri"/>
              </w:rPr>
            </w:pPr>
          </w:p>
        </w:tc>
        <w:tc>
          <w:tcPr>
            <w:tcW w:w="1041" w:type="dxa"/>
            <w:tcBorders>
              <w:bottom w:val="single" w:sz="4" w:space="0" w:color="auto"/>
            </w:tcBorders>
          </w:tcPr>
          <w:p w14:paraId="51D7FAD5" w14:textId="77777777" w:rsidR="002352F8" w:rsidRPr="0074490D" w:rsidRDefault="002352F8" w:rsidP="00E80976">
            <w:pPr>
              <w:widowControl w:val="0"/>
              <w:spacing w:before="120" w:after="120"/>
              <w:contextualSpacing/>
              <w:rPr>
                <w:rFonts w:ascii="Calibri" w:eastAsia="Calibri" w:hAnsi="Calibri" w:cs="Calibri"/>
              </w:rPr>
            </w:pPr>
          </w:p>
        </w:tc>
        <w:tc>
          <w:tcPr>
            <w:tcW w:w="1041" w:type="dxa"/>
            <w:tcBorders>
              <w:bottom w:val="single" w:sz="4" w:space="0" w:color="auto"/>
            </w:tcBorders>
          </w:tcPr>
          <w:p w14:paraId="65BEA933" w14:textId="77777777" w:rsidR="002352F8" w:rsidRPr="0074490D" w:rsidRDefault="002352F8" w:rsidP="00E80976">
            <w:pPr>
              <w:widowControl w:val="0"/>
              <w:spacing w:before="120" w:after="120"/>
              <w:contextualSpacing/>
              <w:rPr>
                <w:rFonts w:ascii="Calibri" w:eastAsia="Calibri" w:hAnsi="Calibri" w:cs="Calibri"/>
              </w:rPr>
            </w:pPr>
          </w:p>
        </w:tc>
        <w:tc>
          <w:tcPr>
            <w:tcW w:w="1041" w:type="dxa"/>
            <w:tcBorders>
              <w:bottom w:val="single" w:sz="4" w:space="0" w:color="auto"/>
            </w:tcBorders>
          </w:tcPr>
          <w:p w14:paraId="5E6DF1FA" w14:textId="77777777" w:rsidR="002352F8" w:rsidRPr="0074490D" w:rsidRDefault="002352F8" w:rsidP="00E80976">
            <w:pPr>
              <w:widowControl w:val="0"/>
              <w:spacing w:before="120" w:after="120"/>
              <w:contextualSpacing/>
              <w:rPr>
                <w:rFonts w:ascii="Calibri" w:eastAsia="Calibri" w:hAnsi="Calibri" w:cs="Calibri"/>
              </w:rPr>
            </w:pPr>
          </w:p>
        </w:tc>
        <w:tc>
          <w:tcPr>
            <w:tcW w:w="1041" w:type="dxa"/>
            <w:tcBorders>
              <w:bottom w:val="single" w:sz="4" w:space="0" w:color="auto"/>
            </w:tcBorders>
          </w:tcPr>
          <w:p w14:paraId="3AE8E59A" w14:textId="77777777" w:rsidR="002352F8" w:rsidRPr="0074490D" w:rsidRDefault="002352F8" w:rsidP="00E80976">
            <w:pPr>
              <w:widowControl w:val="0"/>
              <w:spacing w:before="120" w:after="120"/>
              <w:contextualSpacing/>
              <w:rPr>
                <w:rFonts w:ascii="Calibri" w:eastAsia="Calibri" w:hAnsi="Calibri" w:cs="Calibri"/>
              </w:rPr>
            </w:pPr>
          </w:p>
        </w:tc>
        <w:tc>
          <w:tcPr>
            <w:tcW w:w="2733" w:type="dxa"/>
            <w:tcBorders>
              <w:bottom w:val="single" w:sz="4" w:space="0" w:color="auto"/>
            </w:tcBorders>
          </w:tcPr>
          <w:p w14:paraId="13BD205C" w14:textId="77777777" w:rsidR="002352F8" w:rsidRPr="0074490D" w:rsidRDefault="002352F8" w:rsidP="00E80976">
            <w:pPr>
              <w:widowControl w:val="0"/>
              <w:spacing w:before="120" w:after="120"/>
              <w:contextualSpacing/>
              <w:rPr>
                <w:rFonts w:ascii="Calibri" w:eastAsia="Calibri" w:hAnsi="Calibri" w:cs="Calibri"/>
              </w:rPr>
            </w:pPr>
          </w:p>
        </w:tc>
      </w:tr>
      <w:tr w:rsidR="002352F8" w:rsidRPr="0074490D" w14:paraId="30E92AFB" w14:textId="77777777" w:rsidTr="00E80976">
        <w:trPr>
          <w:trHeight w:val="480"/>
        </w:trPr>
        <w:tc>
          <w:tcPr>
            <w:tcW w:w="5304" w:type="dxa"/>
            <w:shd w:val="clear" w:color="auto" w:fill="2E74B5"/>
          </w:tcPr>
          <w:p w14:paraId="65C9CD64" w14:textId="77777777" w:rsidR="002352F8" w:rsidRPr="0074490D" w:rsidRDefault="002352F8" w:rsidP="00E80976">
            <w:pPr>
              <w:widowControl w:val="0"/>
              <w:spacing w:before="120" w:after="120" w:line="259" w:lineRule="auto"/>
              <w:rPr>
                <w:rFonts w:ascii="Calibri" w:eastAsia="Calibri" w:hAnsi="Calibri" w:cs="Calibri"/>
                <w:b/>
                <w:noProof/>
                <w:color w:val="FFFFFF"/>
              </w:rPr>
            </w:pPr>
            <w:r>
              <w:rPr>
                <w:b/>
                <w:color w:val="FFFFFF" w:themeColor="background1"/>
              </w:rPr>
              <w:t>Approche axée sur les victimes</w:t>
            </w:r>
          </w:p>
        </w:tc>
        <w:tc>
          <w:tcPr>
            <w:tcW w:w="1041" w:type="dxa"/>
            <w:shd w:val="clear" w:color="auto" w:fill="2E74B5"/>
          </w:tcPr>
          <w:p w14:paraId="09D971CA" w14:textId="77777777" w:rsidR="002352F8" w:rsidRPr="006C73DA" w:rsidRDefault="002352F8" w:rsidP="00E80976">
            <w:pPr>
              <w:widowControl w:val="0"/>
              <w:spacing w:before="120" w:after="120" w:line="259" w:lineRule="auto"/>
              <w:rPr>
                <w:rFonts w:ascii="Calibri" w:eastAsia="Calibri" w:hAnsi="Calibri" w:cs="Calibri"/>
                <w:b/>
                <w:noProof/>
                <w:color w:val="FFFFFF"/>
                <w:lang w:val="fr-BE" w:eastAsia="en-IE"/>
              </w:rPr>
            </w:pPr>
          </w:p>
        </w:tc>
        <w:tc>
          <w:tcPr>
            <w:tcW w:w="1041" w:type="dxa"/>
            <w:shd w:val="clear" w:color="auto" w:fill="2E74B5"/>
          </w:tcPr>
          <w:p w14:paraId="75EEFA8B" w14:textId="77777777" w:rsidR="002352F8" w:rsidRPr="006C73DA" w:rsidRDefault="002352F8" w:rsidP="00E80976">
            <w:pPr>
              <w:widowControl w:val="0"/>
              <w:spacing w:before="120" w:after="120" w:line="259" w:lineRule="auto"/>
              <w:rPr>
                <w:rFonts w:ascii="Calibri" w:eastAsia="Calibri" w:hAnsi="Calibri" w:cs="Calibri"/>
                <w:b/>
                <w:noProof/>
                <w:color w:val="FFFFFF"/>
                <w:lang w:val="fr-BE" w:eastAsia="en-IE"/>
              </w:rPr>
            </w:pPr>
          </w:p>
        </w:tc>
        <w:tc>
          <w:tcPr>
            <w:tcW w:w="1041" w:type="dxa"/>
            <w:shd w:val="clear" w:color="auto" w:fill="2E74B5"/>
          </w:tcPr>
          <w:p w14:paraId="6C0E8E1F" w14:textId="77777777" w:rsidR="002352F8" w:rsidRPr="006C73DA" w:rsidRDefault="002352F8" w:rsidP="00E80976">
            <w:pPr>
              <w:widowControl w:val="0"/>
              <w:spacing w:before="120" w:after="120" w:line="259" w:lineRule="auto"/>
              <w:rPr>
                <w:rFonts w:ascii="Calibri" w:eastAsia="Calibri" w:hAnsi="Calibri" w:cs="Calibri"/>
                <w:b/>
                <w:noProof/>
                <w:color w:val="FFFFFF"/>
                <w:lang w:val="fr-BE" w:eastAsia="en-IE"/>
              </w:rPr>
            </w:pPr>
          </w:p>
        </w:tc>
        <w:tc>
          <w:tcPr>
            <w:tcW w:w="1041" w:type="dxa"/>
            <w:shd w:val="clear" w:color="auto" w:fill="2E74B5"/>
          </w:tcPr>
          <w:p w14:paraId="056F1D32" w14:textId="77777777" w:rsidR="002352F8" w:rsidRPr="006C73DA" w:rsidRDefault="002352F8" w:rsidP="00E80976">
            <w:pPr>
              <w:widowControl w:val="0"/>
              <w:spacing w:before="120" w:after="120" w:line="259" w:lineRule="auto"/>
              <w:rPr>
                <w:rFonts w:ascii="Calibri" w:eastAsia="Calibri" w:hAnsi="Calibri" w:cs="Calibri"/>
                <w:b/>
                <w:noProof/>
                <w:color w:val="FFFFFF"/>
                <w:lang w:val="fr-BE" w:eastAsia="en-IE"/>
              </w:rPr>
            </w:pPr>
          </w:p>
        </w:tc>
        <w:tc>
          <w:tcPr>
            <w:tcW w:w="1041" w:type="dxa"/>
            <w:shd w:val="clear" w:color="auto" w:fill="2E74B5"/>
          </w:tcPr>
          <w:p w14:paraId="12BFCA3A" w14:textId="77777777" w:rsidR="002352F8" w:rsidRPr="006C73DA" w:rsidRDefault="002352F8" w:rsidP="00E80976">
            <w:pPr>
              <w:widowControl w:val="0"/>
              <w:spacing w:before="120" w:after="120" w:line="259" w:lineRule="auto"/>
              <w:rPr>
                <w:rFonts w:ascii="Calibri" w:eastAsia="Calibri" w:hAnsi="Calibri" w:cs="Calibri"/>
                <w:b/>
                <w:noProof/>
                <w:color w:val="FFFFFF"/>
                <w:lang w:val="fr-BE" w:eastAsia="en-IE"/>
              </w:rPr>
            </w:pPr>
          </w:p>
        </w:tc>
        <w:tc>
          <w:tcPr>
            <w:tcW w:w="1041" w:type="dxa"/>
            <w:shd w:val="clear" w:color="auto" w:fill="2E74B5"/>
          </w:tcPr>
          <w:p w14:paraId="62BDDC59" w14:textId="77777777" w:rsidR="002352F8" w:rsidRPr="006C73DA" w:rsidRDefault="002352F8" w:rsidP="00E80976">
            <w:pPr>
              <w:widowControl w:val="0"/>
              <w:spacing w:before="120" w:after="120" w:line="259" w:lineRule="auto"/>
              <w:rPr>
                <w:rFonts w:ascii="Calibri" w:eastAsia="Calibri" w:hAnsi="Calibri" w:cs="Calibri"/>
                <w:b/>
                <w:noProof/>
                <w:color w:val="FFFFFF"/>
                <w:lang w:val="fr-BE" w:eastAsia="en-IE"/>
              </w:rPr>
            </w:pPr>
          </w:p>
        </w:tc>
        <w:tc>
          <w:tcPr>
            <w:tcW w:w="2733" w:type="dxa"/>
            <w:shd w:val="clear" w:color="auto" w:fill="2E74B5"/>
          </w:tcPr>
          <w:p w14:paraId="28BB34E6" w14:textId="77777777" w:rsidR="002352F8" w:rsidRPr="006C73DA" w:rsidRDefault="002352F8" w:rsidP="00E80976">
            <w:pPr>
              <w:widowControl w:val="0"/>
              <w:spacing w:before="120" w:after="120" w:line="259" w:lineRule="auto"/>
              <w:rPr>
                <w:rFonts w:ascii="Calibri" w:eastAsia="Calibri" w:hAnsi="Calibri" w:cs="Calibri"/>
                <w:b/>
                <w:noProof/>
                <w:color w:val="FFFFFF"/>
                <w:lang w:val="fr-BE" w:eastAsia="en-IE"/>
              </w:rPr>
            </w:pPr>
          </w:p>
        </w:tc>
      </w:tr>
      <w:tr w:rsidR="002352F8" w:rsidRPr="0074490D" w14:paraId="0EFB9C12" w14:textId="77777777" w:rsidTr="00E80976">
        <w:tc>
          <w:tcPr>
            <w:tcW w:w="5304" w:type="dxa"/>
          </w:tcPr>
          <w:p w14:paraId="7C22A756" w14:textId="77777777" w:rsidR="002352F8" w:rsidRPr="0074490D" w:rsidRDefault="002352F8" w:rsidP="002352F8">
            <w:pPr>
              <w:widowControl w:val="0"/>
              <w:numPr>
                <w:ilvl w:val="0"/>
                <w:numId w:val="3"/>
              </w:numPr>
              <w:spacing w:before="120" w:after="120"/>
              <w:ind w:left="284" w:hanging="284"/>
              <w:contextualSpacing/>
              <w:rPr>
                <w:rFonts w:ascii="Calibri" w:eastAsia="Calibri" w:hAnsi="Calibri" w:cs="Calibri"/>
              </w:rPr>
            </w:pPr>
            <w:r>
              <w:t xml:space="preserve">L’organisation suit une approche centrée sur les victimes, dans laquelle les expériences, les droits et les besoins des victimes sont au </w:t>
            </w:r>
            <w:r>
              <w:lastRenderedPageBreak/>
              <w:t>centre, et pris en considération tout au long du processus.</w:t>
            </w:r>
          </w:p>
          <w:p w14:paraId="587A8B5F" w14:textId="77777777" w:rsidR="002352F8" w:rsidRPr="0074490D" w:rsidRDefault="002352F8" w:rsidP="00E80976">
            <w:pPr>
              <w:widowControl w:val="0"/>
              <w:spacing w:before="120" w:after="120"/>
              <w:ind w:left="284"/>
              <w:contextualSpacing/>
              <w:rPr>
                <w:rFonts w:ascii="Calibri" w:eastAsia="Calibri" w:hAnsi="Calibri" w:cs="Calibri"/>
              </w:rPr>
            </w:pPr>
          </w:p>
        </w:tc>
        <w:tc>
          <w:tcPr>
            <w:tcW w:w="1041" w:type="dxa"/>
          </w:tcPr>
          <w:p w14:paraId="7041A289" w14:textId="77777777" w:rsidR="002352F8" w:rsidRPr="0074490D" w:rsidRDefault="002352F8" w:rsidP="00E80976">
            <w:pPr>
              <w:widowControl w:val="0"/>
              <w:spacing w:before="120" w:after="120"/>
              <w:contextualSpacing/>
              <w:rPr>
                <w:rFonts w:ascii="Calibri" w:eastAsia="Calibri" w:hAnsi="Calibri" w:cs="Calibri"/>
              </w:rPr>
            </w:pPr>
          </w:p>
        </w:tc>
        <w:tc>
          <w:tcPr>
            <w:tcW w:w="1041" w:type="dxa"/>
          </w:tcPr>
          <w:p w14:paraId="2105589C" w14:textId="77777777" w:rsidR="002352F8" w:rsidRPr="0074490D" w:rsidRDefault="002352F8" w:rsidP="00E80976">
            <w:pPr>
              <w:widowControl w:val="0"/>
              <w:spacing w:before="120" w:after="120"/>
              <w:contextualSpacing/>
              <w:rPr>
                <w:rFonts w:ascii="Calibri" w:eastAsia="Calibri" w:hAnsi="Calibri" w:cs="Calibri"/>
              </w:rPr>
            </w:pPr>
          </w:p>
        </w:tc>
        <w:tc>
          <w:tcPr>
            <w:tcW w:w="1041" w:type="dxa"/>
          </w:tcPr>
          <w:p w14:paraId="65250F71" w14:textId="77777777" w:rsidR="002352F8" w:rsidRPr="0074490D" w:rsidRDefault="002352F8" w:rsidP="00E80976">
            <w:pPr>
              <w:widowControl w:val="0"/>
              <w:spacing w:before="120" w:after="120"/>
              <w:contextualSpacing/>
              <w:rPr>
                <w:rFonts w:ascii="Calibri" w:eastAsia="Calibri" w:hAnsi="Calibri" w:cs="Calibri"/>
              </w:rPr>
            </w:pPr>
          </w:p>
        </w:tc>
        <w:tc>
          <w:tcPr>
            <w:tcW w:w="1041" w:type="dxa"/>
          </w:tcPr>
          <w:p w14:paraId="59CE59C9" w14:textId="77777777" w:rsidR="002352F8" w:rsidRPr="0074490D" w:rsidRDefault="002352F8" w:rsidP="00E80976">
            <w:pPr>
              <w:widowControl w:val="0"/>
              <w:spacing w:before="120" w:after="120"/>
              <w:contextualSpacing/>
              <w:rPr>
                <w:rFonts w:ascii="Calibri" w:eastAsia="Calibri" w:hAnsi="Calibri" w:cs="Calibri"/>
              </w:rPr>
            </w:pPr>
          </w:p>
        </w:tc>
        <w:tc>
          <w:tcPr>
            <w:tcW w:w="1041" w:type="dxa"/>
          </w:tcPr>
          <w:p w14:paraId="5C5757E6" w14:textId="77777777" w:rsidR="002352F8" w:rsidRPr="0074490D" w:rsidRDefault="002352F8" w:rsidP="00E80976">
            <w:pPr>
              <w:widowControl w:val="0"/>
              <w:spacing w:before="120" w:after="120"/>
              <w:contextualSpacing/>
              <w:rPr>
                <w:rFonts w:ascii="Calibri" w:eastAsia="Calibri" w:hAnsi="Calibri" w:cs="Calibri"/>
              </w:rPr>
            </w:pPr>
          </w:p>
        </w:tc>
        <w:tc>
          <w:tcPr>
            <w:tcW w:w="1041" w:type="dxa"/>
          </w:tcPr>
          <w:p w14:paraId="1DD3F144" w14:textId="77777777" w:rsidR="002352F8" w:rsidRPr="0074490D" w:rsidRDefault="002352F8" w:rsidP="00E80976">
            <w:pPr>
              <w:widowControl w:val="0"/>
              <w:spacing w:before="120" w:after="120"/>
              <w:contextualSpacing/>
              <w:rPr>
                <w:rFonts w:ascii="Calibri" w:eastAsia="Calibri" w:hAnsi="Calibri" w:cs="Calibri"/>
              </w:rPr>
            </w:pPr>
          </w:p>
        </w:tc>
        <w:tc>
          <w:tcPr>
            <w:tcW w:w="2733" w:type="dxa"/>
          </w:tcPr>
          <w:p w14:paraId="66DB87F4" w14:textId="77777777" w:rsidR="002352F8" w:rsidRPr="0074490D" w:rsidRDefault="002352F8" w:rsidP="00E80976">
            <w:pPr>
              <w:widowControl w:val="0"/>
              <w:spacing w:before="120" w:after="120"/>
              <w:contextualSpacing/>
              <w:rPr>
                <w:rFonts w:ascii="Calibri" w:eastAsia="Calibri" w:hAnsi="Calibri" w:cs="Calibri"/>
              </w:rPr>
            </w:pPr>
          </w:p>
        </w:tc>
      </w:tr>
      <w:tr w:rsidR="002352F8" w:rsidRPr="0074490D" w14:paraId="3C9E4973" w14:textId="77777777" w:rsidTr="00E80976">
        <w:tc>
          <w:tcPr>
            <w:tcW w:w="5304" w:type="dxa"/>
          </w:tcPr>
          <w:p w14:paraId="659F1EC0" w14:textId="7698C869" w:rsidR="002352F8" w:rsidRDefault="002352F8" w:rsidP="00516CA0">
            <w:pPr>
              <w:widowControl w:val="0"/>
              <w:numPr>
                <w:ilvl w:val="0"/>
                <w:numId w:val="3"/>
              </w:numPr>
              <w:spacing w:before="120" w:after="120"/>
              <w:contextualSpacing/>
              <w:rPr>
                <w:rFonts w:cstheme="minorHAnsi"/>
              </w:rPr>
            </w:pPr>
            <w:r>
              <w:t>L’organisation dispose d’un point de contact en matière d’exploitation, d’abus et de harcèlement sexuels (dont les tâches sont les suivantes:  - prévention en matière d’exploitation, d’abus et de harcèlement sexuels, - réponse aux besoins de la victime, - fonction de signalement interne).</w:t>
            </w:r>
          </w:p>
          <w:p w14:paraId="246B9F24" w14:textId="77777777" w:rsidR="002352F8" w:rsidRPr="00AA2D39" w:rsidRDefault="002352F8" w:rsidP="00E80976">
            <w:pPr>
              <w:widowControl w:val="0"/>
              <w:spacing w:before="120" w:after="120"/>
              <w:ind w:left="284"/>
              <w:contextualSpacing/>
              <w:rPr>
                <w:rFonts w:cstheme="minorHAnsi"/>
              </w:rPr>
            </w:pPr>
          </w:p>
        </w:tc>
        <w:tc>
          <w:tcPr>
            <w:tcW w:w="1041" w:type="dxa"/>
          </w:tcPr>
          <w:p w14:paraId="4FC4F76D" w14:textId="77777777" w:rsidR="002352F8" w:rsidRPr="0074490D" w:rsidRDefault="002352F8" w:rsidP="00E80976">
            <w:pPr>
              <w:widowControl w:val="0"/>
              <w:spacing w:before="120" w:after="120"/>
              <w:contextualSpacing/>
              <w:rPr>
                <w:rFonts w:ascii="Calibri" w:eastAsia="Calibri" w:hAnsi="Calibri" w:cs="Calibri"/>
              </w:rPr>
            </w:pPr>
          </w:p>
        </w:tc>
        <w:tc>
          <w:tcPr>
            <w:tcW w:w="1041" w:type="dxa"/>
          </w:tcPr>
          <w:p w14:paraId="5254F826" w14:textId="77777777" w:rsidR="002352F8" w:rsidRPr="0074490D" w:rsidRDefault="002352F8" w:rsidP="00E80976">
            <w:pPr>
              <w:widowControl w:val="0"/>
              <w:spacing w:before="120" w:after="120"/>
              <w:contextualSpacing/>
              <w:rPr>
                <w:rFonts w:ascii="Calibri" w:eastAsia="Calibri" w:hAnsi="Calibri" w:cs="Calibri"/>
              </w:rPr>
            </w:pPr>
          </w:p>
        </w:tc>
        <w:tc>
          <w:tcPr>
            <w:tcW w:w="1041" w:type="dxa"/>
          </w:tcPr>
          <w:p w14:paraId="20C0A4B2" w14:textId="77777777" w:rsidR="002352F8" w:rsidRPr="0074490D" w:rsidRDefault="002352F8" w:rsidP="00E80976">
            <w:pPr>
              <w:widowControl w:val="0"/>
              <w:spacing w:before="120" w:after="120"/>
              <w:contextualSpacing/>
              <w:rPr>
                <w:rFonts w:ascii="Calibri" w:eastAsia="Calibri" w:hAnsi="Calibri" w:cs="Calibri"/>
              </w:rPr>
            </w:pPr>
          </w:p>
        </w:tc>
        <w:tc>
          <w:tcPr>
            <w:tcW w:w="1041" w:type="dxa"/>
          </w:tcPr>
          <w:p w14:paraId="197B00CE" w14:textId="77777777" w:rsidR="002352F8" w:rsidRPr="0074490D" w:rsidRDefault="002352F8" w:rsidP="00E80976">
            <w:pPr>
              <w:widowControl w:val="0"/>
              <w:spacing w:before="120" w:after="120"/>
              <w:contextualSpacing/>
              <w:rPr>
                <w:rFonts w:ascii="Calibri" w:eastAsia="Calibri" w:hAnsi="Calibri" w:cs="Calibri"/>
              </w:rPr>
            </w:pPr>
          </w:p>
        </w:tc>
        <w:tc>
          <w:tcPr>
            <w:tcW w:w="1041" w:type="dxa"/>
          </w:tcPr>
          <w:p w14:paraId="1EDAA4E5" w14:textId="77777777" w:rsidR="002352F8" w:rsidRPr="0074490D" w:rsidRDefault="002352F8" w:rsidP="00E80976">
            <w:pPr>
              <w:widowControl w:val="0"/>
              <w:spacing w:before="120" w:after="120"/>
              <w:contextualSpacing/>
              <w:rPr>
                <w:rFonts w:ascii="Calibri" w:eastAsia="Calibri" w:hAnsi="Calibri" w:cs="Calibri"/>
              </w:rPr>
            </w:pPr>
          </w:p>
        </w:tc>
        <w:tc>
          <w:tcPr>
            <w:tcW w:w="1041" w:type="dxa"/>
          </w:tcPr>
          <w:p w14:paraId="44F4B8A9" w14:textId="77777777" w:rsidR="002352F8" w:rsidRPr="0074490D" w:rsidRDefault="002352F8" w:rsidP="00E80976">
            <w:pPr>
              <w:widowControl w:val="0"/>
              <w:spacing w:before="120" w:after="120"/>
              <w:contextualSpacing/>
              <w:rPr>
                <w:rFonts w:ascii="Calibri" w:eastAsia="Calibri" w:hAnsi="Calibri" w:cs="Calibri"/>
              </w:rPr>
            </w:pPr>
          </w:p>
        </w:tc>
        <w:tc>
          <w:tcPr>
            <w:tcW w:w="2733" w:type="dxa"/>
          </w:tcPr>
          <w:p w14:paraId="7B5D1291" w14:textId="77777777" w:rsidR="002352F8" w:rsidRPr="0074490D" w:rsidRDefault="002352F8" w:rsidP="00E80976">
            <w:pPr>
              <w:widowControl w:val="0"/>
              <w:spacing w:before="120" w:after="120"/>
              <w:contextualSpacing/>
              <w:rPr>
                <w:rFonts w:ascii="Calibri" w:eastAsia="Calibri" w:hAnsi="Calibri" w:cs="Calibri"/>
              </w:rPr>
            </w:pPr>
          </w:p>
        </w:tc>
      </w:tr>
      <w:tr w:rsidR="002352F8" w:rsidRPr="0074490D" w14:paraId="0316478B" w14:textId="77777777" w:rsidTr="00E80976">
        <w:trPr>
          <w:trHeight w:val="480"/>
        </w:trPr>
        <w:tc>
          <w:tcPr>
            <w:tcW w:w="5304" w:type="dxa"/>
            <w:shd w:val="clear" w:color="auto" w:fill="2E74B5"/>
          </w:tcPr>
          <w:p w14:paraId="1F749586" w14:textId="77777777" w:rsidR="002352F8" w:rsidRPr="0074490D" w:rsidRDefault="002352F8" w:rsidP="00E80976">
            <w:pPr>
              <w:widowControl w:val="0"/>
              <w:spacing w:before="120" w:after="120" w:line="259" w:lineRule="auto"/>
              <w:rPr>
                <w:rFonts w:ascii="Calibri" w:eastAsia="Calibri" w:hAnsi="Calibri" w:cs="Calibri"/>
                <w:b/>
                <w:noProof/>
                <w:color w:val="FFFFFF"/>
              </w:rPr>
            </w:pPr>
            <w:r>
              <w:rPr>
                <w:b/>
                <w:color w:val="FFFFFF" w:themeColor="background1"/>
              </w:rPr>
              <w:t>Structures de signalement internes</w:t>
            </w:r>
          </w:p>
        </w:tc>
        <w:tc>
          <w:tcPr>
            <w:tcW w:w="1041" w:type="dxa"/>
            <w:shd w:val="clear" w:color="auto" w:fill="2E74B5"/>
          </w:tcPr>
          <w:p w14:paraId="5698F9DD" w14:textId="77777777" w:rsidR="002352F8" w:rsidRPr="0074490D" w:rsidRDefault="002352F8" w:rsidP="00E80976">
            <w:pPr>
              <w:widowControl w:val="0"/>
              <w:spacing w:before="120" w:after="120" w:line="259" w:lineRule="auto"/>
              <w:rPr>
                <w:rFonts w:ascii="Calibri" w:eastAsia="Calibri" w:hAnsi="Calibri" w:cs="Calibri"/>
                <w:b/>
                <w:noProof/>
                <w:color w:val="FFFFFF"/>
                <w:lang w:val="en-IE" w:eastAsia="en-IE"/>
              </w:rPr>
            </w:pPr>
          </w:p>
        </w:tc>
        <w:tc>
          <w:tcPr>
            <w:tcW w:w="1041" w:type="dxa"/>
            <w:shd w:val="clear" w:color="auto" w:fill="2E74B5"/>
          </w:tcPr>
          <w:p w14:paraId="45B6785D" w14:textId="77777777" w:rsidR="002352F8" w:rsidRPr="0074490D" w:rsidRDefault="002352F8" w:rsidP="00E80976">
            <w:pPr>
              <w:widowControl w:val="0"/>
              <w:spacing w:before="120" w:after="120" w:line="259" w:lineRule="auto"/>
              <w:rPr>
                <w:rFonts w:ascii="Calibri" w:eastAsia="Calibri" w:hAnsi="Calibri" w:cs="Calibri"/>
                <w:b/>
                <w:noProof/>
                <w:color w:val="FFFFFF"/>
                <w:lang w:val="en-IE" w:eastAsia="en-IE"/>
              </w:rPr>
            </w:pPr>
          </w:p>
        </w:tc>
        <w:tc>
          <w:tcPr>
            <w:tcW w:w="1041" w:type="dxa"/>
            <w:shd w:val="clear" w:color="auto" w:fill="2E74B5"/>
          </w:tcPr>
          <w:p w14:paraId="043462E7" w14:textId="77777777" w:rsidR="002352F8" w:rsidRPr="0074490D" w:rsidRDefault="002352F8" w:rsidP="00E80976">
            <w:pPr>
              <w:widowControl w:val="0"/>
              <w:spacing w:before="120" w:after="120" w:line="259" w:lineRule="auto"/>
              <w:rPr>
                <w:rFonts w:ascii="Calibri" w:eastAsia="Calibri" w:hAnsi="Calibri" w:cs="Calibri"/>
                <w:b/>
                <w:noProof/>
                <w:color w:val="FFFFFF"/>
                <w:lang w:val="en-IE" w:eastAsia="en-IE"/>
              </w:rPr>
            </w:pPr>
          </w:p>
        </w:tc>
        <w:tc>
          <w:tcPr>
            <w:tcW w:w="1041" w:type="dxa"/>
            <w:shd w:val="clear" w:color="auto" w:fill="2E74B5"/>
          </w:tcPr>
          <w:p w14:paraId="68C2E699" w14:textId="77777777" w:rsidR="002352F8" w:rsidRPr="0074490D" w:rsidRDefault="002352F8" w:rsidP="00E80976">
            <w:pPr>
              <w:widowControl w:val="0"/>
              <w:spacing w:before="120" w:after="120" w:line="259" w:lineRule="auto"/>
              <w:rPr>
                <w:rFonts w:ascii="Calibri" w:eastAsia="Calibri" w:hAnsi="Calibri" w:cs="Calibri"/>
                <w:b/>
                <w:noProof/>
                <w:color w:val="FFFFFF"/>
                <w:lang w:val="en-IE" w:eastAsia="en-IE"/>
              </w:rPr>
            </w:pPr>
          </w:p>
        </w:tc>
        <w:tc>
          <w:tcPr>
            <w:tcW w:w="1041" w:type="dxa"/>
            <w:shd w:val="clear" w:color="auto" w:fill="2E74B5"/>
          </w:tcPr>
          <w:p w14:paraId="18155BA5" w14:textId="77777777" w:rsidR="002352F8" w:rsidRPr="0074490D" w:rsidRDefault="002352F8" w:rsidP="00E80976">
            <w:pPr>
              <w:widowControl w:val="0"/>
              <w:spacing w:before="120" w:after="120" w:line="259" w:lineRule="auto"/>
              <w:rPr>
                <w:rFonts w:ascii="Calibri" w:eastAsia="Calibri" w:hAnsi="Calibri" w:cs="Calibri"/>
                <w:b/>
                <w:noProof/>
                <w:color w:val="FFFFFF"/>
                <w:lang w:val="en-IE" w:eastAsia="en-IE"/>
              </w:rPr>
            </w:pPr>
          </w:p>
        </w:tc>
        <w:tc>
          <w:tcPr>
            <w:tcW w:w="1041" w:type="dxa"/>
            <w:shd w:val="clear" w:color="auto" w:fill="2E74B5"/>
          </w:tcPr>
          <w:p w14:paraId="0669772D" w14:textId="77777777" w:rsidR="002352F8" w:rsidRPr="0074490D" w:rsidRDefault="002352F8" w:rsidP="00E80976">
            <w:pPr>
              <w:widowControl w:val="0"/>
              <w:spacing w:before="120" w:after="120" w:line="259" w:lineRule="auto"/>
              <w:rPr>
                <w:rFonts w:ascii="Calibri" w:eastAsia="Calibri" w:hAnsi="Calibri" w:cs="Calibri"/>
                <w:b/>
                <w:noProof/>
                <w:color w:val="FFFFFF"/>
                <w:lang w:val="en-IE" w:eastAsia="en-IE"/>
              </w:rPr>
            </w:pPr>
          </w:p>
        </w:tc>
        <w:tc>
          <w:tcPr>
            <w:tcW w:w="2733" w:type="dxa"/>
            <w:shd w:val="clear" w:color="auto" w:fill="2E74B5"/>
          </w:tcPr>
          <w:p w14:paraId="170DAF99" w14:textId="77777777" w:rsidR="002352F8" w:rsidRPr="0074490D" w:rsidRDefault="002352F8" w:rsidP="00E80976">
            <w:pPr>
              <w:widowControl w:val="0"/>
              <w:spacing w:before="120" w:after="120" w:line="259" w:lineRule="auto"/>
              <w:rPr>
                <w:rFonts w:ascii="Calibri" w:eastAsia="Calibri" w:hAnsi="Calibri" w:cs="Calibri"/>
                <w:b/>
                <w:noProof/>
                <w:color w:val="FFFFFF"/>
                <w:lang w:val="en-IE" w:eastAsia="en-IE"/>
              </w:rPr>
            </w:pPr>
          </w:p>
        </w:tc>
      </w:tr>
      <w:tr w:rsidR="002352F8" w:rsidRPr="0074490D" w14:paraId="30C05332" w14:textId="77777777" w:rsidTr="00E80976">
        <w:tc>
          <w:tcPr>
            <w:tcW w:w="5304" w:type="dxa"/>
          </w:tcPr>
          <w:p w14:paraId="08C35380" w14:textId="1F131BB5" w:rsidR="002352F8" w:rsidRPr="0074490D" w:rsidRDefault="002352F8" w:rsidP="002352F8">
            <w:pPr>
              <w:widowControl w:val="0"/>
              <w:numPr>
                <w:ilvl w:val="0"/>
                <w:numId w:val="3"/>
              </w:numPr>
              <w:spacing w:before="120" w:after="120"/>
              <w:ind w:left="284" w:hanging="284"/>
              <w:contextualSpacing/>
              <w:rPr>
                <w:rFonts w:ascii="Calibri" w:eastAsia="Calibri" w:hAnsi="Calibri" w:cs="Calibri"/>
              </w:rPr>
            </w:pPr>
            <w:r>
              <w:t>La politique et les procédures en matière d’exploitation, d’abus et de harcèlement sexuels prévoient qu’il incombe à tous les membres du personnel de signaler au point de contact les incidents relevant de l’exploitation, de l’abus et du harcèlement sexuels. Le point de contact suit des normes et procédures organisationnelles spécifiques pour associer l’encadrement supérieur et les conseils d’administration.</w:t>
            </w:r>
          </w:p>
          <w:p w14:paraId="48670B3A" w14:textId="77777777" w:rsidR="002352F8" w:rsidRPr="0074490D" w:rsidRDefault="002352F8" w:rsidP="00E80976">
            <w:pPr>
              <w:widowControl w:val="0"/>
              <w:spacing w:before="120" w:after="120"/>
              <w:ind w:left="284"/>
              <w:contextualSpacing/>
              <w:rPr>
                <w:rFonts w:ascii="Calibri" w:eastAsia="Calibri" w:hAnsi="Calibri" w:cs="Calibri"/>
              </w:rPr>
            </w:pPr>
          </w:p>
        </w:tc>
        <w:tc>
          <w:tcPr>
            <w:tcW w:w="1041" w:type="dxa"/>
          </w:tcPr>
          <w:p w14:paraId="3426839B" w14:textId="77777777" w:rsidR="002352F8" w:rsidRPr="0074490D" w:rsidRDefault="002352F8" w:rsidP="00E80976">
            <w:pPr>
              <w:widowControl w:val="0"/>
              <w:spacing w:before="120" w:after="120"/>
              <w:contextualSpacing/>
              <w:rPr>
                <w:rFonts w:ascii="Calibri" w:eastAsia="Calibri" w:hAnsi="Calibri" w:cs="Calibri"/>
              </w:rPr>
            </w:pPr>
          </w:p>
        </w:tc>
        <w:tc>
          <w:tcPr>
            <w:tcW w:w="1041" w:type="dxa"/>
          </w:tcPr>
          <w:p w14:paraId="4493B02B" w14:textId="77777777" w:rsidR="002352F8" w:rsidRPr="0074490D" w:rsidRDefault="002352F8" w:rsidP="00E80976">
            <w:pPr>
              <w:widowControl w:val="0"/>
              <w:spacing w:before="120" w:after="120"/>
              <w:contextualSpacing/>
              <w:rPr>
                <w:rFonts w:ascii="Calibri" w:eastAsia="Calibri" w:hAnsi="Calibri" w:cs="Calibri"/>
              </w:rPr>
            </w:pPr>
          </w:p>
        </w:tc>
        <w:tc>
          <w:tcPr>
            <w:tcW w:w="1041" w:type="dxa"/>
          </w:tcPr>
          <w:p w14:paraId="70DA39CF" w14:textId="77777777" w:rsidR="002352F8" w:rsidRPr="0074490D" w:rsidRDefault="002352F8" w:rsidP="00E80976">
            <w:pPr>
              <w:widowControl w:val="0"/>
              <w:spacing w:before="120" w:after="120"/>
              <w:contextualSpacing/>
              <w:rPr>
                <w:rFonts w:ascii="Calibri" w:eastAsia="Calibri" w:hAnsi="Calibri" w:cs="Calibri"/>
              </w:rPr>
            </w:pPr>
          </w:p>
        </w:tc>
        <w:tc>
          <w:tcPr>
            <w:tcW w:w="1041" w:type="dxa"/>
          </w:tcPr>
          <w:p w14:paraId="7EE8B261" w14:textId="77777777" w:rsidR="002352F8" w:rsidRPr="0074490D" w:rsidRDefault="002352F8" w:rsidP="00E80976">
            <w:pPr>
              <w:widowControl w:val="0"/>
              <w:spacing w:before="120" w:after="120"/>
              <w:contextualSpacing/>
              <w:rPr>
                <w:rFonts w:ascii="Calibri" w:eastAsia="Calibri" w:hAnsi="Calibri" w:cs="Calibri"/>
              </w:rPr>
            </w:pPr>
          </w:p>
        </w:tc>
        <w:tc>
          <w:tcPr>
            <w:tcW w:w="1041" w:type="dxa"/>
          </w:tcPr>
          <w:p w14:paraId="401040EE" w14:textId="77777777" w:rsidR="002352F8" w:rsidRPr="0074490D" w:rsidRDefault="002352F8" w:rsidP="00E80976">
            <w:pPr>
              <w:widowControl w:val="0"/>
              <w:spacing w:before="120" w:after="120"/>
              <w:contextualSpacing/>
              <w:rPr>
                <w:rFonts w:ascii="Calibri" w:eastAsia="Calibri" w:hAnsi="Calibri" w:cs="Calibri"/>
              </w:rPr>
            </w:pPr>
          </w:p>
        </w:tc>
        <w:tc>
          <w:tcPr>
            <w:tcW w:w="1041" w:type="dxa"/>
          </w:tcPr>
          <w:p w14:paraId="4A97B085" w14:textId="77777777" w:rsidR="002352F8" w:rsidRPr="0074490D" w:rsidRDefault="002352F8" w:rsidP="00E80976">
            <w:pPr>
              <w:widowControl w:val="0"/>
              <w:spacing w:before="120" w:after="120"/>
              <w:contextualSpacing/>
              <w:rPr>
                <w:rFonts w:ascii="Calibri" w:eastAsia="Calibri" w:hAnsi="Calibri" w:cs="Calibri"/>
              </w:rPr>
            </w:pPr>
          </w:p>
        </w:tc>
        <w:tc>
          <w:tcPr>
            <w:tcW w:w="2733" w:type="dxa"/>
          </w:tcPr>
          <w:p w14:paraId="385BB1CA" w14:textId="77777777" w:rsidR="002352F8" w:rsidRPr="0074490D" w:rsidRDefault="002352F8" w:rsidP="00E80976">
            <w:pPr>
              <w:widowControl w:val="0"/>
              <w:spacing w:before="120" w:after="120"/>
              <w:contextualSpacing/>
              <w:rPr>
                <w:rFonts w:ascii="Calibri" w:eastAsia="Calibri" w:hAnsi="Calibri" w:cs="Calibri"/>
              </w:rPr>
            </w:pPr>
          </w:p>
        </w:tc>
      </w:tr>
      <w:tr w:rsidR="002352F8" w:rsidRPr="0074490D" w14:paraId="5E23A92A" w14:textId="77777777" w:rsidTr="00E80976">
        <w:tc>
          <w:tcPr>
            <w:tcW w:w="5304" w:type="dxa"/>
          </w:tcPr>
          <w:p w14:paraId="5D448392" w14:textId="1DE6DB2E" w:rsidR="002352F8" w:rsidRDefault="002352F8" w:rsidP="002352F8">
            <w:pPr>
              <w:widowControl w:val="0"/>
              <w:numPr>
                <w:ilvl w:val="0"/>
                <w:numId w:val="3"/>
              </w:numPr>
              <w:spacing w:before="120" w:after="120"/>
              <w:ind w:left="284" w:hanging="284"/>
              <w:contextualSpacing/>
              <w:rPr>
                <w:rFonts w:cstheme="minorHAnsi"/>
              </w:rPr>
            </w:pPr>
            <w:r>
              <w:t xml:space="preserve">Les mécanismes de signalement de l’organisation sont simples, clairs, facilement accessibles, adaptés au contexte et communiqués aux membres du personnel, </w:t>
            </w:r>
            <w:r>
              <w:lastRenderedPageBreak/>
              <w:t xml:space="preserve">partenaires, bénéficiaires, etc. Ce mécanisme centré sur les victimes comprendra des fonctionnalités telles qu’une messagerie fonctionnelle, une ligne directe, un point de contact, un canal de dénonciation des dysfonctionnements. En outre, ce mécanisme devrait être conçu de manière à adopter des mesures adaptées aux personnes handicapées et aux enfants. </w:t>
            </w:r>
          </w:p>
          <w:p w14:paraId="28787326" w14:textId="77777777" w:rsidR="002352F8" w:rsidRDefault="002352F8" w:rsidP="00E80976">
            <w:pPr>
              <w:widowControl w:val="0"/>
              <w:spacing w:before="120" w:after="120"/>
              <w:ind w:left="284"/>
              <w:contextualSpacing/>
              <w:rPr>
                <w:rFonts w:cstheme="minorHAnsi"/>
              </w:rPr>
            </w:pPr>
          </w:p>
        </w:tc>
        <w:tc>
          <w:tcPr>
            <w:tcW w:w="1041" w:type="dxa"/>
          </w:tcPr>
          <w:p w14:paraId="2FE63CFE" w14:textId="77777777" w:rsidR="002352F8" w:rsidRPr="0074490D" w:rsidRDefault="002352F8" w:rsidP="00E80976">
            <w:pPr>
              <w:widowControl w:val="0"/>
              <w:spacing w:before="120" w:after="120"/>
              <w:contextualSpacing/>
              <w:rPr>
                <w:rFonts w:ascii="Calibri" w:eastAsia="Calibri" w:hAnsi="Calibri" w:cs="Calibri"/>
              </w:rPr>
            </w:pPr>
          </w:p>
        </w:tc>
        <w:tc>
          <w:tcPr>
            <w:tcW w:w="1041" w:type="dxa"/>
          </w:tcPr>
          <w:p w14:paraId="2EBE9AFD" w14:textId="77777777" w:rsidR="002352F8" w:rsidRPr="0074490D" w:rsidRDefault="002352F8" w:rsidP="00E80976">
            <w:pPr>
              <w:widowControl w:val="0"/>
              <w:spacing w:before="120" w:after="120"/>
              <w:contextualSpacing/>
              <w:rPr>
                <w:rFonts w:ascii="Calibri" w:eastAsia="Calibri" w:hAnsi="Calibri" w:cs="Calibri"/>
              </w:rPr>
            </w:pPr>
          </w:p>
        </w:tc>
        <w:tc>
          <w:tcPr>
            <w:tcW w:w="1041" w:type="dxa"/>
          </w:tcPr>
          <w:p w14:paraId="614CB705" w14:textId="77777777" w:rsidR="002352F8" w:rsidRPr="0074490D" w:rsidRDefault="002352F8" w:rsidP="00E80976">
            <w:pPr>
              <w:widowControl w:val="0"/>
              <w:spacing w:before="120" w:after="120"/>
              <w:contextualSpacing/>
              <w:rPr>
                <w:rFonts w:ascii="Calibri" w:eastAsia="Calibri" w:hAnsi="Calibri" w:cs="Calibri"/>
              </w:rPr>
            </w:pPr>
          </w:p>
        </w:tc>
        <w:tc>
          <w:tcPr>
            <w:tcW w:w="1041" w:type="dxa"/>
          </w:tcPr>
          <w:p w14:paraId="57163639" w14:textId="77777777" w:rsidR="002352F8" w:rsidRPr="0074490D" w:rsidRDefault="002352F8" w:rsidP="00E80976">
            <w:pPr>
              <w:widowControl w:val="0"/>
              <w:spacing w:before="120" w:after="120"/>
              <w:contextualSpacing/>
              <w:rPr>
                <w:rFonts w:ascii="Calibri" w:eastAsia="Calibri" w:hAnsi="Calibri" w:cs="Calibri"/>
              </w:rPr>
            </w:pPr>
          </w:p>
        </w:tc>
        <w:tc>
          <w:tcPr>
            <w:tcW w:w="1041" w:type="dxa"/>
          </w:tcPr>
          <w:p w14:paraId="0A2B08C5" w14:textId="77777777" w:rsidR="002352F8" w:rsidRPr="0074490D" w:rsidRDefault="002352F8" w:rsidP="00E80976">
            <w:pPr>
              <w:widowControl w:val="0"/>
              <w:spacing w:before="120" w:after="120"/>
              <w:contextualSpacing/>
              <w:rPr>
                <w:rFonts w:ascii="Calibri" w:eastAsia="Calibri" w:hAnsi="Calibri" w:cs="Calibri"/>
              </w:rPr>
            </w:pPr>
          </w:p>
        </w:tc>
        <w:tc>
          <w:tcPr>
            <w:tcW w:w="1041" w:type="dxa"/>
          </w:tcPr>
          <w:p w14:paraId="2FFC1BCC" w14:textId="77777777" w:rsidR="002352F8" w:rsidRPr="0074490D" w:rsidRDefault="002352F8" w:rsidP="00E80976">
            <w:pPr>
              <w:widowControl w:val="0"/>
              <w:spacing w:before="120" w:after="120"/>
              <w:contextualSpacing/>
              <w:rPr>
                <w:rFonts w:ascii="Calibri" w:eastAsia="Calibri" w:hAnsi="Calibri" w:cs="Calibri"/>
              </w:rPr>
            </w:pPr>
          </w:p>
        </w:tc>
        <w:tc>
          <w:tcPr>
            <w:tcW w:w="2733" w:type="dxa"/>
          </w:tcPr>
          <w:p w14:paraId="75C33DB8" w14:textId="77777777" w:rsidR="002352F8" w:rsidRPr="0074490D" w:rsidRDefault="002352F8" w:rsidP="00E80976">
            <w:pPr>
              <w:widowControl w:val="0"/>
              <w:spacing w:before="120" w:after="120"/>
              <w:contextualSpacing/>
              <w:rPr>
                <w:rFonts w:ascii="Calibri" w:eastAsia="Calibri" w:hAnsi="Calibri" w:cs="Calibri"/>
              </w:rPr>
            </w:pPr>
          </w:p>
        </w:tc>
      </w:tr>
      <w:tr w:rsidR="002352F8" w:rsidRPr="0074490D" w14:paraId="5AD12DCD" w14:textId="77777777" w:rsidTr="00E80976">
        <w:trPr>
          <w:trHeight w:val="480"/>
        </w:trPr>
        <w:tc>
          <w:tcPr>
            <w:tcW w:w="5304" w:type="dxa"/>
            <w:shd w:val="clear" w:color="auto" w:fill="2E74B5"/>
          </w:tcPr>
          <w:p w14:paraId="191D8AB3" w14:textId="77777777" w:rsidR="002352F8" w:rsidRPr="0074490D" w:rsidRDefault="002352F8" w:rsidP="00E80976">
            <w:pPr>
              <w:widowControl w:val="0"/>
              <w:spacing w:before="120" w:after="120" w:line="259" w:lineRule="auto"/>
              <w:rPr>
                <w:rFonts w:ascii="Calibri" w:eastAsia="Calibri" w:hAnsi="Calibri" w:cs="Calibri"/>
                <w:b/>
                <w:noProof/>
                <w:color w:val="FFFFFF"/>
              </w:rPr>
            </w:pPr>
            <w:r>
              <w:rPr>
                <w:b/>
                <w:color w:val="FFFFFF" w:themeColor="background1"/>
              </w:rPr>
              <w:t>Responsabilité et transparence</w:t>
            </w:r>
          </w:p>
        </w:tc>
        <w:tc>
          <w:tcPr>
            <w:tcW w:w="1041" w:type="dxa"/>
            <w:shd w:val="clear" w:color="auto" w:fill="2E74B5"/>
          </w:tcPr>
          <w:p w14:paraId="1D5EB1B9" w14:textId="77777777" w:rsidR="002352F8" w:rsidRPr="0074490D" w:rsidRDefault="002352F8" w:rsidP="00E80976">
            <w:pPr>
              <w:widowControl w:val="0"/>
              <w:spacing w:before="120" w:after="120" w:line="259" w:lineRule="auto"/>
              <w:rPr>
                <w:rFonts w:ascii="Calibri" w:eastAsia="Calibri" w:hAnsi="Calibri" w:cs="Calibri"/>
                <w:b/>
                <w:noProof/>
                <w:color w:val="FFFFFF"/>
                <w:lang w:val="en-IE" w:eastAsia="en-IE"/>
              </w:rPr>
            </w:pPr>
          </w:p>
        </w:tc>
        <w:tc>
          <w:tcPr>
            <w:tcW w:w="1041" w:type="dxa"/>
            <w:shd w:val="clear" w:color="auto" w:fill="2E74B5"/>
          </w:tcPr>
          <w:p w14:paraId="54D4BEA1" w14:textId="77777777" w:rsidR="002352F8" w:rsidRPr="0074490D" w:rsidRDefault="002352F8" w:rsidP="00E80976">
            <w:pPr>
              <w:widowControl w:val="0"/>
              <w:spacing w:before="120" w:after="120" w:line="259" w:lineRule="auto"/>
              <w:rPr>
                <w:rFonts w:ascii="Calibri" w:eastAsia="Calibri" w:hAnsi="Calibri" w:cs="Calibri"/>
                <w:b/>
                <w:noProof/>
                <w:color w:val="FFFFFF"/>
                <w:lang w:val="en-IE" w:eastAsia="en-IE"/>
              </w:rPr>
            </w:pPr>
          </w:p>
        </w:tc>
        <w:tc>
          <w:tcPr>
            <w:tcW w:w="1041" w:type="dxa"/>
            <w:shd w:val="clear" w:color="auto" w:fill="2E74B5"/>
          </w:tcPr>
          <w:p w14:paraId="00A1F7B7" w14:textId="77777777" w:rsidR="002352F8" w:rsidRPr="0074490D" w:rsidRDefault="002352F8" w:rsidP="00E80976">
            <w:pPr>
              <w:widowControl w:val="0"/>
              <w:spacing w:before="120" w:after="120" w:line="259" w:lineRule="auto"/>
              <w:rPr>
                <w:rFonts w:ascii="Calibri" w:eastAsia="Calibri" w:hAnsi="Calibri" w:cs="Calibri"/>
                <w:b/>
                <w:noProof/>
                <w:color w:val="FFFFFF"/>
                <w:lang w:val="en-IE" w:eastAsia="en-IE"/>
              </w:rPr>
            </w:pPr>
          </w:p>
        </w:tc>
        <w:tc>
          <w:tcPr>
            <w:tcW w:w="1041" w:type="dxa"/>
            <w:shd w:val="clear" w:color="auto" w:fill="2E74B5"/>
          </w:tcPr>
          <w:p w14:paraId="60A8D70F" w14:textId="77777777" w:rsidR="002352F8" w:rsidRPr="0074490D" w:rsidRDefault="002352F8" w:rsidP="00E80976">
            <w:pPr>
              <w:widowControl w:val="0"/>
              <w:spacing w:before="120" w:after="120" w:line="259" w:lineRule="auto"/>
              <w:rPr>
                <w:rFonts w:ascii="Calibri" w:eastAsia="Calibri" w:hAnsi="Calibri" w:cs="Calibri"/>
                <w:b/>
                <w:noProof/>
                <w:color w:val="FFFFFF"/>
                <w:lang w:val="en-IE" w:eastAsia="en-IE"/>
              </w:rPr>
            </w:pPr>
          </w:p>
        </w:tc>
        <w:tc>
          <w:tcPr>
            <w:tcW w:w="1041" w:type="dxa"/>
            <w:shd w:val="clear" w:color="auto" w:fill="2E74B5"/>
          </w:tcPr>
          <w:p w14:paraId="484F4167" w14:textId="77777777" w:rsidR="002352F8" w:rsidRPr="0074490D" w:rsidRDefault="002352F8" w:rsidP="00E80976">
            <w:pPr>
              <w:widowControl w:val="0"/>
              <w:spacing w:before="120" w:after="120" w:line="259" w:lineRule="auto"/>
              <w:rPr>
                <w:rFonts w:ascii="Calibri" w:eastAsia="Calibri" w:hAnsi="Calibri" w:cs="Calibri"/>
                <w:b/>
                <w:noProof/>
                <w:color w:val="FFFFFF"/>
                <w:lang w:val="en-IE" w:eastAsia="en-IE"/>
              </w:rPr>
            </w:pPr>
          </w:p>
        </w:tc>
        <w:tc>
          <w:tcPr>
            <w:tcW w:w="1041" w:type="dxa"/>
            <w:shd w:val="clear" w:color="auto" w:fill="2E74B5"/>
          </w:tcPr>
          <w:p w14:paraId="238CE164" w14:textId="77777777" w:rsidR="002352F8" w:rsidRPr="0074490D" w:rsidRDefault="002352F8" w:rsidP="00E80976">
            <w:pPr>
              <w:widowControl w:val="0"/>
              <w:spacing w:before="120" w:after="120" w:line="259" w:lineRule="auto"/>
              <w:rPr>
                <w:rFonts w:ascii="Calibri" w:eastAsia="Calibri" w:hAnsi="Calibri" w:cs="Calibri"/>
                <w:b/>
                <w:noProof/>
                <w:color w:val="FFFFFF"/>
                <w:lang w:val="en-IE" w:eastAsia="en-IE"/>
              </w:rPr>
            </w:pPr>
          </w:p>
        </w:tc>
        <w:tc>
          <w:tcPr>
            <w:tcW w:w="2733" w:type="dxa"/>
            <w:shd w:val="clear" w:color="auto" w:fill="2E74B5"/>
          </w:tcPr>
          <w:p w14:paraId="6EAF6C0D" w14:textId="77777777" w:rsidR="002352F8" w:rsidRPr="0074490D" w:rsidRDefault="002352F8" w:rsidP="00E80976">
            <w:pPr>
              <w:widowControl w:val="0"/>
              <w:spacing w:before="120" w:after="120" w:line="259" w:lineRule="auto"/>
              <w:rPr>
                <w:rFonts w:ascii="Calibri" w:eastAsia="Calibri" w:hAnsi="Calibri" w:cs="Calibri"/>
                <w:b/>
                <w:noProof/>
                <w:color w:val="FFFFFF"/>
                <w:lang w:val="en-IE" w:eastAsia="en-IE"/>
              </w:rPr>
            </w:pPr>
          </w:p>
        </w:tc>
      </w:tr>
      <w:tr w:rsidR="002352F8" w:rsidRPr="0074490D" w14:paraId="27B049F4" w14:textId="77777777" w:rsidTr="00E80976">
        <w:tc>
          <w:tcPr>
            <w:tcW w:w="5304" w:type="dxa"/>
          </w:tcPr>
          <w:p w14:paraId="25D6EDB6" w14:textId="67DF85BC" w:rsidR="002352F8" w:rsidRPr="0074490D" w:rsidRDefault="002352F8" w:rsidP="006309D6">
            <w:pPr>
              <w:widowControl w:val="0"/>
              <w:numPr>
                <w:ilvl w:val="0"/>
                <w:numId w:val="3"/>
              </w:numPr>
              <w:spacing w:before="120" w:after="120"/>
              <w:contextualSpacing/>
              <w:rPr>
                <w:rFonts w:ascii="Calibri" w:eastAsia="Calibri" w:hAnsi="Calibri" w:cs="Calibri"/>
              </w:rPr>
            </w:pPr>
            <w:r>
              <w:t xml:space="preserve">L’organisation dispose de solides procédures de sélection dans le cadre du recrutement et de pratiques en matière d’emploi qui prennent en considération et gèrent les risques relatifs à l’exploitation, à l’abus et au harcèlement sexuels et qui fournissent une assurance raisonnable que des précautions ont été prises dans ce domaine, telles qu’interroger les candidats sur leurs antécédents judiciaires récents, procéder à des vérifications de sécurité et prévoir des procédures de référencement (afin de remédier au problème spécifique des abus sexuels connus qui circulent au sein des différentes agences humanitaires et de développement et entre celles-ci) </w:t>
            </w:r>
            <w:r>
              <w:lastRenderedPageBreak/>
              <w:t xml:space="preserve">confirmant l’absence d’incidents liés à l’exploitation, à l’abus et au harcèlement sexuels dans les emplois précédents. </w:t>
            </w:r>
          </w:p>
          <w:p w14:paraId="416A2999" w14:textId="77777777" w:rsidR="002352F8" w:rsidRPr="0074490D" w:rsidRDefault="002352F8" w:rsidP="00E80976">
            <w:pPr>
              <w:widowControl w:val="0"/>
              <w:spacing w:before="120" w:after="120"/>
              <w:ind w:left="284"/>
              <w:contextualSpacing/>
              <w:rPr>
                <w:rFonts w:ascii="Calibri" w:eastAsia="Calibri" w:hAnsi="Calibri" w:cs="Calibri"/>
              </w:rPr>
            </w:pPr>
          </w:p>
        </w:tc>
        <w:tc>
          <w:tcPr>
            <w:tcW w:w="1041" w:type="dxa"/>
          </w:tcPr>
          <w:p w14:paraId="20CA9B31" w14:textId="77777777" w:rsidR="002352F8" w:rsidRPr="0074490D" w:rsidRDefault="002352F8" w:rsidP="00E80976">
            <w:pPr>
              <w:widowControl w:val="0"/>
              <w:spacing w:before="120" w:after="120"/>
              <w:contextualSpacing/>
              <w:rPr>
                <w:rFonts w:ascii="Calibri" w:eastAsia="Calibri" w:hAnsi="Calibri" w:cs="Calibri"/>
              </w:rPr>
            </w:pPr>
          </w:p>
        </w:tc>
        <w:tc>
          <w:tcPr>
            <w:tcW w:w="1041" w:type="dxa"/>
          </w:tcPr>
          <w:p w14:paraId="17B05AA7" w14:textId="77777777" w:rsidR="002352F8" w:rsidRPr="0074490D" w:rsidRDefault="002352F8" w:rsidP="00E80976">
            <w:pPr>
              <w:widowControl w:val="0"/>
              <w:spacing w:before="120" w:after="120"/>
              <w:contextualSpacing/>
              <w:rPr>
                <w:rFonts w:ascii="Calibri" w:eastAsia="Calibri" w:hAnsi="Calibri" w:cs="Calibri"/>
              </w:rPr>
            </w:pPr>
          </w:p>
        </w:tc>
        <w:tc>
          <w:tcPr>
            <w:tcW w:w="1041" w:type="dxa"/>
          </w:tcPr>
          <w:p w14:paraId="639286D1" w14:textId="77777777" w:rsidR="002352F8" w:rsidRPr="0074490D" w:rsidRDefault="002352F8" w:rsidP="00E80976">
            <w:pPr>
              <w:widowControl w:val="0"/>
              <w:spacing w:before="120" w:after="120"/>
              <w:contextualSpacing/>
              <w:rPr>
                <w:rFonts w:ascii="Calibri" w:eastAsia="Calibri" w:hAnsi="Calibri" w:cs="Calibri"/>
              </w:rPr>
            </w:pPr>
          </w:p>
        </w:tc>
        <w:tc>
          <w:tcPr>
            <w:tcW w:w="1041" w:type="dxa"/>
          </w:tcPr>
          <w:p w14:paraId="074AEB14" w14:textId="77777777" w:rsidR="002352F8" w:rsidRPr="0074490D" w:rsidRDefault="002352F8" w:rsidP="00E80976">
            <w:pPr>
              <w:widowControl w:val="0"/>
              <w:spacing w:before="120" w:after="120"/>
              <w:contextualSpacing/>
              <w:rPr>
                <w:rFonts w:ascii="Calibri" w:eastAsia="Calibri" w:hAnsi="Calibri" w:cs="Calibri"/>
              </w:rPr>
            </w:pPr>
          </w:p>
        </w:tc>
        <w:tc>
          <w:tcPr>
            <w:tcW w:w="1041" w:type="dxa"/>
          </w:tcPr>
          <w:p w14:paraId="60290800" w14:textId="77777777" w:rsidR="002352F8" w:rsidRPr="0074490D" w:rsidRDefault="002352F8" w:rsidP="00E80976">
            <w:pPr>
              <w:widowControl w:val="0"/>
              <w:spacing w:before="120" w:after="120"/>
              <w:contextualSpacing/>
              <w:rPr>
                <w:rFonts w:ascii="Calibri" w:eastAsia="Calibri" w:hAnsi="Calibri" w:cs="Calibri"/>
              </w:rPr>
            </w:pPr>
          </w:p>
        </w:tc>
        <w:tc>
          <w:tcPr>
            <w:tcW w:w="1041" w:type="dxa"/>
          </w:tcPr>
          <w:p w14:paraId="2124C883" w14:textId="77777777" w:rsidR="002352F8" w:rsidRPr="0074490D" w:rsidRDefault="002352F8" w:rsidP="00E80976">
            <w:pPr>
              <w:widowControl w:val="0"/>
              <w:spacing w:before="120" w:after="120"/>
              <w:contextualSpacing/>
              <w:rPr>
                <w:rFonts w:ascii="Calibri" w:eastAsia="Calibri" w:hAnsi="Calibri" w:cs="Calibri"/>
              </w:rPr>
            </w:pPr>
          </w:p>
        </w:tc>
        <w:tc>
          <w:tcPr>
            <w:tcW w:w="2733" w:type="dxa"/>
          </w:tcPr>
          <w:p w14:paraId="1B2CFB45" w14:textId="77777777" w:rsidR="002352F8" w:rsidRPr="0074490D" w:rsidRDefault="002352F8" w:rsidP="00E80976">
            <w:pPr>
              <w:widowControl w:val="0"/>
              <w:spacing w:before="120" w:after="120"/>
              <w:contextualSpacing/>
              <w:rPr>
                <w:rFonts w:ascii="Calibri" w:eastAsia="Calibri" w:hAnsi="Calibri" w:cs="Calibri"/>
              </w:rPr>
            </w:pPr>
          </w:p>
        </w:tc>
      </w:tr>
      <w:tr w:rsidR="002352F8" w:rsidRPr="0074490D" w14:paraId="7AFEFA31" w14:textId="77777777" w:rsidTr="00E80976">
        <w:tc>
          <w:tcPr>
            <w:tcW w:w="5304" w:type="dxa"/>
          </w:tcPr>
          <w:p w14:paraId="3111DED9" w14:textId="77777777" w:rsidR="002352F8" w:rsidRDefault="002352F8" w:rsidP="002352F8">
            <w:pPr>
              <w:widowControl w:val="0"/>
              <w:numPr>
                <w:ilvl w:val="0"/>
                <w:numId w:val="3"/>
              </w:numPr>
              <w:spacing w:before="120" w:after="120"/>
              <w:ind w:left="284" w:hanging="284"/>
              <w:contextualSpacing/>
              <w:rPr>
                <w:rFonts w:cstheme="minorHAnsi"/>
              </w:rPr>
            </w:pPr>
            <w:r>
              <w:t>L’organisation dispose de procédures opérationnelles standard responsables pour traiter les allégations et les signalements en matière d’exploitation, d’abus et de harcèlement sexuels, telles que respecter le principe des procédures établies, en donnant la priorité à la sécurité des victimes et en préservant l’identité des personnes concernées; limiter le partage d’informations selon le principe du «besoin d’en connaître» et documenter chaque plainte/incident et les mesures de suivi connexes, telles que les enquêtes et les mesures correctives.</w:t>
            </w:r>
          </w:p>
          <w:p w14:paraId="159EF012" w14:textId="77777777" w:rsidR="002352F8" w:rsidRPr="00AA2D39" w:rsidRDefault="002352F8" w:rsidP="00E80976">
            <w:pPr>
              <w:widowControl w:val="0"/>
              <w:spacing w:before="120" w:after="120"/>
              <w:ind w:left="284"/>
              <w:contextualSpacing/>
              <w:rPr>
                <w:rFonts w:cstheme="minorHAnsi"/>
              </w:rPr>
            </w:pPr>
          </w:p>
        </w:tc>
        <w:tc>
          <w:tcPr>
            <w:tcW w:w="1041" w:type="dxa"/>
          </w:tcPr>
          <w:p w14:paraId="0D6C8FB9" w14:textId="77777777" w:rsidR="002352F8" w:rsidRPr="0074490D" w:rsidRDefault="002352F8" w:rsidP="00E80976">
            <w:pPr>
              <w:widowControl w:val="0"/>
              <w:spacing w:before="120" w:after="120"/>
              <w:contextualSpacing/>
              <w:rPr>
                <w:rFonts w:ascii="Calibri" w:eastAsia="Calibri" w:hAnsi="Calibri" w:cs="Calibri"/>
              </w:rPr>
            </w:pPr>
          </w:p>
        </w:tc>
        <w:tc>
          <w:tcPr>
            <w:tcW w:w="1041" w:type="dxa"/>
          </w:tcPr>
          <w:p w14:paraId="18D273FE" w14:textId="77777777" w:rsidR="002352F8" w:rsidRPr="0074490D" w:rsidRDefault="002352F8" w:rsidP="00E80976">
            <w:pPr>
              <w:widowControl w:val="0"/>
              <w:spacing w:before="120" w:after="120"/>
              <w:contextualSpacing/>
              <w:rPr>
                <w:rFonts w:ascii="Calibri" w:eastAsia="Calibri" w:hAnsi="Calibri" w:cs="Calibri"/>
              </w:rPr>
            </w:pPr>
          </w:p>
        </w:tc>
        <w:tc>
          <w:tcPr>
            <w:tcW w:w="1041" w:type="dxa"/>
          </w:tcPr>
          <w:p w14:paraId="5CB88B33" w14:textId="77777777" w:rsidR="002352F8" w:rsidRPr="0074490D" w:rsidRDefault="002352F8" w:rsidP="00E80976">
            <w:pPr>
              <w:widowControl w:val="0"/>
              <w:spacing w:before="120" w:after="120"/>
              <w:contextualSpacing/>
              <w:rPr>
                <w:rFonts w:ascii="Calibri" w:eastAsia="Calibri" w:hAnsi="Calibri" w:cs="Calibri"/>
              </w:rPr>
            </w:pPr>
          </w:p>
        </w:tc>
        <w:tc>
          <w:tcPr>
            <w:tcW w:w="1041" w:type="dxa"/>
          </w:tcPr>
          <w:p w14:paraId="2EC0F8A6" w14:textId="77777777" w:rsidR="002352F8" w:rsidRPr="0074490D" w:rsidRDefault="002352F8" w:rsidP="00E80976">
            <w:pPr>
              <w:widowControl w:val="0"/>
              <w:spacing w:before="120" w:after="120"/>
              <w:contextualSpacing/>
              <w:rPr>
                <w:rFonts w:ascii="Calibri" w:eastAsia="Calibri" w:hAnsi="Calibri" w:cs="Calibri"/>
              </w:rPr>
            </w:pPr>
          </w:p>
        </w:tc>
        <w:tc>
          <w:tcPr>
            <w:tcW w:w="1041" w:type="dxa"/>
          </w:tcPr>
          <w:p w14:paraId="3C0FB8F8" w14:textId="77777777" w:rsidR="002352F8" w:rsidRPr="0074490D" w:rsidRDefault="002352F8" w:rsidP="00E80976">
            <w:pPr>
              <w:widowControl w:val="0"/>
              <w:spacing w:before="120" w:after="120"/>
              <w:contextualSpacing/>
              <w:rPr>
                <w:rFonts w:ascii="Calibri" w:eastAsia="Calibri" w:hAnsi="Calibri" w:cs="Calibri"/>
              </w:rPr>
            </w:pPr>
          </w:p>
        </w:tc>
        <w:tc>
          <w:tcPr>
            <w:tcW w:w="1041" w:type="dxa"/>
          </w:tcPr>
          <w:p w14:paraId="4237D291" w14:textId="77777777" w:rsidR="002352F8" w:rsidRPr="0074490D" w:rsidRDefault="002352F8" w:rsidP="00E80976">
            <w:pPr>
              <w:widowControl w:val="0"/>
              <w:spacing w:before="120" w:after="120"/>
              <w:contextualSpacing/>
              <w:rPr>
                <w:rFonts w:ascii="Calibri" w:eastAsia="Calibri" w:hAnsi="Calibri" w:cs="Calibri"/>
              </w:rPr>
            </w:pPr>
          </w:p>
        </w:tc>
        <w:tc>
          <w:tcPr>
            <w:tcW w:w="2733" w:type="dxa"/>
          </w:tcPr>
          <w:p w14:paraId="7295E1A9" w14:textId="77777777" w:rsidR="002352F8" w:rsidRPr="0074490D" w:rsidRDefault="002352F8" w:rsidP="00E80976">
            <w:pPr>
              <w:widowControl w:val="0"/>
              <w:spacing w:before="120" w:after="120"/>
              <w:contextualSpacing/>
              <w:rPr>
                <w:rFonts w:ascii="Calibri" w:eastAsia="Calibri" w:hAnsi="Calibri" w:cs="Calibri"/>
              </w:rPr>
            </w:pPr>
          </w:p>
        </w:tc>
      </w:tr>
      <w:tr w:rsidR="002352F8" w:rsidRPr="0074490D" w14:paraId="46B35068" w14:textId="77777777" w:rsidTr="00E80976">
        <w:trPr>
          <w:trHeight w:val="480"/>
        </w:trPr>
        <w:tc>
          <w:tcPr>
            <w:tcW w:w="5304" w:type="dxa"/>
            <w:shd w:val="clear" w:color="auto" w:fill="2E74B5"/>
          </w:tcPr>
          <w:p w14:paraId="22D115ED" w14:textId="77777777" w:rsidR="002352F8" w:rsidRPr="0074490D" w:rsidRDefault="002352F8" w:rsidP="00E80976">
            <w:pPr>
              <w:widowControl w:val="0"/>
              <w:spacing w:before="120" w:after="120" w:line="259" w:lineRule="auto"/>
              <w:rPr>
                <w:rFonts w:ascii="Calibri" w:eastAsia="Calibri" w:hAnsi="Calibri" w:cs="Calibri"/>
                <w:b/>
                <w:noProof/>
                <w:color w:val="FFFFFF"/>
              </w:rPr>
            </w:pPr>
            <w:r>
              <w:rPr>
                <w:b/>
                <w:color w:val="FFFFFF" w:themeColor="background1"/>
              </w:rPr>
              <w:t>Formation et sensibilisation</w:t>
            </w:r>
          </w:p>
        </w:tc>
        <w:tc>
          <w:tcPr>
            <w:tcW w:w="1041" w:type="dxa"/>
            <w:shd w:val="clear" w:color="auto" w:fill="2E74B5"/>
          </w:tcPr>
          <w:p w14:paraId="4A42DCC5" w14:textId="77777777" w:rsidR="002352F8" w:rsidRPr="0074490D" w:rsidRDefault="002352F8" w:rsidP="00E80976">
            <w:pPr>
              <w:widowControl w:val="0"/>
              <w:spacing w:before="120" w:after="120" w:line="259" w:lineRule="auto"/>
              <w:rPr>
                <w:rFonts w:ascii="Calibri" w:eastAsia="Calibri" w:hAnsi="Calibri" w:cs="Calibri"/>
                <w:b/>
                <w:noProof/>
                <w:color w:val="FFFFFF"/>
                <w:lang w:val="en-IE" w:eastAsia="en-IE"/>
              </w:rPr>
            </w:pPr>
          </w:p>
        </w:tc>
        <w:tc>
          <w:tcPr>
            <w:tcW w:w="1041" w:type="dxa"/>
            <w:shd w:val="clear" w:color="auto" w:fill="2E74B5"/>
          </w:tcPr>
          <w:p w14:paraId="021C49D6" w14:textId="77777777" w:rsidR="002352F8" w:rsidRPr="0074490D" w:rsidRDefault="002352F8" w:rsidP="00E80976">
            <w:pPr>
              <w:widowControl w:val="0"/>
              <w:spacing w:before="120" w:after="120" w:line="259" w:lineRule="auto"/>
              <w:rPr>
                <w:rFonts w:ascii="Calibri" w:eastAsia="Calibri" w:hAnsi="Calibri" w:cs="Calibri"/>
                <w:b/>
                <w:noProof/>
                <w:color w:val="FFFFFF"/>
                <w:lang w:val="en-IE" w:eastAsia="en-IE"/>
              </w:rPr>
            </w:pPr>
          </w:p>
        </w:tc>
        <w:tc>
          <w:tcPr>
            <w:tcW w:w="1041" w:type="dxa"/>
            <w:shd w:val="clear" w:color="auto" w:fill="2E74B5"/>
          </w:tcPr>
          <w:p w14:paraId="1249492C" w14:textId="77777777" w:rsidR="002352F8" w:rsidRPr="0074490D" w:rsidRDefault="002352F8" w:rsidP="00E80976">
            <w:pPr>
              <w:widowControl w:val="0"/>
              <w:spacing w:before="120" w:after="120" w:line="259" w:lineRule="auto"/>
              <w:rPr>
                <w:rFonts w:ascii="Calibri" w:eastAsia="Calibri" w:hAnsi="Calibri" w:cs="Calibri"/>
                <w:b/>
                <w:noProof/>
                <w:color w:val="FFFFFF"/>
                <w:lang w:val="en-IE" w:eastAsia="en-IE"/>
              </w:rPr>
            </w:pPr>
          </w:p>
        </w:tc>
        <w:tc>
          <w:tcPr>
            <w:tcW w:w="1041" w:type="dxa"/>
            <w:shd w:val="clear" w:color="auto" w:fill="2E74B5"/>
          </w:tcPr>
          <w:p w14:paraId="2088D9D5" w14:textId="77777777" w:rsidR="002352F8" w:rsidRPr="0074490D" w:rsidRDefault="002352F8" w:rsidP="00E80976">
            <w:pPr>
              <w:widowControl w:val="0"/>
              <w:spacing w:before="120" w:after="120" w:line="259" w:lineRule="auto"/>
              <w:rPr>
                <w:rFonts w:ascii="Calibri" w:eastAsia="Calibri" w:hAnsi="Calibri" w:cs="Calibri"/>
                <w:b/>
                <w:noProof/>
                <w:color w:val="FFFFFF"/>
                <w:lang w:val="en-IE" w:eastAsia="en-IE"/>
              </w:rPr>
            </w:pPr>
          </w:p>
        </w:tc>
        <w:tc>
          <w:tcPr>
            <w:tcW w:w="1041" w:type="dxa"/>
            <w:shd w:val="clear" w:color="auto" w:fill="2E74B5"/>
          </w:tcPr>
          <w:p w14:paraId="3D197760" w14:textId="77777777" w:rsidR="002352F8" w:rsidRPr="0074490D" w:rsidRDefault="002352F8" w:rsidP="00E80976">
            <w:pPr>
              <w:widowControl w:val="0"/>
              <w:spacing w:before="120" w:after="120" w:line="259" w:lineRule="auto"/>
              <w:rPr>
                <w:rFonts w:ascii="Calibri" w:eastAsia="Calibri" w:hAnsi="Calibri" w:cs="Calibri"/>
                <w:b/>
                <w:noProof/>
                <w:color w:val="FFFFFF"/>
                <w:lang w:val="en-IE" w:eastAsia="en-IE"/>
              </w:rPr>
            </w:pPr>
          </w:p>
        </w:tc>
        <w:tc>
          <w:tcPr>
            <w:tcW w:w="1041" w:type="dxa"/>
            <w:shd w:val="clear" w:color="auto" w:fill="2E74B5"/>
          </w:tcPr>
          <w:p w14:paraId="15058428" w14:textId="77777777" w:rsidR="002352F8" w:rsidRPr="0074490D" w:rsidRDefault="002352F8" w:rsidP="00E80976">
            <w:pPr>
              <w:widowControl w:val="0"/>
              <w:spacing w:before="120" w:after="120" w:line="259" w:lineRule="auto"/>
              <w:rPr>
                <w:rFonts w:ascii="Calibri" w:eastAsia="Calibri" w:hAnsi="Calibri" w:cs="Calibri"/>
                <w:b/>
                <w:noProof/>
                <w:color w:val="FFFFFF"/>
                <w:lang w:val="en-IE" w:eastAsia="en-IE"/>
              </w:rPr>
            </w:pPr>
          </w:p>
        </w:tc>
        <w:tc>
          <w:tcPr>
            <w:tcW w:w="2733" w:type="dxa"/>
            <w:shd w:val="clear" w:color="auto" w:fill="2E74B5"/>
          </w:tcPr>
          <w:p w14:paraId="0FABA3B0" w14:textId="77777777" w:rsidR="002352F8" w:rsidRPr="0074490D" w:rsidRDefault="002352F8" w:rsidP="00E80976">
            <w:pPr>
              <w:widowControl w:val="0"/>
              <w:spacing w:before="120" w:after="120" w:line="259" w:lineRule="auto"/>
              <w:rPr>
                <w:rFonts w:ascii="Calibri" w:eastAsia="Calibri" w:hAnsi="Calibri" w:cs="Calibri"/>
                <w:b/>
                <w:noProof/>
                <w:color w:val="FFFFFF"/>
                <w:lang w:val="en-IE" w:eastAsia="en-IE"/>
              </w:rPr>
            </w:pPr>
          </w:p>
        </w:tc>
      </w:tr>
      <w:tr w:rsidR="002352F8" w:rsidRPr="0074490D" w14:paraId="34C5EC3C" w14:textId="77777777" w:rsidTr="00E80976">
        <w:tc>
          <w:tcPr>
            <w:tcW w:w="5304" w:type="dxa"/>
          </w:tcPr>
          <w:p w14:paraId="68208BD5" w14:textId="77777777" w:rsidR="002352F8" w:rsidRDefault="002352F8" w:rsidP="002352F8">
            <w:pPr>
              <w:widowControl w:val="0"/>
              <w:numPr>
                <w:ilvl w:val="0"/>
                <w:numId w:val="3"/>
              </w:numPr>
              <w:spacing w:before="120" w:after="120"/>
              <w:ind w:left="284" w:hanging="284"/>
              <w:contextualSpacing/>
              <w:rPr>
                <w:rFonts w:cstheme="minorHAnsi"/>
              </w:rPr>
            </w:pPr>
            <w:r>
              <w:t>L’organisation met en place une formation obligatoire sur la politique en matière d’exploitation, d’abus et de harcèlement sexuels et permet à tous les membres du personnel d’en bénéficier.</w:t>
            </w:r>
          </w:p>
          <w:p w14:paraId="43A1535B" w14:textId="77777777" w:rsidR="002352F8" w:rsidRPr="00AA2D39" w:rsidRDefault="002352F8" w:rsidP="00E80976">
            <w:pPr>
              <w:widowControl w:val="0"/>
              <w:spacing w:before="120" w:after="120"/>
              <w:ind w:left="284"/>
              <w:contextualSpacing/>
              <w:rPr>
                <w:rFonts w:cstheme="minorHAnsi"/>
              </w:rPr>
            </w:pPr>
          </w:p>
        </w:tc>
        <w:tc>
          <w:tcPr>
            <w:tcW w:w="1041" w:type="dxa"/>
          </w:tcPr>
          <w:p w14:paraId="1F078FE5" w14:textId="77777777" w:rsidR="002352F8" w:rsidRPr="0074490D" w:rsidRDefault="002352F8" w:rsidP="00E80976">
            <w:pPr>
              <w:widowControl w:val="0"/>
              <w:spacing w:before="120" w:after="120"/>
              <w:contextualSpacing/>
              <w:rPr>
                <w:rFonts w:ascii="Calibri" w:eastAsia="Calibri" w:hAnsi="Calibri" w:cs="Calibri"/>
              </w:rPr>
            </w:pPr>
          </w:p>
        </w:tc>
        <w:tc>
          <w:tcPr>
            <w:tcW w:w="1041" w:type="dxa"/>
          </w:tcPr>
          <w:p w14:paraId="002802C3" w14:textId="77777777" w:rsidR="002352F8" w:rsidRPr="0074490D" w:rsidRDefault="002352F8" w:rsidP="00E80976">
            <w:pPr>
              <w:widowControl w:val="0"/>
              <w:spacing w:before="120" w:after="120"/>
              <w:contextualSpacing/>
              <w:rPr>
                <w:rFonts w:ascii="Calibri" w:eastAsia="Calibri" w:hAnsi="Calibri" w:cs="Calibri"/>
              </w:rPr>
            </w:pPr>
          </w:p>
        </w:tc>
        <w:tc>
          <w:tcPr>
            <w:tcW w:w="1041" w:type="dxa"/>
          </w:tcPr>
          <w:p w14:paraId="19FE99A8" w14:textId="77777777" w:rsidR="002352F8" w:rsidRPr="0074490D" w:rsidRDefault="002352F8" w:rsidP="00E80976">
            <w:pPr>
              <w:widowControl w:val="0"/>
              <w:spacing w:before="120" w:after="120"/>
              <w:contextualSpacing/>
              <w:rPr>
                <w:rFonts w:ascii="Calibri" w:eastAsia="Calibri" w:hAnsi="Calibri" w:cs="Calibri"/>
              </w:rPr>
            </w:pPr>
          </w:p>
        </w:tc>
        <w:tc>
          <w:tcPr>
            <w:tcW w:w="1041" w:type="dxa"/>
          </w:tcPr>
          <w:p w14:paraId="575978F4" w14:textId="77777777" w:rsidR="002352F8" w:rsidRPr="0074490D" w:rsidRDefault="002352F8" w:rsidP="00E80976">
            <w:pPr>
              <w:widowControl w:val="0"/>
              <w:spacing w:before="120" w:after="120"/>
              <w:contextualSpacing/>
              <w:rPr>
                <w:rFonts w:ascii="Calibri" w:eastAsia="Calibri" w:hAnsi="Calibri" w:cs="Calibri"/>
              </w:rPr>
            </w:pPr>
          </w:p>
        </w:tc>
        <w:tc>
          <w:tcPr>
            <w:tcW w:w="1041" w:type="dxa"/>
          </w:tcPr>
          <w:p w14:paraId="1E821652" w14:textId="77777777" w:rsidR="002352F8" w:rsidRPr="0074490D" w:rsidRDefault="002352F8" w:rsidP="00E80976">
            <w:pPr>
              <w:widowControl w:val="0"/>
              <w:spacing w:before="120" w:after="120"/>
              <w:contextualSpacing/>
              <w:rPr>
                <w:rFonts w:ascii="Calibri" w:eastAsia="Calibri" w:hAnsi="Calibri" w:cs="Calibri"/>
              </w:rPr>
            </w:pPr>
          </w:p>
        </w:tc>
        <w:tc>
          <w:tcPr>
            <w:tcW w:w="1041" w:type="dxa"/>
          </w:tcPr>
          <w:p w14:paraId="7F9F0022" w14:textId="77777777" w:rsidR="002352F8" w:rsidRPr="0074490D" w:rsidRDefault="002352F8" w:rsidP="00E80976">
            <w:pPr>
              <w:widowControl w:val="0"/>
              <w:spacing w:before="120" w:after="120"/>
              <w:contextualSpacing/>
              <w:rPr>
                <w:rFonts w:ascii="Calibri" w:eastAsia="Calibri" w:hAnsi="Calibri" w:cs="Calibri"/>
              </w:rPr>
            </w:pPr>
          </w:p>
        </w:tc>
        <w:tc>
          <w:tcPr>
            <w:tcW w:w="2733" w:type="dxa"/>
          </w:tcPr>
          <w:p w14:paraId="11D508F9" w14:textId="77777777" w:rsidR="002352F8" w:rsidRPr="0074490D" w:rsidRDefault="002352F8" w:rsidP="00E80976">
            <w:pPr>
              <w:widowControl w:val="0"/>
              <w:spacing w:before="120" w:after="120"/>
              <w:contextualSpacing/>
              <w:rPr>
                <w:rFonts w:ascii="Calibri" w:eastAsia="Calibri" w:hAnsi="Calibri" w:cs="Calibri"/>
              </w:rPr>
            </w:pPr>
          </w:p>
        </w:tc>
      </w:tr>
      <w:tr w:rsidR="00936D1E" w:rsidRPr="0074490D" w14:paraId="0B30A0C6" w14:textId="77777777" w:rsidTr="00E80976">
        <w:tc>
          <w:tcPr>
            <w:tcW w:w="5304" w:type="dxa"/>
          </w:tcPr>
          <w:p w14:paraId="5DE1BA7F" w14:textId="56552704" w:rsidR="00936D1E" w:rsidRPr="00AA2D39" w:rsidRDefault="006309D6" w:rsidP="004A5FF6">
            <w:pPr>
              <w:widowControl w:val="0"/>
              <w:numPr>
                <w:ilvl w:val="0"/>
                <w:numId w:val="3"/>
              </w:numPr>
              <w:spacing w:before="120" w:after="120"/>
              <w:contextualSpacing/>
              <w:rPr>
                <w:rFonts w:cstheme="minorHAnsi"/>
              </w:rPr>
            </w:pPr>
            <w:r>
              <w:t xml:space="preserve">Des rappels périodiques (rappels de formations, courriels, rapports annuels, </w:t>
            </w:r>
            <w:r>
              <w:lastRenderedPageBreak/>
              <w:t xml:space="preserve">etc.) sont envoyés à tous les membres du personnel au sujet de l’exploitation, de l’abus et du harcèlement sexuels et des règles déontologiques définies, mises en œuvre et contrôlées.  </w:t>
            </w:r>
          </w:p>
        </w:tc>
        <w:tc>
          <w:tcPr>
            <w:tcW w:w="1041" w:type="dxa"/>
          </w:tcPr>
          <w:p w14:paraId="37BC9159" w14:textId="77777777" w:rsidR="00936D1E" w:rsidRPr="0074490D" w:rsidRDefault="00936D1E" w:rsidP="00E80976">
            <w:pPr>
              <w:widowControl w:val="0"/>
              <w:spacing w:before="120" w:after="120"/>
              <w:contextualSpacing/>
              <w:rPr>
                <w:rFonts w:ascii="Calibri" w:eastAsia="Calibri" w:hAnsi="Calibri" w:cs="Calibri"/>
              </w:rPr>
            </w:pPr>
          </w:p>
        </w:tc>
        <w:tc>
          <w:tcPr>
            <w:tcW w:w="1041" w:type="dxa"/>
          </w:tcPr>
          <w:p w14:paraId="5820DCCC" w14:textId="77777777" w:rsidR="00936D1E" w:rsidRPr="0074490D" w:rsidRDefault="00936D1E" w:rsidP="00E80976">
            <w:pPr>
              <w:widowControl w:val="0"/>
              <w:spacing w:before="120" w:after="120"/>
              <w:contextualSpacing/>
              <w:rPr>
                <w:rFonts w:ascii="Calibri" w:eastAsia="Calibri" w:hAnsi="Calibri" w:cs="Calibri"/>
              </w:rPr>
            </w:pPr>
          </w:p>
        </w:tc>
        <w:tc>
          <w:tcPr>
            <w:tcW w:w="1041" w:type="dxa"/>
          </w:tcPr>
          <w:p w14:paraId="7FC3534D" w14:textId="77777777" w:rsidR="00936D1E" w:rsidRPr="0074490D" w:rsidRDefault="00936D1E" w:rsidP="00E80976">
            <w:pPr>
              <w:widowControl w:val="0"/>
              <w:spacing w:before="120" w:after="120"/>
              <w:contextualSpacing/>
              <w:rPr>
                <w:rFonts w:ascii="Calibri" w:eastAsia="Calibri" w:hAnsi="Calibri" w:cs="Calibri"/>
              </w:rPr>
            </w:pPr>
          </w:p>
        </w:tc>
        <w:tc>
          <w:tcPr>
            <w:tcW w:w="1041" w:type="dxa"/>
          </w:tcPr>
          <w:p w14:paraId="035F9EF9" w14:textId="77777777" w:rsidR="00936D1E" w:rsidRPr="0074490D" w:rsidRDefault="00936D1E" w:rsidP="00E80976">
            <w:pPr>
              <w:widowControl w:val="0"/>
              <w:spacing w:before="120" w:after="120"/>
              <w:contextualSpacing/>
              <w:rPr>
                <w:rFonts w:ascii="Calibri" w:eastAsia="Calibri" w:hAnsi="Calibri" w:cs="Calibri"/>
              </w:rPr>
            </w:pPr>
          </w:p>
        </w:tc>
        <w:tc>
          <w:tcPr>
            <w:tcW w:w="1041" w:type="dxa"/>
          </w:tcPr>
          <w:p w14:paraId="06625C73" w14:textId="77777777" w:rsidR="00936D1E" w:rsidRPr="0074490D" w:rsidRDefault="00936D1E" w:rsidP="00E80976">
            <w:pPr>
              <w:widowControl w:val="0"/>
              <w:spacing w:before="120" w:after="120"/>
              <w:contextualSpacing/>
              <w:rPr>
                <w:rFonts w:ascii="Calibri" w:eastAsia="Calibri" w:hAnsi="Calibri" w:cs="Calibri"/>
              </w:rPr>
            </w:pPr>
          </w:p>
        </w:tc>
        <w:tc>
          <w:tcPr>
            <w:tcW w:w="1041" w:type="dxa"/>
          </w:tcPr>
          <w:p w14:paraId="06815EC7" w14:textId="77777777" w:rsidR="00936D1E" w:rsidRPr="0074490D" w:rsidRDefault="00936D1E" w:rsidP="00E80976">
            <w:pPr>
              <w:widowControl w:val="0"/>
              <w:spacing w:before="120" w:after="120"/>
              <w:contextualSpacing/>
              <w:rPr>
                <w:rFonts w:ascii="Calibri" w:eastAsia="Calibri" w:hAnsi="Calibri" w:cs="Calibri"/>
              </w:rPr>
            </w:pPr>
          </w:p>
        </w:tc>
        <w:tc>
          <w:tcPr>
            <w:tcW w:w="2733" w:type="dxa"/>
          </w:tcPr>
          <w:p w14:paraId="2C1DB835" w14:textId="77777777" w:rsidR="00936D1E" w:rsidRPr="0074490D" w:rsidRDefault="00936D1E" w:rsidP="00E80976">
            <w:pPr>
              <w:widowControl w:val="0"/>
              <w:spacing w:before="120" w:after="120"/>
              <w:contextualSpacing/>
              <w:rPr>
                <w:rFonts w:ascii="Calibri" w:eastAsia="Calibri" w:hAnsi="Calibri" w:cs="Calibri"/>
              </w:rPr>
            </w:pPr>
          </w:p>
        </w:tc>
      </w:tr>
    </w:tbl>
    <w:p w14:paraId="4BD4890B" w14:textId="77777777" w:rsidR="009F547C" w:rsidRDefault="008B7DE6" w:rsidP="009F547C">
      <w:pPr>
        <w:rPr>
          <w:color w:val="FFFFFF" w:themeColor="background1"/>
          <w:sz w:val="26"/>
          <w:szCs w:val="26"/>
        </w:rPr>
      </w:pPr>
      <w:r>
        <w:rPr>
          <w:b/>
          <w:color w:val="FFFFFF" w:themeColor="background1"/>
          <w:sz w:val="26"/>
          <w:szCs w:val="26"/>
        </w:rPr>
        <w:t>Organisations</w:t>
      </w:r>
      <w:r>
        <w:rPr>
          <w:color w:val="FFFFFF" w:themeColor="background1"/>
          <w:sz w:val="26"/>
          <w:szCs w:val="26"/>
        </w:rPr>
        <w:t xml:space="preserve"> </w:t>
      </w:r>
    </w:p>
    <w:p w14:paraId="339A43A3" w14:textId="450BEF0E" w:rsidR="00A812F6" w:rsidRDefault="00A812F6" w:rsidP="00495456">
      <w:pPr>
        <w:spacing w:after="240" w:line="240" w:lineRule="auto"/>
        <w:rPr>
          <w:b/>
        </w:rPr>
      </w:pPr>
    </w:p>
    <w:p w14:paraId="27B67E9F" w14:textId="6E524A50" w:rsidR="00495456" w:rsidRDefault="00495456" w:rsidP="009F547C">
      <w:pPr>
        <w:rPr>
          <w:b/>
        </w:rPr>
      </w:pPr>
    </w:p>
    <w:p w14:paraId="65F9DEBD" w14:textId="0ABE0ADB" w:rsidR="00946C80" w:rsidRPr="000F00DB" w:rsidRDefault="00946C80" w:rsidP="009F547C">
      <w:pPr>
        <w:rPr>
          <w:b/>
        </w:rPr>
      </w:pPr>
      <w:r>
        <w:rPr>
          <w:b/>
          <w:color w:val="1F4E79" w:themeColor="accent1" w:themeShade="80"/>
          <w:sz w:val="28"/>
          <w:szCs w:val="28"/>
        </w:rPr>
        <w:t>Partie B – Liste des mesures envisagées pour améliorer la politique en matière d’exploitation, d’abus et de harcèlement sexuels, le cas échéant.</w:t>
      </w:r>
    </w:p>
    <w:sectPr w:rsidR="00946C80" w:rsidRPr="000F00DB" w:rsidSect="00AA2D39">
      <w:headerReference w:type="even" r:id="rId11"/>
      <w:headerReference w:type="default" r:id="rId12"/>
      <w:footerReference w:type="even" r:id="rId13"/>
      <w:footerReference w:type="default" r:id="rId14"/>
      <w:headerReference w:type="first" r:id="rId15"/>
      <w:footerReference w:type="first" r:id="rId16"/>
      <w:pgSz w:w="15840" w:h="12240" w:orient="landscape"/>
      <w:pgMar w:top="2552"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700C2A" w14:textId="77777777" w:rsidR="00DD02CF" w:rsidRDefault="00DD02CF" w:rsidP="008D5F88">
      <w:pPr>
        <w:spacing w:after="0" w:line="240" w:lineRule="auto"/>
      </w:pPr>
      <w:r>
        <w:separator/>
      </w:r>
    </w:p>
  </w:endnote>
  <w:endnote w:type="continuationSeparator" w:id="0">
    <w:p w14:paraId="429AE1CD" w14:textId="77777777" w:rsidR="00DD02CF" w:rsidRDefault="00DD02CF" w:rsidP="008D5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57275" w14:textId="77777777" w:rsidR="006C73DA" w:rsidRDefault="006C73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0525149"/>
      <w:docPartObj>
        <w:docPartGallery w:val="Page Numbers (Bottom of Page)"/>
        <w:docPartUnique/>
      </w:docPartObj>
    </w:sdtPr>
    <w:sdtEndPr>
      <w:rPr>
        <w:noProof/>
      </w:rPr>
    </w:sdtEndPr>
    <w:sdtContent>
      <w:p w14:paraId="0C3BDC92" w14:textId="7C9ABA81" w:rsidR="008F26B5" w:rsidRDefault="008F26B5">
        <w:pPr>
          <w:pStyle w:val="Footer"/>
          <w:jc w:val="right"/>
        </w:pPr>
        <w:r>
          <w:fldChar w:fldCharType="begin"/>
        </w:r>
        <w:r>
          <w:instrText xml:space="preserve"> PAGE   \* MERGEFORMAT </w:instrText>
        </w:r>
        <w:r>
          <w:fldChar w:fldCharType="separate"/>
        </w:r>
        <w:r w:rsidR="00F86078">
          <w:rPr>
            <w:noProof/>
          </w:rPr>
          <w:t>1</w:t>
        </w:r>
        <w:r>
          <w:fldChar w:fldCharType="end"/>
        </w:r>
      </w:p>
    </w:sdtContent>
  </w:sdt>
  <w:p w14:paraId="6F8978F2" w14:textId="1DCEF417" w:rsidR="008F26B5" w:rsidRDefault="00B57AD4">
    <w:pPr>
      <w:pStyle w:val="Footer"/>
    </w:pPr>
    <w:r>
      <w:rPr>
        <w:b/>
        <w:snapToGrid w:val="0"/>
        <w:sz w:val="18"/>
      </w:rPr>
      <w:t>2021</w:t>
    </w:r>
    <w:r w:rsidR="006C73DA">
      <w:rPr>
        <w:b/>
        <w:snapToGrid w:val="0"/>
        <w:sz w:val="18"/>
      </w:rPr>
      <w:t>.1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C3EB6" w14:textId="77777777" w:rsidR="006C73DA" w:rsidRDefault="006C73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6A2DF1" w14:textId="77777777" w:rsidR="00DD02CF" w:rsidRDefault="00DD02CF" w:rsidP="008D5F88">
      <w:pPr>
        <w:spacing w:after="0" w:line="240" w:lineRule="auto"/>
      </w:pPr>
      <w:r>
        <w:separator/>
      </w:r>
    </w:p>
  </w:footnote>
  <w:footnote w:type="continuationSeparator" w:id="0">
    <w:p w14:paraId="375B61FA" w14:textId="77777777" w:rsidR="00DD02CF" w:rsidRDefault="00DD02CF" w:rsidP="008D5F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9F79B" w14:textId="77777777" w:rsidR="006C73DA" w:rsidRDefault="006C73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232CA" w14:textId="77777777" w:rsidR="008D5F88" w:rsidRDefault="008F26B5">
    <w:pPr>
      <w:pStyle w:val="Header"/>
    </w:pPr>
    <w:r>
      <w:rPr>
        <w:noProof/>
        <w:lang w:val="fr-BE" w:eastAsia="fr-BE"/>
      </w:rPr>
      <w:drawing>
        <wp:anchor distT="0" distB="0" distL="114300" distR="114300" simplePos="0" relativeHeight="251650048" behindDoc="0" locked="0" layoutInCell="1" allowOverlap="1" wp14:anchorId="2FA888A4" wp14:editId="5EB47B81">
          <wp:simplePos x="0" y="0"/>
          <wp:positionH relativeFrom="column">
            <wp:posOffset>3399790</wp:posOffset>
          </wp:positionH>
          <wp:positionV relativeFrom="page">
            <wp:posOffset>486410</wp:posOffset>
          </wp:positionV>
          <wp:extent cx="1694815" cy="1310640"/>
          <wp:effectExtent l="0" t="0" r="63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4815" cy="1310640"/>
                  </a:xfrm>
                  <a:prstGeom prst="rect">
                    <a:avLst/>
                  </a:prstGeom>
                  <a:noFill/>
                </pic:spPr>
              </pic:pic>
            </a:graphicData>
          </a:graphic>
        </wp:anchor>
      </w:drawing>
    </w:r>
    <w:r>
      <w:rPr>
        <w:noProof/>
        <w:lang w:val="fr-BE" w:eastAsia="fr-BE"/>
      </w:rPr>
      <w:drawing>
        <wp:anchor distT="0" distB="0" distL="114300" distR="114300" simplePos="0" relativeHeight="251644928" behindDoc="0" locked="0" layoutInCell="1" allowOverlap="1" wp14:anchorId="52D83B7C" wp14:editId="4C6EF1F7">
          <wp:simplePos x="0" y="0"/>
          <wp:positionH relativeFrom="column">
            <wp:posOffset>-900429</wp:posOffset>
          </wp:positionH>
          <wp:positionV relativeFrom="paragraph">
            <wp:posOffset>-450215</wp:posOffset>
          </wp:positionV>
          <wp:extent cx="10058400" cy="117089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30019" cy="1179232"/>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78A55" w14:textId="77777777" w:rsidR="006C73DA" w:rsidRDefault="006C73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E01E45"/>
    <w:multiLevelType w:val="hybridMultilevel"/>
    <w:tmpl w:val="198EE708"/>
    <w:lvl w:ilvl="0" w:tplc="033EBC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AE359A8"/>
    <w:multiLevelType w:val="hybridMultilevel"/>
    <w:tmpl w:val="609EF50C"/>
    <w:lvl w:ilvl="0" w:tplc="4412BB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5B0A2D"/>
    <w:multiLevelType w:val="hybridMultilevel"/>
    <w:tmpl w:val="0942A404"/>
    <w:lvl w:ilvl="0" w:tplc="1A3006F6">
      <w:start w:val="1"/>
      <w:numFmt w:val="bullet"/>
      <w:lvlText w:val=""/>
      <w:lvlJc w:val="left"/>
      <w:pPr>
        <w:ind w:left="1212" w:hanging="360"/>
      </w:pPr>
      <w:rPr>
        <w:rFonts w:ascii="Symbol" w:hAnsi="Symbol" w:hint="default"/>
      </w:rPr>
    </w:lvl>
    <w:lvl w:ilvl="1" w:tplc="08090003" w:tentative="1">
      <w:start w:val="1"/>
      <w:numFmt w:val="bullet"/>
      <w:lvlText w:val="o"/>
      <w:lvlJc w:val="left"/>
      <w:pPr>
        <w:ind w:left="1932" w:hanging="360"/>
      </w:pPr>
      <w:rPr>
        <w:rFonts w:ascii="Courier New" w:hAnsi="Courier New" w:cs="Courier New" w:hint="default"/>
      </w:rPr>
    </w:lvl>
    <w:lvl w:ilvl="2" w:tplc="08090005" w:tentative="1">
      <w:start w:val="1"/>
      <w:numFmt w:val="bullet"/>
      <w:lvlText w:val=""/>
      <w:lvlJc w:val="left"/>
      <w:pPr>
        <w:ind w:left="2652" w:hanging="360"/>
      </w:pPr>
      <w:rPr>
        <w:rFonts w:ascii="Wingdings" w:hAnsi="Wingdings" w:hint="default"/>
      </w:rPr>
    </w:lvl>
    <w:lvl w:ilvl="3" w:tplc="08090001" w:tentative="1">
      <w:start w:val="1"/>
      <w:numFmt w:val="bullet"/>
      <w:lvlText w:val=""/>
      <w:lvlJc w:val="left"/>
      <w:pPr>
        <w:ind w:left="3372" w:hanging="360"/>
      </w:pPr>
      <w:rPr>
        <w:rFonts w:ascii="Symbol" w:hAnsi="Symbol" w:hint="default"/>
      </w:rPr>
    </w:lvl>
    <w:lvl w:ilvl="4" w:tplc="08090003" w:tentative="1">
      <w:start w:val="1"/>
      <w:numFmt w:val="bullet"/>
      <w:lvlText w:val="o"/>
      <w:lvlJc w:val="left"/>
      <w:pPr>
        <w:ind w:left="4092" w:hanging="360"/>
      </w:pPr>
      <w:rPr>
        <w:rFonts w:ascii="Courier New" w:hAnsi="Courier New" w:cs="Courier New" w:hint="default"/>
      </w:rPr>
    </w:lvl>
    <w:lvl w:ilvl="5" w:tplc="08090005" w:tentative="1">
      <w:start w:val="1"/>
      <w:numFmt w:val="bullet"/>
      <w:lvlText w:val=""/>
      <w:lvlJc w:val="left"/>
      <w:pPr>
        <w:ind w:left="4812" w:hanging="360"/>
      </w:pPr>
      <w:rPr>
        <w:rFonts w:ascii="Wingdings" w:hAnsi="Wingdings" w:hint="default"/>
      </w:rPr>
    </w:lvl>
    <w:lvl w:ilvl="6" w:tplc="08090001" w:tentative="1">
      <w:start w:val="1"/>
      <w:numFmt w:val="bullet"/>
      <w:lvlText w:val=""/>
      <w:lvlJc w:val="left"/>
      <w:pPr>
        <w:ind w:left="5532" w:hanging="360"/>
      </w:pPr>
      <w:rPr>
        <w:rFonts w:ascii="Symbol" w:hAnsi="Symbol" w:hint="default"/>
      </w:rPr>
    </w:lvl>
    <w:lvl w:ilvl="7" w:tplc="08090003" w:tentative="1">
      <w:start w:val="1"/>
      <w:numFmt w:val="bullet"/>
      <w:lvlText w:val="o"/>
      <w:lvlJc w:val="left"/>
      <w:pPr>
        <w:ind w:left="6252" w:hanging="360"/>
      </w:pPr>
      <w:rPr>
        <w:rFonts w:ascii="Courier New" w:hAnsi="Courier New" w:cs="Courier New" w:hint="default"/>
      </w:rPr>
    </w:lvl>
    <w:lvl w:ilvl="8" w:tplc="08090005" w:tentative="1">
      <w:start w:val="1"/>
      <w:numFmt w:val="bullet"/>
      <w:lvlText w:val=""/>
      <w:lvlJc w:val="left"/>
      <w:pPr>
        <w:ind w:left="6972" w:hanging="360"/>
      </w:pPr>
      <w:rPr>
        <w:rFonts w:ascii="Wingdings" w:hAnsi="Wingdings" w:hint="default"/>
      </w:rPr>
    </w:lvl>
  </w:abstractNum>
  <w:abstractNum w:abstractNumId="3" w15:restartNumberingAfterBreak="0">
    <w:nsid w:val="7CA4636E"/>
    <w:multiLevelType w:val="hybridMultilevel"/>
    <w:tmpl w:val="94A06D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5F88"/>
    <w:rsid w:val="000071EC"/>
    <w:rsid w:val="00055802"/>
    <w:rsid w:val="000F00DB"/>
    <w:rsid w:val="00144671"/>
    <w:rsid w:val="0015305D"/>
    <w:rsid w:val="001C6476"/>
    <w:rsid w:val="002352F8"/>
    <w:rsid w:val="002419C3"/>
    <w:rsid w:val="00297817"/>
    <w:rsid w:val="002A7D57"/>
    <w:rsid w:val="002D20B9"/>
    <w:rsid w:val="002F31EC"/>
    <w:rsid w:val="003117AB"/>
    <w:rsid w:val="00344511"/>
    <w:rsid w:val="00351B3E"/>
    <w:rsid w:val="00390D69"/>
    <w:rsid w:val="00390E03"/>
    <w:rsid w:val="003A26E8"/>
    <w:rsid w:val="003A3F92"/>
    <w:rsid w:val="003F2860"/>
    <w:rsid w:val="003F409C"/>
    <w:rsid w:val="00417BA0"/>
    <w:rsid w:val="0046109E"/>
    <w:rsid w:val="00461A53"/>
    <w:rsid w:val="00495456"/>
    <w:rsid w:val="004A5FF6"/>
    <w:rsid w:val="004F32BC"/>
    <w:rsid w:val="00516CA0"/>
    <w:rsid w:val="00590993"/>
    <w:rsid w:val="005954E3"/>
    <w:rsid w:val="005C2D44"/>
    <w:rsid w:val="005D33F6"/>
    <w:rsid w:val="0061315C"/>
    <w:rsid w:val="00621512"/>
    <w:rsid w:val="006309D6"/>
    <w:rsid w:val="006338D7"/>
    <w:rsid w:val="00641BFB"/>
    <w:rsid w:val="00685AB8"/>
    <w:rsid w:val="006C73DA"/>
    <w:rsid w:val="006D19C7"/>
    <w:rsid w:val="00776F15"/>
    <w:rsid w:val="007D0DFE"/>
    <w:rsid w:val="00830602"/>
    <w:rsid w:val="00841E99"/>
    <w:rsid w:val="008B43F3"/>
    <w:rsid w:val="008B7DE6"/>
    <w:rsid w:val="008C050C"/>
    <w:rsid w:val="008D3FB3"/>
    <w:rsid w:val="008D5F88"/>
    <w:rsid w:val="008D6B18"/>
    <w:rsid w:val="008E50BE"/>
    <w:rsid w:val="008F1EAD"/>
    <w:rsid w:val="008F26B5"/>
    <w:rsid w:val="0091191B"/>
    <w:rsid w:val="00927006"/>
    <w:rsid w:val="00936D1E"/>
    <w:rsid w:val="00946C80"/>
    <w:rsid w:val="009E4553"/>
    <w:rsid w:val="009F547C"/>
    <w:rsid w:val="00A2036D"/>
    <w:rsid w:val="00A35494"/>
    <w:rsid w:val="00A40E49"/>
    <w:rsid w:val="00A43A3B"/>
    <w:rsid w:val="00A812F6"/>
    <w:rsid w:val="00A87D66"/>
    <w:rsid w:val="00A92868"/>
    <w:rsid w:val="00A97881"/>
    <w:rsid w:val="00AA2D39"/>
    <w:rsid w:val="00AB312E"/>
    <w:rsid w:val="00AD75EE"/>
    <w:rsid w:val="00AF6B7C"/>
    <w:rsid w:val="00B23F20"/>
    <w:rsid w:val="00B57AD4"/>
    <w:rsid w:val="00B9549B"/>
    <w:rsid w:val="00BC4DC5"/>
    <w:rsid w:val="00BD4689"/>
    <w:rsid w:val="00BE05F2"/>
    <w:rsid w:val="00C53C1E"/>
    <w:rsid w:val="00C8547E"/>
    <w:rsid w:val="00CD15D3"/>
    <w:rsid w:val="00D237F8"/>
    <w:rsid w:val="00DD02CF"/>
    <w:rsid w:val="00E1186E"/>
    <w:rsid w:val="00E23211"/>
    <w:rsid w:val="00E606DB"/>
    <w:rsid w:val="00EF32BD"/>
    <w:rsid w:val="00F15873"/>
    <w:rsid w:val="00F2251E"/>
    <w:rsid w:val="00F33777"/>
    <w:rsid w:val="00F4069B"/>
    <w:rsid w:val="00F4572A"/>
    <w:rsid w:val="00F71E50"/>
    <w:rsid w:val="00F86078"/>
    <w:rsid w:val="00FB33A0"/>
    <w:rsid w:val="00FD2A6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1B01D4"/>
  <w15:chartTrackingRefBased/>
  <w15:docId w15:val="{508EC893-0E37-4288-A32D-FE3D91035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5F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5F88"/>
  </w:style>
  <w:style w:type="paragraph" w:styleId="Footer">
    <w:name w:val="footer"/>
    <w:basedOn w:val="Normal"/>
    <w:link w:val="FooterChar"/>
    <w:uiPriority w:val="99"/>
    <w:unhideWhenUsed/>
    <w:rsid w:val="008D5F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5F88"/>
  </w:style>
  <w:style w:type="table" w:customStyle="1" w:styleId="TableGrid1">
    <w:name w:val="Table Grid1"/>
    <w:basedOn w:val="TableNormal"/>
    <w:next w:val="TableGrid"/>
    <w:uiPriority w:val="39"/>
    <w:rsid w:val="009F547C"/>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F54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E05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05F2"/>
    <w:rPr>
      <w:rFonts w:ascii="Segoe UI" w:hAnsi="Segoe UI" w:cs="Segoe UI"/>
      <w:sz w:val="18"/>
      <w:szCs w:val="18"/>
    </w:rPr>
  </w:style>
  <w:style w:type="character" w:styleId="CommentReference">
    <w:name w:val="annotation reference"/>
    <w:basedOn w:val="DefaultParagraphFont"/>
    <w:uiPriority w:val="99"/>
    <w:semiHidden/>
    <w:unhideWhenUsed/>
    <w:rsid w:val="008F26B5"/>
    <w:rPr>
      <w:sz w:val="16"/>
      <w:szCs w:val="16"/>
    </w:rPr>
  </w:style>
  <w:style w:type="paragraph" w:styleId="CommentText">
    <w:name w:val="annotation text"/>
    <w:basedOn w:val="Normal"/>
    <w:link w:val="CommentTextChar"/>
    <w:uiPriority w:val="99"/>
    <w:semiHidden/>
    <w:unhideWhenUsed/>
    <w:rsid w:val="008F26B5"/>
    <w:pPr>
      <w:spacing w:line="240" w:lineRule="auto"/>
    </w:pPr>
    <w:rPr>
      <w:sz w:val="20"/>
      <w:szCs w:val="20"/>
    </w:rPr>
  </w:style>
  <w:style w:type="character" w:customStyle="1" w:styleId="CommentTextChar">
    <w:name w:val="Comment Text Char"/>
    <w:basedOn w:val="DefaultParagraphFont"/>
    <w:link w:val="CommentText"/>
    <w:uiPriority w:val="99"/>
    <w:semiHidden/>
    <w:rsid w:val="008F26B5"/>
    <w:rPr>
      <w:sz w:val="20"/>
      <w:szCs w:val="20"/>
    </w:rPr>
  </w:style>
  <w:style w:type="paragraph" w:styleId="CommentSubject">
    <w:name w:val="annotation subject"/>
    <w:basedOn w:val="CommentText"/>
    <w:next w:val="CommentText"/>
    <w:link w:val="CommentSubjectChar"/>
    <w:uiPriority w:val="99"/>
    <w:semiHidden/>
    <w:unhideWhenUsed/>
    <w:rsid w:val="008F26B5"/>
    <w:rPr>
      <w:b/>
      <w:bCs/>
    </w:rPr>
  </w:style>
  <w:style w:type="character" w:customStyle="1" w:styleId="CommentSubjectChar">
    <w:name w:val="Comment Subject Char"/>
    <w:basedOn w:val="CommentTextChar"/>
    <w:link w:val="CommentSubject"/>
    <w:uiPriority w:val="99"/>
    <w:semiHidden/>
    <w:rsid w:val="008F26B5"/>
    <w:rPr>
      <w:b/>
      <w:bCs/>
      <w:sz w:val="20"/>
      <w:szCs w:val="20"/>
    </w:rPr>
  </w:style>
  <w:style w:type="paragraph" w:styleId="ListParagraph">
    <w:name w:val="List Paragraph"/>
    <w:basedOn w:val="Normal"/>
    <w:uiPriority w:val="34"/>
    <w:qFormat/>
    <w:rsid w:val="00CD15D3"/>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E63B03-B11D-43B5-B8C5-B2CFE0AD5D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63C843-636B-45DC-87F0-6385DEC6BD1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9C77DC9-9984-4052-899A-3ED607D28719}">
  <ds:schemaRefs>
    <ds:schemaRef ds:uri="http://schemas.microsoft.com/sharepoint/v3/contenttype/forms"/>
  </ds:schemaRefs>
</ds:datastoreItem>
</file>

<file path=customXml/itemProps4.xml><?xml version="1.0" encoding="utf-8"?>
<ds:datastoreItem xmlns:ds="http://schemas.openxmlformats.org/officeDocument/2006/customXml" ds:itemID="{25D9CFF3-6DD2-47B0-925B-E14A7072D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686</Words>
  <Characters>3776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XXXXXXX</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XXXXXXX</dc:creator>
  <cp:keywords/>
  <dc:description/>
  <cp:lastModifiedBy>STRANIERO Francesco (EEAS-DUSHANBE)</cp:lastModifiedBy>
  <cp:revision>2</cp:revision>
  <dcterms:created xsi:type="dcterms:W3CDTF">2024-05-28T12:24:00Z</dcterms:created>
  <dcterms:modified xsi:type="dcterms:W3CDTF">2024-05-28T12:24:00Z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0x010100724FDE23FB365D4CB8B2901107175F9F</vt:lpwstr>
  </property>
  <property fmtid="{D5CDD505-2E9C-101B-9397-08002B2CF9AE}" pid="3" name="IsMyDocuments">
    <vt:bool>true</vt:bool>
  </property>
</Properties>
</file>