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1096A" w14:textId="0228F440" w:rsidR="00856DC2" w:rsidRDefault="00161D61" w:rsidP="00BC489D">
      <w:pPr>
        <w:spacing w:before="100" w:beforeAutospacing="1" w:after="0"/>
        <w:jc w:val="center"/>
        <w:rPr>
          <w:b/>
          <w:sz w:val="32"/>
        </w:rPr>
      </w:pPr>
      <w:bookmarkStart w:id="0" w:name="_Hlk522103366"/>
      <w:bookmarkStart w:id="1" w:name="OLE_LINK2"/>
      <w:r>
        <w:rPr>
          <w:b/>
          <w:noProof/>
          <w:sz w:val="32"/>
          <w:lang w:eastAsia="en-GB"/>
        </w:rPr>
        <w:drawing>
          <wp:inline distT="0" distB="0" distL="0" distR="0" wp14:anchorId="38D82979" wp14:editId="25DF4A0F">
            <wp:extent cx="1316990" cy="5734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573405"/>
                    </a:xfrm>
                    <a:prstGeom prst="rect">
                      <a:avLst/>
                    </a:prstGeom>
                    <a:noFill/>
                    <a:ln>
                      <a:noFill/>
                    </a:ln>
                  </pic:spPr>
                </pic:pic>
              </a:graphicData>
            </a:graphic>
          </wp:inline>
        </w:drawing>
      </w:r>
      <w:bookmarkEnd w:id="0"/>
      <w:bookmarkEnd w:id="1"/>
    </w:p>
    <w:p w14:paraId="10C306E5" w14:textId="77777777" w:rsidR="00856DC2" w:rsidRPr="00DA7BF3" w:rsidRDefault="00856DC2" w:rsidP="00856DC2">
      <w:pPr>
        <w:spacing w:before="960"/>
        <w:jc w:val="center"/>
        <w:rPr>
          <w:sz w:val="32"/>
        </w:rPr>
      </w:pPr>
      <w:r w:rsidRPr="00807DAF">
        <w:rPr>
          <w:b/>
          <w:sz w:val="32"/>
        </w:rPr>
        <w:t>Contracting Authority</w:t>
      </w:r>
      <w:r w:rsidRPr="00807DAF">
        <w:rPr>
          <w:sz w:val="32"/>
        </w:rPr>
        <w:t xml:space="preserve">: </w:t>
      </w:r>
      <w:r>
        <w:rPr>
          <w:sz w:val="32"/>
        </w:rPr>
        <w:t>European Commission</w:t>
      </w:r>
    </w:p>
    <w:p w14:paraId="24EC3B70" w14:textId="0C3D24D1" w:rsidR="00761722" w:rsidRDefault="0069000D" w:rsidP="00761722">
      <w:pPr>
        <w:pStyle w:val="Title"/>
        <w:spacing w:before="600"/>
        <w:outlineLvl w:val="0"/>
        <w:rPr>
          <w:b w:val="0"/>
          <w:sz w:val="32"/>
          <w:szCs w:val="32"/>
        </w:rPr>
      </w:pPr>
      <w:r w:rsidRPr="0069000D">
        <w:rPr>
          <w:b w:val="0"/>
          <w:sz w:val="32"/>
          <w:szCs w:val="32"/>
        </w:rPr>
        <w:t xml:space="preserve">Support </w:t>
      </w:r>
      <w:r w:rsidR="00C51EF5">
        <w:rPr>
          <w:b w:val="0"/>
          <w:sz w:val="32"/>
          <w:szCs w:val="32"/>
        </w:rPr>
        <w:t>for the</w:t>
      </w:r>
      <w:r w:rsidRPr="0069000D">
        <w:rPr>
          <w:b w:val="0"/>
          <w:sz w:val="32"/>
          <w:szCs w:val="32"/>
        </w:rPr>
        <w:t xml:space="preserve"> Media and </w:t>
      </w:r>
      <w:r w:rsidR="005D0DA7">
        <w:rPr>
          <w:b w:val="0"/>
          <w:sz w:val="32"/>
          <w:szCs w:val="32"/>
        </w:rPr>
        <w:t xml:space="preserve">Building </w:t>
      </w:r>
      <w:r w:rsidRPr="0069000D">
        <w:rPr>
          <w:b w:val="0"/>
          <w:sz w:val="32"/>
          <w:szCs w:val="32"/>
        </w:rPr>
        <w:t>Public Resilience to Disinformation</w:t>
      </w:r>
      <w:r w:rsidR="005D0DA7">
        <w:rPr>
          <w:b w:val="0"/>
          <w:sz w:val="32"/>
          <w:szCs w:val="32"/>
        </w:rPr>
        <w:t xml:space="preserve"> </w:t>
      </w:r>
      <w:r w:rsidR="00761722">
        <w:rPr>
          <w:b w:val="0"/>
          <w:sz w:val="32"/>
          <w:szCs w:val="32"/>
        </w:rPr>
        <w:t xml:space="preserve">- </w:t>
      </w:r>
      <w:r w:rsidR="00761722" w:rsidRPr="006432CD">
        <w:rPr>
          <w:b w:val="0"/>
          <w:sz w:val="32"/>
          <w:szCs w:val="32"/>
        </w:rPr>
        <w:t>for</w:t>
      </w:r>
      <w:r w:rsidR="00761722">
        <w:rPr>
          <w:b w:val="0"/>
          <w:sz w:val="32"/>
          <w:szCs w:val="32"/>
        </w:rPr>
        <w:t xml:space="preserve"> </w:t>
      </w:r>
      <w:r w:rsidR="00761722" w:rsidRPr="006432CD">
        <w:rPr>
          <w:b w:val="0"/>
          <w:sz w:val="32"/>
          <w:szCs w:val="32"/>
        </w:rPr>
        <w:t>the Republic of Moldova</w:t>
      </w:r>
    </w:p>
    <w:p w14:paraId="15B0ECAA" w14:textId="77777777" w:rsidR="00856DC2" w:rsidRPr="00914130" w:rsidRDefault="00856DC2" w:rsidP="00856DC2">
      <w:pPr>
        <w:pStyle w:val="SubTitle1"/>
        <w:spacing w:before="480"/>
        <w:rPr>
          <w:sz w:val="32"/>
          <w:szCs w:val="32"/>
        </w:rPr>
      </w:pPr>
      <w:r w:rsidRPr="00914130">
        <w:rPr>
          <w:sz w:val="32"/>
          <w:szCs w:val="32"/>
        </w:rPr>
        <w:t>Guidelines for grant</w:t>
      </w:r>
      <w:r>
        <w:rPr>
          <w:sz w:val="32"/>
          <w:szCs w:val="32"/>
        </w:rPr>
        <w:t xml:space="preserve"> </w:t>
      </w:r>
      <w:r w:rsidRPr="00914130">
        <w:rPr>
          <w:sz w:val="32"/>
          <w:szCs w:val="32"/>
        </w:rPr>
        <w:t>applicants</w:t>
      </w:r>
    </w:p>
    <w:p w14:paraId="5F3178A9" w14:textId="08494512" w:rsidR="00856DC2" w:rsidRPr="00B965AB" w:rsidRDefault="00856DC2" w:rsidP="001E2002">
      <w:pPr>
        <w:pStyle w:val="SubTitle1"/>
        <w:spacing w:before="480"/>
        <w:rPr>
          <w:sz w:val="32"/>
          <w:szCs w:val="32"/>
        </w:rPr>
      </w:pPr>
      <w:r w:rsidRPr="007904B1">
        <w:rPr>
          <w:b w:val="0"/>
          <w:sz w:val="32"/>
          <w:szCs w:val="32"/>
        </w:rPr>
        <w:t>Budget line(s):</w:t>
      </w:r>
      <w:r w:rsidRPr="00491A46">
        <w:rPr>
          <w:b w:val="0"/>
          <w:sz w:val="32"/>
          <w:szCs w:val="32"/>
        </w:rPr>
        <w:t xml:space="preserve"> </w:t>
      </w:r>
      <w:r w:rsidR="00E22FDB" w:rsidRPr="001E2002">
        <w:rPr>
          <w:sz w:val="32"/>
          <w:szCs w:val="32"/>
        </w:rPr>
        <w:t>BGUE-B2023-14.020111-C1-NEAR</w:t>
      </w:r>
      <w:r w:rsidR="00E22FDB">
        <w:t> </w:t>
      </w:r>
    </w:p>
    <w:p w14:paraId="07EEE77B" w14:textId="77E23449" w:rsidR="00856DC2" w:rsidRPr="00B965AB" w:rsidRDefault="00856DC2" w:rsidP="00856DC2">
      <w:pPr>
        <w:pStyle w:val="SubTitle2"/>
        <w:rPr>
          <w:b w:val="0"/>
          <w:noProof/>
          <w:szCs w:val="32"/>
        </w:rPr>
      </w:pPr>
      <w:r w:rsidRPr="00B965AB">
        <w:rPr>
          <w:b w:val="0"/>
          <w:szCs w:val="32"/>
        </w:rPr>
        <w:t>Reference</w:t>
      </w:r>
      <w:proofErr w:type="gramStart"/>
      <w:r w:rsidRPr="00B965AB">
        <w:rPr>
          <w:b w:val="0"/>
          <w:szCs w:val="32"/>
        </w:rPr>
        <w:t>:</w:t>
      </w:r>
      <w:proofErr w:type="gramEnd"/>
      <w:r w:rsidRPr="00B965AB">
        <w:rPr>
          <w:b w:val="0"/>
          <w:szCs w:val="32"/>
        </w:rPr>
        <w:br/>
      </w:r>
      <w:proofErr w:type="spellStart"/>
      <w:r w:rsidRPr="00B965AB">
        <w:rPr>
          <w:b w:val="0"/>
          <w:szCs w:val="32"/>
        </w:rPr>
        <w:t>EuropeAid</w:t>
      </w:r>
      <w:proofErr w:type="spellEnd"/>
      <w:r w:rsidRPr="00B965AB">
        <w:rPr>
          <w:b w:val="0"/>
          <w:szCs w:val="32"/>
        </w:rPr>
        <w:t>/</w:t>
      </w:r>
      <w:r w:rsidRPr="00B965AB">
        <w:rPr>
          <w:b w:val="0"/>
          <w:noProof/>
          <w:szCs w:val="32"/>
        </w:rPr>
        <w:t>180556</w:t>
      </w:r>
      <w:r w:rsidRPr="00B965AB">
        <w:rPr>
          <w:b w:val="0"/>
          <w:szCs w:val="32"/>
        </w:rPr>
        <w:t>/</w:t>
      </w:r>
      <w:r w:rsidRPr="00B965AB">
        <w:rPr>
          <w:b w:val="0"/>
          <w:noProof/>
          <w:szCs w:val="32"/>
        </w:rPr>
        <w:t>DD/ACT/</w:t>
      </w:r>
      <w:r w:rsidR="00F97125">
        <w:rPr>
          <w:b w:val="0"/>
          <w:noProof/>
          <w:szCs w:val="32"/>
        </w:rPr>
        <w:t>MD</w:t>
      </w:r>
    </w:p>
    <w:p w14:paraId="7333055D" w14:textId="6BF3CC06" w:rsidR="00856DC2" w:rsidRDefault="00856DC2" w:rsidP="00856DC2">
      <w:pPr>
        <w:pStyle w:val="SubTitle2"/>
        <w:spacing w:after="120"/>
        <w:rPr>
          <w:b w:val="0"/>
          <w:noProof/>
          <w:szCs w:val="32"/>
        </w:rPr>
      </w:pPr>
      <w:r w:rsidRPr="00B965AB">
        <w:rPr>
          <w:b w:val="0"/>
          <w:noProof/>
          <w:szCs w:val="32"/>
        </w:rPr>
        <w:t>Deadline for submission</w:t>
      </w:r>
      <w:r w:rsidRPr="00B965AB">
        <w:rPr>
          <w:rStyle w:val="FootnoteReference"/>
          <w:b w:val="0"/>
          <w:szCs w:val="32"/>
        </w:rPr>
        <w:footnoteReference w:id="2"/>
      </w:r>
      <w:r w:rsidRPr="00B965AB">
        <w:rPr>
          <w:b w:val="0"/>
          <w:noProof/>
          <w:szCs w:val="32"/>
        </w:rPr>
        <w:t xml:space="preserve"> of </w:t>
      </w:r>
      <w:r>
        <w:rPr>
          <w:b w:val="0"/>
          <w:noProof/>
          <w:szCs w:val="32"/>
        </w:rPr>
        <w:t>c</w:t>
      </w:r>
      <w:r w:rsidRPr="00B965AB">
        <w:rPr>
          <w:b w:val="0"/>
          <w:noProof/>
          <w:szCs w:val="32"/>
        </w:rPr>
        <w:t xml:space="preserve">oncept </w:t>
      </w:r>
      <w:r>
        <w:rPr>
          <w:b w:val="0"/>
          <w:noProof/>
          <w:szCs w:val="32"/>
        </w:rPr>
        <w:t>n</w:t>
      </w:r>
      <w:r w:rsidRPr="00B965AB">
        <w:rPr>
          <w:b w:val="0"/>
          <w:noProof/>
          <w:szCs w:val="32"/>
        </w:rPr>
        <w:t>ote</w:t>
      </w:r>
      <w:r>
        <w:rPr>
          <w:b w:val="0"/>
          <w:noProof/>
          <w:szCs w:val="32"/>
        </w:rPr>
        <w:t>s</w:t>
      </w:r>
      <w:r w:rsidRPr="00B965AB">
        <w:rPr>
          <w:b w:val="0"/>
          <w:noProof/>
          <w:szCs w:val="32"/>
        </w:rPr>
        <w:t>:</w:t>
      </w:r>
    </w:p>
    <w:p w14:paraId="0761BD05" w14:textId="77777777" w:rsidR="00856DC2" w:rsidRPr="00B965AB" w:rsidRDefault="00856DC2" w:rsidP="00856DC2">
      <w:pPr>
        <w:pStyle w:val="SubTitle2"/>
        <w:spacing w:after="120"/>
        <w:rPr>
          <w:b w:val="0"/>
          <w:noProof/>
          <w:szCs w:val="32"/>
        </w:rPr>
      </w:pPr>
    </w:p>
    <w:p w14:paraId="4B9D2296" w14:textId="5A8AC556" w:rsidR="00856DC2" w:rsidRPr="008D1F59" w:rsidRDefault="003A3934" w:rsidP="00856DC2">
      <w:pPr>
        <w:pStyle w:val="SubTitle2"/>
        <w:rPr>
          <w:noProof/>
          <w:szCs w:val="32"/>
        </w:rPr>
      </w:pPr>
      <w:r>
        <w:rPr>
          <w:noProof/>
          <w:szCs w:val="32"/>
        </w:rPr>
        <w:t>0</w:t>
      </w:r>
      <w:r w:rsidR="00EF48B7">
        <w:rPr>
          <w:noProof/>
          <w:szCs w:val="32"/>
        </w:rPr>
        <w:t>3</w:t>
      </w:r>
      <w:r w:rsidR="00E22FDB">
        <w:rPr>
          <w:noProof/>
          <w:szCs w:val="32"/>
        </w:rPr>
        <w:t>/0</w:t>
      </w:r>
      <w:r>
        <w:rPr>
          <w:noProof/>
          <w:szCs w:val="32"/>
        </w:rPr>
        <w:t>5</w:t>
      </w:r>
      <w:r w:rsidR="00E22FDB">
        <w:rPr>
          <w:noProof/>
          <w:szCs w:val="32"/>
        </w:rPr>
        <w:t>/2024</w:t>
      </w:r>
      <w:r w:rsidR="00856DC2" w:rsidRPr="008D1F59">
        <w:rPr>
          <w:noProof/>
          <w:szCs w:val="32"/>
        </w:rPr>
        <w:t xml:space="preserve"> at </w:t>
      </w:r>
      <w:r w:rsidR="00F97125">
        <w:rPr>
          <w:noProof/>
          <w:szCs w:val="32"/>
        </w:rPr>
        <w:t xml:space="preserve">16.00 </w:t>
      </w:r>
      <w:r w:rsidR="00856DC2" w:rsidRPr="008D1F59">
        <w:rPr>
          <w:noProof/>
          <w:szCs w:val="32"/>
        </w:rPr>
        <w:t>(Brussels date and time)</w:t>
      </w:r>
    </w:p>
    <w:p w14:paraId="6644B00D" w14:textId="77777777" w:rsidR="00856DC2" w:rsidRPr="003C3B20" w:rsidRDefault="00856DC2" w:rsidP="00856DC2">
      <w:pPr>
        <w:pStyle w:val="SubTitle2"/>
        <w:rPr>
          <w:sz w:val="24"/>
          <w:szCs w:val="24"/>
        </w:rPr>
      </w:pPr>
      <w:r w:rsidRPr="003C3B20">
        <w:rPr>
          <w:b w:val="0"/>
          <w:sz w:val="24"/>
          <w:szCs w:val="24"/>
        </w:rPr>
        <w:t>(</w:t>
      </w:r>
      <w:proofErr w:type="gramStart"/>
      <w:r w:rsidRPr="003C3B20">
        <w:rPr>
          <w:b w:val="0"/>
          <w:sz w:val="24"/>
          <w:szCs w:val="24"/>
        </w:rPr>
        <w:t>in</w:t>
      </w:r>
      <w:proofErr w:type="gramEnd"/>
      <w:r w:rsidRPr="003C3B20">
        <w:rPr>
          <w:b w:val="0"/>
          <w:sz w:val="24"/>
          <w:szCs w:val="24"/>
        </w:rPr>
        <w:t xml:space="preserve"> order to convert to local time click </w:t>
      </w:r>
      <w:hyperlink r:id="rId9" w:history="1">
        <w:r w:rsidRPr="003C3B20">
          <w:rPr>
            <w:rStyle w:val="Hyperlink"/>
            <w:sz w:val="24"/>
            <w:szCs w:val="24"/>
          </w:rPr>
          <w:t>here</w:t>
        </w:r>
      </w:hyperlink>
      <w:r w:rsidRPr="003C3B20">
        <w:rPr>
          <w:rStyle w:val="FootnoteReference"/>
          <w:szCs w:val="24"/>
        </w:rPr>
        <w:footnoteReference w:id="3"/>
      </w:r>
      <w:r w:rsidRPr="003C3B20">
        <w:rPr>
          <w:sz w:val="24"/>
          <w:szCs w:val="24"/>
        </w:rPr>
        <w:t>)</w:t>
      </w:r>
    </w:p>
    <w:p w14:paraId="7422E193" w14:textId="77777777" w:rsidR="007857D2" w:rsidRPr="00EE4E75" w:rsidRDefault="003E79BB" w:rsidP="00EE4E75">
      <w:pPr>
        <w:pStyle w:val="SubTitle1"/>
        <w:rPr>
          <w:sz w:val="32"/>
          <w:szCs w:val="32"/>
        </w:rPr>
      </w:pPr>
      <w:r>
        <w:rPr>
          <w:sz w:val="32"/>
          <w:szCs w:val="32"/>
        </w:rPr>
        <w:br w:type="page"/>
      </w:r>
      <w:r w:rsidR="007857D2" w:rsidRPr="00807DAF">
        <w:rPr>
          <w:sz w:val="32"/>
          <w:szCs w:val="32"/>
        </w:rPr>
        <w:lastRenderedPageBreak/>
        <w:t>NOTICE</w:t>
      </w:r>
    </w:p>
    <w:p w14:paraId="7934B218" w14:textId="77777777" w:rsidR="00BC1D15" w:rsidRPr="00807DAF" w:rsidRDefault="00BC1D15" w:rsidP="00BC1D15">
      <w:pPr>
        <w:pStyle w:val="Subtitle"/>
        <w:spacing w:after="240"/>
        <w:jc w:val="both"/>
        <w:rPr>
          <w:rFonts w:ascii="Times New Roman" w:hAnsi="Times New Roman"/>
          <w:b w:val="0"/>
          <w:sz w:val="22"/>
          <w:szCs w:val="22"/>
          <w:lang w:val="en-GB"/>
        </w:rPr>
      </w:pPr>
      <w:r w:rsidRPr="00EE4E75">
        <w:rPr>
          <w:rFonts w:ascii="Times New Roman" w:hAnsi="Times New Roman"/>
          <w:b w:val="0"/>
          <w:sz w:val="22"/>
          <w:szCs w:val="22"/>
          <w:lang w:val="en-GB"/>
        </w:rPr>
        <w:t>This is a restricted call for proposals. In the first instance, only concept notes (</w:t>
      </w:r>
      <w:r>
        <w:rPr>
          <w:rFonts w:ascii="Times New Roman" w:hAnsi="Times New Roman"/>
          <w:b w:val="0"/>
          <w:sz w:val="22"/>
          <w:szCs w:val="22"/>
          <w:lang w:val="en-GB"/>
        </w:rPr>
        <w:t>Annex</w:t>
      </w:r>
      <w:r w:rsidRPr="00EE4E75">
        <w:rPr>
          <w:rFonts w:ascii="Times New Roman" w:hAnsi="Times New Roman"/>
          <w:b w:val="0"/>
          <w:sz w:val="22"/>
          <w:szCs w:val="22"/>
          <w:lang w:val="en-GB"/>
        </w:rPr>
        <w:t xml:space="preserve"> A</w:t>
      </w:r>
      <w:r>
        <w:rPr>
          <w:rFonts w:ascii="Times New Roman" w:hAnsi="Times New Roman"/>
          <w:b w:val="0"/>
          <w:sz w:val="22"/>
          <w:szCs w:val="22"/>
          <w:lang w:val="en-GB"/>
        </w:rPr>
        <w:t>.1</w:t>
      </w:r>
      <w:r w:rsidRPr="00B37A33">
        <w:rPr>
          <w:rFonts w:ascii="Times New Roman" w:hAnsi="Times New Roman"/>
          <w:b w:val="0"/>
          <w:sz w:val="22"/>
          <w:szCs w:val="22"/>
          <w:lang w:val="en-GB"/>
        </w:rPr>
        <w:t xml:space="preserve"> – Grant application form - Concept note</w:t>
      </w:r>
      <w:r w:rsidRPr="00EE4E75">
        <w:rPr>
          <w:rFonts w:ascii="Times New Roman" w:hAnsi="Times New Roman"/>
          <w:b w:val="0"/>
          <w:sz w:val="22"/>
          <w:szCs w:val="22"/>
          <w:lang w:val="en-GB"/>
        </w:rPr>
        <w:t>) must be submitted for evaluation. Thereafter, lead applicants who have been pre-selected will be invited to submit a full application</w:t>
      </w:r>
      <w:r>
        <w:rPr>
          <w:rFonts w:ascii="Times New Roman" w:hAnsi="Times New Roman"/>
          <w:b w:val="0"/>
          <w:sz w:val="22"/>
          <w:szCs w:val="22"/>
          <w:lang w:val="en-GB"/>
        </w:rPr>
        <w:t xml:space="preserve"> (</w:t>
      </w:r>
      <w:r w:rsidRPr="00B37A33">
        <w:rPr>
          <w:rFonts w:ascii="Times New Roman" w:hAnsi="Times New Roman"/>
          <w:b w:val="0"/>
          <w:sz w:val="22"/>
          <w:szCs w:val="22"/>
          <w:lang w:val="en-GB"/>
        </w:rPr>
        <w:t>Annex A.2 – Grant application form – Full application</w:t>
      </w:r>
      <w:r>
        <w:rPr>
          <w:rFonts w:ascii="Times New Roman" w:hAnsi="Times New Roman"/>
          <w:b w:val="0"/>
          <w:sz w:val="22"/>
          <w:szCs w:val="22"/>
          <w:lang w:val="en-GB"/>
        </w:rPr>
        <w:t>)</w:t>
      </w:r>
      <w:r w:rsidRPr="00EE4E75">
        <w:rPr>
          <w:rFonts w:ascii="Times New Roman" w:hAnsi="Times New Roman"/>
          <w:b w:val="0"/>
          <w:sz w:val="22"/>
          <w:szCs w:val="22"/>
          <w:lang w:val="en-GB"/>
        </w:rPr>
        <w:t>.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r w:rsidRPr="00BA6979">
        <w:rPr>
          <w:rFonts w:ascii="Times New Roman" w:hAnsi="Times New Roman"/>
          <w:b w:val="0"/>
          <w:sz w:val="22"/>
          <w:szCs w:val="22"/>
          <w:lang w:val="en-GB"/>
        </w:rPr>
        <w:t>.</w:t>
      </w:r>
    </w:p>
    <w:p w14:paraId="75A13FEC" w14:textId="77777777" w:rsidR="00EE4E75" w:rsidRPr="00BE543A"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Pr>
          <w:b/>
          <w:snapToGrid w:val="0"/>
          <w:color w:val="auto"/>
          <w:sz w:val="22"/>
          <w:szCs w:val="20"/>
          <w:lang w:eastAsia="en-US"/>
        </w:rPr>
        <w:t>To apply to t</w:t>
      </w:r>
      <w:r w:rsidRPr="00BE543A">
        <w:rPr>
          <w:b/>
          <w:snapToGrid w:val="0"/>
          <w:color w:val="auto"/>
          <w:sz w:val="22"/>
          <w:szCs w:val="20"/>
          <w:lang w:eastAsia="en-US"/>
        </w:rPr>
        <w:t xml:space="preserve">his </w:t>
      </w:r>
      <w:r>
        <w:rPr>
          <w:b/>
          <w:snapToGrid w:val="0"/>
          <w:color w:val="auto"/>
          <w:sz w:val="22"/>
          <w:szCs w:val="20"/>
          <w:lang w:eastAsia="en-US"/>
        </w:rPr>
        <w:t>c</w:t>
      </w:r>
      <w:r w:rsidRPr="00BE543A">
        <w:rPr>
          <w:b/>
          <w:snapToGrid w:val="0"/>
          <w:color w:val="auto"/>
          <w:sz w:val="22"/>
          <w:szCs w:val="20"/>
          <w:lang w:eastAsia="en-US"/>
        </w:rPr>
        <w:t>all</w:t>
      </w:r>
      <w:r>
        <w:rPr>
          <w:b/>
          <w:snapToGrid w:val="0"/>
          <w:color w:val="auto"/>
          <w:sz w:val="22"/>
          <w:szCs w:val="20"/>
          <w:lang w:eastAsia="en-US"/>
        </w:rPr>
        <w:t xml:space="preserve"> for proposals organisations must register in </w:t>
      </w:r>
      <w:proofErr w:type="spellStart"/>
      <w:r>
        <w:rPr>
          <w:b/>
          <w:snapToGrid w:val="0"/>
          <w:color w:val="auto"/>
          <w:sz w:val="22"/>
          <w:szCs w:val="20"/>
          <w:lang w:eastAsia="en-US"/>
        </w:rPr>
        <w:t>PADOR</w:t>
      </w:r>
      <w:proofErr w:type="spellEnd"/>
      <w:r>
        <w:rPr>
          <w:b/>
          <w:snapToGrid w:val="0"/>
          <w:color w:val="auto"/>
          <w:sz w:val="22"/>
          <w:szCs w:val="20"/>
          <w:lang w:eastAsia="en-US"/>
        </w:rPr>
        <w:t xml:space="preserve"> and submit their application in </w:t>
      </w:r>
      <w:proofErr w:type="gramStart"/>
      <w:r>
        <w:rPr>
          <w:b/>
          <w:snapToGrid w:val="0"/>
          <w:color w:val="auto"/>
          <w:sz w:val="22"/>
          <w:szCs w:val="20"/>
          <w:lang w:eastAsia="en-US"/>
        </w:rPr>
        <w:t xml:space="preserve">PROSPECT </w:t>
      </w:r>
      <w:r w:rsidRPr="00BE543A">
        <w:rPr>
          <w:b/>
          <w:snapToGrid w:val="0"/>
          <w:color w:val="auto"/>
          <w:sz w:val="22"/>
          <w:szCs w:val="20"/>
          <w:lang w:eastAsia="en-US"/>
        </w:rPr>
        <w:t xml:space="preserve"> </w:t>
      </w:r>
      <w:r>
        <w:rPr>
          <w:b/>
          <w:snapToGrid w:val="0"/>
          <w:color w:val="auto"/>
          <w:sz w:val="22"/>
          <w:szCs w:val="20"/>
          <w:lang w:eastAsia="en-US"/>
        </w:rPr>
        <w:t>(</w:t>
      </w:r>
      <w:proofErr w:type="gramEnd"/>
      <w:r>
        <w:rPr>
          <w:b/>
          <w:snapToGrid w:val="0"/>
          <w:color w:val="auto"/>
          <w:sz w:val="22"/>
          <w:szCs w:val="20"/>
          <w:lang w:eastAsia="en-US"/>
        </w:rPr>
        <w:t xml:space="preserve">see section 2.2.2 of the guidelines). </w:t>
      </w:r>
      <w:r w:rsidRPr="00BE543A">
        <w:rPr>
          <w:snapToGrid w:val="0"/>
          <w:color w:val="auto"/>
          <w:sz w:val="22"/>
          <w:szCs w:val="20"/>
          <w:lang w:eastAsia="en-US"/>
        </w:rPr>
        <w:t xml:space="preserve">The aim of PROSPECT is to increase the efficiency of the management of the </w:t>
      </w:r>
      <w:r>
        <w:rPr>
          <w:snapToGrid w:val="0"/>
          <w:color w:val="auto"/>
          <w:sz w:val="22"/>
          <w:szCs w:val="20"/>
          <w:lang w:eastAsia="en-US"/>
        </w:rPr>
        <w:t>c</w:t>
      </w:r>
      <w:r w:rsidRPr="00BE543A">
        <w:rPr>
          <w:snapToGrid w:val="0"/>
          <w:color w:val="auto"/>
          <w:sz w:val="22"/>
          <w:szCs w:val="20"/>
          <w:lang w:eastAsia="en-US"/>
        </w:rPr>
        <w:t xml:space="preserve">all for </w:t>
      </w:r>
      <w:r>
        <w:rPr>
          <w:snapToGrid w:val="0"/>
          <w:color w:val="auto"/>
          <w:sz w:val="22"/>
          <w:szCs w:val="20"/>
          <w:lang w:eastAsia="en-US"/>
        </w:rPr>
        <w:t>p</w:t>
      </w:r>
      <w:r w:rsidRPr="00BE543A">
        <w:rPr>
          <w:snapToGrid w:val="0"/>
          <w:color w:val="auto"/>
          <w:sz w:val="22"/>
          <w:szCs w:val="20"/>
          <w:lang w:eastAsia="en-US"/>
        </w:rPr>
        <w:t>roposals and to offer a better service to civil society organisations through a new panel of functionalit</w:t>
      </w:r>
      <w:r>
        <w:rPr>
          <w:snapToGrid w:val="0"/>
          <w:color w:val="auto"/>
          <w:sz w:val="22"/>
          <w:szCs w:val="20"/>
          <w:lang w:eastAsia="en-US"/>
        </w:rPr>
        <w:t>ies such as the on-line submission and</w:t>
      </w:r>
      <w:r w:rsidRPr="00BE543A">
        <w:rPr>
          <w:snapToGrid w:val="0"/>
          <w:color w:val="auto"/>
          <w:sz w:val="22"/>
          <w:szCs w:val="20"/>
          <w:lang w:eastAsia="en-US"/>
        </w:rPr>
        <w:t xml:space="preserve"> the possibility to follow up online </w:t>
      </w:r>
      <w:r>
        <w:rPr>
          <w:snapToGrid w:val="0"/>
          <w:color w:val="auto"/>
          <w:sz w:val="22"/>
          <w:szCs w:val="20"/>
          <w:lang w:eastAsia="en-US"/>
        </w:rPr>
        <w:t>the status of their application.</w:t>
      </w:r>
    </w:p>
    <w:p w14:paraId="461E2EA7" w14:textId="7FA46607" w:rsidR="00BC1D15" w:rsidRPr="00C503D9" w:rsidRDefault="00BC1D15" w:rsidP="00BC1D1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B4103F">
        <w:rPr>
          <w:b/>
          <w:snapToGrid w:val="0"/>
          <w:color w:val="auto"/>
          <w:sz w:val="22"/>
          <w:szCs w:val="20"/>
          <w:lang w:eastAsia="en-US"/>
        </w:rPr>
        <w:t>Preparation</w:t>
      </w:r>
      <w:r w:rsidRPr="00063B9A">
        <w:rPr>
          <w:b/>
          <w:bCs/>
          <w:snapToGrid w:val="0"/>
          <w:color w:val="auto"/>
          <w:sz w:val="22"/>
          <w:szCs w:val="20"/>
          <w:lang w:eastAsia="en-US"/>
        </w:rPr>
        <w:t>:</w:t>
      </w:r>
      <w:r w:rsidRPr="00B4103F">
        <w:rPr>
          <w:snapToGrid w:val="0"/>
          <w:color w:val="auto"/>
          <w:sz w:val="22"/>
          <w:szCs w:val="20"/>
          <w:lang w:eastAsia="en-US"/>
        </w:rPr>
        <w:t xml:space="preserve"> Information </w:t>
      </w:r>
      <w:r w:rsidRPr="00C503D9">
        <w:rPr>
          <w:snapToGrid w:val="0"/>
          <w:color w:val="auto"/>
          <w:sz w:val="22"/>
          <w:szCs w:val="20"/>
          <w:lang w:eastAsia="en-US"/>
        </w:rPr>
        <w:t xml:space="preserve">session </w:t>
      </w:r>
      <w:r w:rsidR="00D6119A" w:rsidRPr="00C503D9">
        <w:rPr>
          <w:snapToGrid w:val="0"/>
          <w:color w:val="auto"/>
          <w:sz w:val="22"/>
          <w:szCs w:val="20"/>
          <w:lang w:eastAsia="en-US"/>
        </w:rPr>
        <w:t xml:space="preserve">28 </w:t>
      </w:r>
      <w:r w:rsidR="00F16E50" w:rsidRPr="00C503D9">
        <w:rPr>
          <w:snapToGrid w:val="0"/>
          <w:color w:val="auto"/>
          <w:sz w:val="22"/>
          <w:szCs w:val="20"/>
          <w:lang w:eastAsia="en-US"/>
        </w:rPr>
        <w:t>March</w:t>
      </w:r>
      <w:r w:rsidRPr="00C503D9">
        <w:rPr>
          <w:snapToGrid w:val="0"/>
          <w:color w:val="auto"/>
          <w:sz w:val="22"/>
          <w:szCs w:val="20"/>
          <w:lang w:eastAsia="en-US"/>
        </w:rPr>
        <w:t xml:space="preserve"> 2024 in Chisinau, Republic of Moldova</w:t>
      </w:r>
      <w:r w:rsidR="003978FE" w:rsidRPr="00C503D9">
        <w:rPr>
          <w:snapToGrid w:val="0"/>
          <w:color w:val="auto"/>
          <w:sz w:val="22"/>
          <w:szCs w:val="20"/>
          <w:lang w:eastAsia="en-US"/>
        </w:rPr>
        <w:t xml:space="preserve"> and user manua</w:t>
      </w:r>
      <w:r w:rsidR="008C36A9">
        <w:rPr>
          <w:snapToGrid w:val="0"/>
          <w:color w:val="auto"/>
          <w:sz w:val="22"/>
          <w:szCs w:val="20"/>
          <w:lang w:eastAsia="en-US"/>
        </w:rPr>
        <w:t>ls</w:t>
      </w:r>
      <w:r w:rsidRPr="00C503D9">
        <w:rPr>
          <w:b/>
          <w:snapToGrid w:val="0"/>
          <w:color w:val="auto"/>
          <w:sz w:val="22"/>
          <w:szCs w:val="20"/>
          <w:lang w:eastAsia="en-US"/>
        </w:rPr>
        <w:t xml:space="preserve"> </w:t>
      </w:r>
    </w:p>
    <w:p w14:paraId="0EF0A87E" w14:textId="6C00BACD" w:rsidR="00BC1D15" w:rsidRPr="00DB5437" w:rsidRDefault="00BC1D15" w:rsidP="00BC1D1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C503D9">
        <w:rPr>
          <w:snapToGrid w:val="0"/>
          <w:color w:val="auto"/>
          <w:sz w:val="22"/>
          <w:szCs w:val="20"/>
          <w:lang w:eastAsia="en-US"/>
        </w:rPr>
        <w:t xml:space="preserve">To help applicants familiarise themselves with the system before the online submission, an information session will be organised on </w:t>
      </w:r>
      <w:r w:rsidR="00D6119A" w:rsidRPr="00C503D9">
        <w:rPr>
          <w:snapToGrid w:val="0"/>
          <w:color w:val="auto"/>
          <w:sz w:val="22"/>
          <w:szCs w:val="20"/>
          <w:lang w:eastAsia="en-US"/>
        </w:rPr>
        <w:t xml:space="preserve">28 </w:t>
      </w:r>
      <w:r w:rsidR="00F16E50" w:rsidRPr="00C503D9">
        <w:rPr>
          <w:snapToGrid w:val="0"/>
          <w:color w:val="auto"/>
          <w:sz w:val="22"/>
          <w:szCs w:val="20"/>
          <w:lang w:eastAsia="en-US"/>
        </w:rPr>
        <w:t xml:space="preserve">March </w:t>
      </w:r>
      <w:r w:rsidR="00BC6524" w:rsidRPr="00C503D9">
        <w:rPr>
          <w:snapToGrid w:val="0"/>
          <w:color w:val="auto"/>
          <w:sz w:val="22"/>
          <w:szCs w:val="20"/>
          <w:lang w:eastAsia="en-US"/>
        </w:rPr>
        <w:t xml:space="preserve">2024 </w:t>
      </w:r>
      <w:r w:rsidRPr="00C503D9">
        <w:rPr>
          <w:snapToGrid w:val="0"/>
          <w:color w:val="auto"/>
          <w:sz w:val="22"/>
          <w:szCs w:val="20"/>
          <w:lang w:eastAsia="en-US"/>
        </w:rPr>
        <w:t>in</w:t>
      </w:r>
      <w:r w:rsidRPr="008303C2">
        <w:rPr>
          <w:snapToGrid w:val="0"/>
          <w:color w:val="auto"/>
          <w:sz w:val="22"/>
          <w:szCs w:val="20"/>
          <w:lang w:eastAsia="en-US"/>
        </w:rPr>
        <w:t xml:space="preserve"> Chisinau, Republic of Moldova</w:t>
      </w:r>
      <w:r w:rsidRPr="00DB5437">
        <w:rPr>
          <w:snapToGrid w:val="0"/>
          <w:color w:val="auto"/>
          <w:sz w:val="22"/>
          <w:szCs w:val="20"/>
          <w:lang w:eastAsia="en-US"/>
        </w:rPr>
        <w:t>.</w:t>
      </w:r>
    </w:p>
    <w:p w14:paraId="417CABDC" w14:textId="4A5806BA" w:rsidR="00BC1D15" w:rsidRPr="00BE543A" w:rsidRDefault="00BC1D15" w:rsidP="00BC1D1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DB5437">
        <w:rPr>
          <w:snapToGrid w:val="0"/>
          <w:color w:val="auto"/>
          <w:sz w:val="22"/>
          <w:szCs w:val="20"/>
          <w:lang w:eastAsia="en-US"/>
        </w:rPr>
        <w:t>Should you be interested in this session</w:t>
      </w:r>
      <w:r>
        <w:rPr>
          <w:snapToGrid w:val="0"/>
          <w:color w:val="auto"/>
          <w:sz w:val="22"/>
          <w:szCs w:val="20"/>
          <w:lang w:eastAsia="en-US"/>
        </w:rPr>
        <w:t xml:space="preserve">, please send an email by </w:t>
      </w:r>
      <w:r w:rsidR="00330299">
        <w:rPr>
          <w:snapToGrid w:val="0"/>
          <w:color w:val="auto"/>
          <w:sz w:val="22"/>
          <w:szCs w:val="20"/>
          <w:lang w:eastAsia="en-US"/>
        </w:rPr>
        <w:t xml:space="preserve">25 </w:t>
      </w:r>
      <w:r w:rsidR="00F16E50" w:rsidRPr="003D21C4">
        <w:rPr>
          <w:snapToGrid w:val="0"/>
          <w:color w:val="auto"/>
          <w:sz w:val="22"/>
          <w:szCs w:val="20"/>
          <w:lang w:eastAsia="en-US"/>
        </w:rPr>
        <w:t>March</w:t>
      </w:r>
      <w:r w:rsidRPr="00262AD9">
        <w:rPr>
          <w:snapToGrid w:val="0"/>
          <w:color w:val="auto"/>
          <w:sz w:val="22"/>
          <w:szCs w:val="20"/>
          <w:lang w:eastAsia="en-US"/>
        </w:rPr>
        <w:t xml:space="preserve"> 202</w:t>
      </w:r>
      <w:r w:rsidR="00605C72" w:rsidRPr="00262AD9">
        <w:rPr>
          <w:snapToGrid w:val="0"/>
          <w:color w:val="auto"/>
          <w:sz w:val="22"/>
          <w:szCs w:val="20"/>
          <w:lang w:eastAsia="en-US"/>
        </w:rPr>
        <w:t>4</w:t>
      </w:r>
      <w:r>
        <w:rPr>
          <w:snapToGrid w:val="0"/>
          <w:color w:val="auto"/>
          <w:sz w:val="22"/>
          <w:szCs w:val="20"/>
          <w:lang w:eastAsia="en-US"/>
        </w:rPr>
        <w:t xml:space="preserve"> COB</w:t>
      </w:r>
      <w:r w:rsidRPr="00DB5437">
        <w:rPr>
          <w:snapToGrid w:val="0"/>
          <w:color w:val="auto"/>
          <w:sz w:val="22"/>
          <w:szCs w:val="20"/>
          <w:lang w:eastAsia="en-US"/>
        </w:rPr>
        <w:t xml:space="preserve"> </w:t>
      </w:r>
      <w:r w:rsidRPr="00B4103F">
        <w:rPr>
          <w:snapToGrid w:val="0"/>
          <w:color w:val="auto"/>
          <w:sz w:val="22"/>
          <w:szCs w:val="20"/>
          <w:lang w:eastAsia="en-US"/>
        </w:rPr>
        <w:t xml:space="preserve">to </w:t>
      </w:r>
      <w:hyperlink r:id="rId10" w:history="1">
        <w:r w:rsidRPr="00DE11D3">
          <w:rPr>
            <w:rStyle w:val="Hyperlink"/>
            <w:snapToGrid w:val="0"/>
            <w:sz w:val="22"/>
            <w:szCs w:val="20"/>
            <w:lang w:eastAsia="en-US"/>
          </w:rPr>
          <w:t>delegation-moldova-operations@eeas.europa.eu</w:t>
        </w:r>
      </w:hyperlink>
      <w:r>
        <w:rPr>
          <w:snapToGrid w:val="0"/>
          <w:color w:val="auto"/>
          <w:sz w:val="22"/>
          <w:szCs w:val="20"/>
          <w:lang w:eastAsia="en-US"/>
        </w:rPr>
        <w:t xml:space="preserve"> </w:t>
      </w:r>
      <w:r w:rsidRPr="00B4103F">
        <w:rPr>
          <w:snapToGrid w:val="0"/>
          <w:color w:val="auto"/>
          <w:sz w:val="22"/>
          <w:szCs w:val="20"/>
          <w:lang w:eastAsia="en-US"/>
        </w:rPr>
        <w:t>indicating: name, surname, nationality and email address of the persons who are going to participate as well as their organisation (max. two participants per organisation). No costs incurred by the applicants for attending this inform</w:t>
      </w:r>
      <w:r>
        <w:rPr>
          <w:snapToGrid w:val="0"/>
          <w:color w:val="auto"/>
          <w:sz w:val="22"/>
          <w:szCs w:val="20"/>
          <w:lang w:eastAsia="en-US"/>
        </w:rPr>
        <w:t>ation session are reimbursable.</w:t>
      </w:r>
    </w:p>
    <w:p w14:paraId="66D9F8B4" w14:textId="77777777" w:rsidR="00EE4E75" w:rsidRDefault="00381EDB" w:rsidP="00EE4E75">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pPr>
      <w:r>
        <w:rPr>
          <w:rFonts w:ascii="Times New Roman" w:hAnsi="Times New Roman"/>
          <w:b w:val="0"/>
          <w:sz w:val="22"/>
          <w:lang w:val="en-GB"/>
        </w:rPr>
        <w:t xml:space="preserve">All organisations may find more information regarding PROSPECT in the </w:t>
      </w:r>
      <w:hyperlink r:id="rId11" w:history="1">
        <w:r w:rsidR="00F874BB">
          <w:rPr>
            <w:rStyle w:val="Hyperlink"/>
            <w:rFonts w:ascii="Times New Roman" w:hAnsi="Times New Roman"/>
            <w:b w:val="0"/>
            <w:sz w:val="22"/>
            <w:lang w:val="en-GB"/>
          </w:rPr>
          <w:t>user's manual</w:t>
        </w:r>
      </w:hyperlink>
      <w:r w:rsidR="00F874BB" w:rsidRPr="0094490A">
        <w:rPr>
          <w:rFonts w:ascii="Times New Roman" w:hAnsi="Times New Roman"/>
          <w:b w:val="0"/>
          <w:sz w:val="22"/>
          <w:lang w:val="en-GB"/>
        </w:rPr>
        <w:t xml:space="preserve"> </w:t>
      </w:r>
      <w:r>
        <w:rPr>
          <w:rFonts w:ascii="Times New Roman" w:hAnsi="Times New Roman"/>
          <w:b w:val="0"/>
          <w:sz w:val="22"/>
          <w:lang w:val="en-GB"/>
        </w:rPr>
        <w:t>and the</w:t>
      </w:r>
      <w:r w:rsidR="00745797">
        <w:rPr>
          <w:rFonts w:ascii="Times New Roman" w:hAnsi="Times New Roman"/>
          <w:b w:val="0"/>
          <w:sz w:val="22"/>
          <w:lang w:val="en-GB"/>
        </w:rPr>
        <w:t xml:space="preserve"> </w:t>
      </w:r>
      <w:hyperlink r:id="rId12" w:history="1">
        <w:r w:rsidR="00F874BB">
          <w:rPr>
            <w:rStyle w:val="Hyperlink"/>
            <w:rFonts w:ascii="Times New Roman" w:hAnsi="Times New Roman"/>
            <w:b w:val="0"/>
            <w:sz w:val="22"/>
            <w:lang w:val="en-GB"/>
          </w:rPr>
          <w:t>e-learning videos</w:t>
        </w:r>
      </w:hyperlink>
      <w:r>
        <w:rPr>
          <w:rFonts w:ascii="Times New Roman" w:hAnsi="Times New Roman"/>
          <w:b w:val="0"/>
          <w:sz w:val="22"/>
          <w:lang w:val="en-GB"/>
        </w:rPr>
        <w:t>. You may also</w:t>
      </w:r>
      <w:r w:rsidRPr="00BE543A">
        <w:rPr>
          <w:rFonts w:ascii="Times New Roman" w:hAnsi="Times New Roman"/>
          <w:b w:val="0"/>
          <w:sz w:val="22"/>
          <w:lang w:val="en-GB"/>
        </w:rPr>
        <w:t xml:space="preserve"> contact our technical support team</w:t>
      </w:r>
      <w:r>
        <w:rPr>
          <w:rFonts w:ascii="Times New Roman" w:hAnsi="Times New Roman"/>
          <w:b w:val="0"/>
          <w:sz w:val="22"/>
          <w:lang w:val="en-GB"/>
        </w:rPr>
        <w:t xml:space="preserve"> via the online support form in PROSPECT</w:t>
      </w:r>
      <w:r w:rsidR="00EE4E75">
        <w:rPr>
          <w:rStyle w:val="FootnoteReference"/>
          <w:rFonts w:ascii="Times New Roman" w:hAnsi="Times New Roman"/>
          <w:b w:val="0"/>
          <w:lang w:val="en-GB"/>
        </w:rPr>
        <w:footnoteReference w:id="4"/>
      </w:r>
      <w:r w:rsidR="00EE4E75">
        <w:rPr>
          <w:rFonts w:ascii="Times New Roman" w:hAnsi="Times New Roman"/>
          <w:b w:val="0"/>
          <w:sz w:val="22"/>
          <w:lang w:val="en-GB"/>
        </w:rPr>
        <w:t>.</w:t>
      </w:r>
    </w:p>
    <w:p w14:paraId="5326ECCD" w14:textId="77777777" w:rsidR="00EE4E75" w:rsidRPr="00BE543A" w:rsidRDefault="00EE4E75" w:rsidP="00EE4E75">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sectPr w:rsidR="00EE4E75" w:rsidRPr="00BE543A" w:rsidSect="00DF6F65">
          <w:footerReference w:type="default" r:id="rId13"/>
          <w:footerReference w:type="first" r:id="rId14"/>
          <w:pgSz w:w="11906" w:h="16838" w:code="9"/>
          <w:pgMar w:top="907" w:right="1134" w:bottom="1134" w:left="1418" w:header="567" w:footer="544" w:gutter="0"/>
          <w:pgNumType w:start="1"/>
          <w:cols w:space="708"/>
          <w:titlePg/>
        </w:sectPr>
      </w:pPr>
    </w:p>
    <w:p w14:paraId="17576564" w14:textId="77777777" w:rsidR="0007408E" w:rsidRPr="00807DAF" w:rsidRDefault="0007408E" w:rsidP="00EF1DCD">
      <w:pPr>
        <w:pageBreakBefore/>
        <w:spacing w:after="600"/>
        <w:jc w:val="center"/>
        <w:rPr>
          <w:sz w:val="32"/>
        </w:rPr>
      </w:pPr>
      <w:r w:rsidRPr="00807DAF">
        <w:rPr>
          <w:sz w:val="32"/>
        </w:rPr>
        <w:t>Table of contents</w:t>
      </w:r>
    </w:p>
    <w:p w14:paraId="0ED97CE8" w14:textId="11D96E78" w:rsidR="00E0648D" w:rsidRDefault="00036F0B">
      <w:pPr>
        <w:pStyle w:val="TOC1"/>
        <w:rPr>
          <w:rFonts w:asciiTheme="minorHAnsi" w:eastAsiaTheme="minorEastAsia" w:hAnsiTheme="minorHAnsi"/>
          <w:b w:val="0"/>
          <w:caps w:val="0"/>
          <w:noProof/>
          <w:szCs w:val="22"/>
          <w:lang w:eastAsia="en-GB"/>
        </w:rPr>
      </w:pPr>
      <w:r>
        <w:rPr>
          <w:b w:val="0"/>
          <w:caps w:val="0"/>
          <w:sz w:val="28"/>
          <w:szCs w:val="28"/>
        </w:rPr>
        <w:fldChar w:fldCharType="begin"/>
      </w:r>
      <w:r>
        <w:rPr>
          <w:b w:val="0"/>
          <w:caps w:val="0"/>
          <w:sz w:val="28"/>
          <w:szCs w:val="28"/>
        </w:rPr>
        <w:instrText xml:space="preserve"> TOC \o "2-3" \h \z \t "Heading 1,1,Application1,1,Guidelines 1,1,Guidelines 2,2,Guidelines 3,3,Guidelines 4,4" </w:instrText>
      </w:r>
      <w:r>
        <w:rPr>
          <w:b w:val="0"/>
          <w:caps w:val="0"/>
          <w:sz w:val="28"/>
          <w:szCs w:val="28"/>
        </w:rPr>
        <w:fldChar w:fldCharType="separate"/>
      </w:r>
      <w:hyperlink w:anchor="_Toc74830943" w:history="1">
        <w:r w:rsidR="00E0648D" w:rsidRPr="004E6483">
          <w:rPr>
            <w:rStyle w:val="Hyperlink"/>
            <w:noProof/>
          </w:rPr>
          <w:t>1.</w:t>
        </w:r>
        <w:r w:rsidR="00E0648D">
          <w:rPr>
            <w:rFonts w:asciiTheme="minorHAnsi" w:eastAsiaTheme="minorEastAsia" w:hAnsiTheme="minorHAnsi"/>
            <w:b w:val="0"/>
            <w:caps w:val="0"/>
            <w:noProof/>
            <w:szCs w:val="22"/>
            <w:lang w:eastAsia="en-GB"/>
          </w:rPr>
          <w:tab/>
        </w:r>
        <w:r w:rsidR="005D0DA7" w:rsidRPr="00D24D83">
          <w:rPr>
            <w:rStyle w:val="Hyperlink"/>
            <w:rFonts w:ascii="Times New Roman" w:hAnsi="Times New Roman"/>
          </w:rPr>
          <w:t xml:space="preserve">SUPPORT </w:t>
        </w:r>
        <w:r w:rsidR="00CE503A">
          <w:rPr>
            <w:rStyle w:val="Hyperlink"/>
            <w:rFonts w:ascii="Times New Roman" w:hAnsi="Times New Roman"/>
          </w:rPr>
          <w:t xml:space="preserve">for the </w:t>
        </w:r>
        <w:r w:rsidR="005D0DA7" w:rsidRPr="00D24D83">
          <w:rPr>
            <w:rStyle w:val="Hyperlink"/>
            <w:rFonts w:ascii="Times New Roman" w:hAnsi="Times New Roman"/>
          </w:rPr>
          <w:t xml:space="preserve"> MEDIA AND BUILDING RESILIENCE TO DISINFORMATION</w:t>
        </w:r>
        <w:r w:rsidR="00E0648D">
          <w:rPr>
            <w:noProof/>
            <w:webHidden/>
          </w:rPr>
          <w:tab/>
        </w:r>
        <w:r w:rsidR="00E0648D">
          <w:rPr>
            <w:noProof/>
            <w:webHidden/>
          </w:rPr>
          <w:fldChar w:fldCharType="begin"/>
        </w:r>
        <w:r w:rsidR="00E0648D">
          <w:rPr>
            <w:noProof/>
            <w:webHidden/>
          </w:rPr>
          <w:instrText xml:space="preserve"> PAGEREF _Toc74830943 \h </w:instrText>
        </w:r>
        <w:r w:rsidR="00E0648D">
          <w:rPr>
            <w:noProof/>
            <w:webHidden/>
          </w:rPr>
        </w:r>
        <w:r w:rsidR="00E0648D">
          <w:rPr>
            <w:noProof/>
            <w:webHidden/>
          </w:rPr>
          <w:fldChar w:fldCharType="separate"/>
        </w:r>
        <w:r w:rsidR="00E0648D">
          <w:rPr>
            <w:noProof/>
            <w:webHidden/>
          </w:rPr>
          <w:t>4</w:t>
        </w:r>
        <w:r w:rsidR="00E0648D">
          <w:rPr>
            <w:noProof/>
            <w:webHidden/>
          </w:rPr>
          <w:fldChar w:fldCharType="end"/>
        </w:r>
      </w:hyperlink>
    </w:p>
    <w:p w14:paraId="48998003" w14:textId="77777777" w:rsidR="00E0648D" w:rsidRDefault="00CE131A">
      <w:pPr>
        <w:pStyle w:val="TOC2"/>
        <w:rPr>
          <w:rFonts w:asciiTheme="minorHAnsi" w:eastAsiaTheme="minorEastAsia" w:hAnsiTheme="minorHAnsi"/>
          <w:noProof/>
          <w:szCs w:val="22"/>
          <w:lang w:eastAsia="en-GB"/>
        </w:rPr>
      </w:pPr>
      <w:hyperlink w:anchor="_Toc74830944" w:history="1">
        <w:r w:rsidR="00E0648D" w:rsidRPr="004E6483">
          <w:rPr>
            <w:rStyle w:val="Hyperlink"/>
            <w:noProof/>
          </w:rPr>
          <w:t>1.1.</w:t>
        </w:r>
        <w:r w:rsidR="00E0648D">
          <w:rPr>
            <w:rFonts w:asciiTheme="minorHAnsi" w:eastAsiaTheme="minorEastAsia" w:hAnsiTheme="minorHAnsi"/>
            <w:noProof/>
            <w:szCs w:val="22"/>
            <w:lang w:eastAsia="en-GB"/>
          </w:rPr>
          <w:tab/>
        </w:r>
        <w:r w:rsidR="00E0648D" w:rsidRPr="004E6483">
          <w:rPr>
            <w:rStyle w:val="Hyperlink"/>
            <w:noProof/>
          </w:rPr>
          <w:t>Background</w:t>
        </w:r>
        <w:r w:rsidR="00E0648D">
          <w:rPr>
            <w:noProof/>
            <w:webHidden/>
          </w:rPr>
          <w:tab/>
        </w:r>
        <w:r w:rsidR="00E0648D">
          <w:rPr>
            <w:noProof/>
            <w:webHidden/>
          </w:rPr>
          <w:fldChar w:fldCharType="begin"/>
        </w:r>
        <w:r w:rsidR="00E0648D">
          <w:rPr>
            <w:noProof/>
            <w:webHidden/>
          </w:rPr>
          <w:instrText xml:space="preserve"> PAGEREF _Toc74830944 \h </w:instrText>
        </w:r>
        <w:r w:rsidR="00E0648D">
          <w:rPr>
            <w:noProof/>
            <w:webHidden/>
          </w:rPr>
        </w:r>
        <w:r w:rsidR="00E0648D">
          <w:rPr>
            <w:noProof/>
            <w:webHidden/>
          </w:rPr>
          <w:fldChar w:fldCharType="separate"/>
        </w:r>
        <w:r w:rsidR="00E0648D">
          <w:rPr>
            <w:noProof/>
            <w:webHidden/>
          </w:rPr>
          <w:t>4</w:t>
        </w:r>
        <w:r w:rsidR="00E0648D">
          <w:rPr>
            <w:noProof/>
            <w:webHidden/>
          </w:rPr>
          <w:fldChar w:fldCharType="end"/>
        </w:r>
      </w:hyperlink>
    </w:p>
    <w:p w14:paraId="43D0C19D" w14:textId="77777777" w:rsidR="00E0648D" w:rsidRDefault="00CE131A">
      <w:pPr>
        <w:pStyle w:val="TOC2"/>
        <w:rPr>
          <w:rFonts w:asciiTheme="minorHAnsi" w:eastAsiaTheme="minorEastAsia" w:hAnsiTheme="minorHAnsi"/>
          <w:noProof/>
          <w:szCs w:val="22"/>
          <w:lang w:eastAsia="en-GB"/>
        </w:rPr>
      </w:pPr>
      <w:hyperlink w:anchor="_Toc74830945" w:history="1">
        <w:r w:rsidR="00E0648D" w:rsidRPr="004E6483">
          <w:rPr>
            <w:rStyle w:val="Hyperlink"/>
            <w:noProof/>
          </w:rPr>
          <w:t>1.2.</w:t>
        </w:r>
        <w:r w:rsidR="00E0648D">
          <w:rPr>
            <w:rFonts w:asciiTheme="minorHAnsi" w:eastAsiaTheme="minorEastAsia" w:hAnsiTheme="minorHAnsi"/>
            <w:noProof/>
            <w:szCs w:val="22"/>
            <w:lang w:eastAsia="en-GB"/>
          </w:rPr>
          <w:tab/>
        </w:r>
        <w:r w:rsidR="00E0648D" w:rsidRPr="004E6483">
          <w:rPr>
            <w:rStyle w:val="Hyperlink"/>
            <w:noProof/>
          </w:rPr>
          <w:t>Objectives of the programme and priority issues</w:t>
        </w:r>
        <w:r w:rsidR="00E0648D">
          <w:rPr>
            <w:noProof/>
            <w:webHidden/>
          </w:rPr>
          <w:tab/>
        </w:r>
        <w:r w:rsidR="00E0648D">
          <w:rPr>
            <w:noProof/>
            <w:webHidden/>
          </w:rPr>
          <w:fldChar w:fldCharType="begin"/>
        </w:r>
        <w:r w:rsidR="00E0648D">
          <w:rPr>
            <w:noProof/>
            <w:webHidden/>
          </w:rPr>
          <w:instrText xml:space="preserve"> PAGEREF _Toc74830945 \h </w:instrText>
        </w:r>
        <w:r w:rsidR="00E0648D">
          <w:rPr>
            <w:noProof/>
            <w:webHidden/>
          </w:rPr>
        </w:r>
        <w:r w:rsidR="00E0648D">
          <w:rPr>
            <w:noProof/>
            <w:webHidden/>
          </w:rPr>
          <w:fldChar w:fldCharType="separate"/>
        </w:r>
        <w:r w:rsidR="00E0648D">
          <w:rPr>
            <w:noProof/>
            <w:webHidden/>
          </w:rPr>
          <w:t>4</w:t>
        </w:r>
        <w:r w:rsidR="00E0648D">
          <w:rPr>
            <w:noProof/>
            <w:webHidden/>
          </w:rPr>
          <w:fldChar w:fldCharType="end"/>
        </w:r>
      </w:hyperlink>
    </w:p>
    <w:p w14:paraId="3AA08BA9" w14:textId="2DE8A846" w:rsidR="00E0648D" w:rsidRDefault="00CE131A">
      <w:pPr>
        <w:pStyle w:val="TOC2"/>
        <w:rPr>
          <w:rFonts w:asciiTheme="minorHAnsi" w:eastAsiaTheme="minorEastAsia" w:hAnsiTheme="minorHAnsi"/>
          <w:noProof/>
          <w:szCs w:val="22"/>
          <w:lang w:eastAsia="en-GB"/>
        </w:rPr>
      </w:pPr>
      <w:hyperlink w:anchor="_Toc74830946" w:history="1">
        <w:r w:rsidR="00522016" w:rsidRPr="004E6483">
          <w:rPr>
            <w:rStyle w:val="Hyperlink"/>
            <w:noProof/>
          </w:rPr>
          <w:t>1.3.</w:t>
        </w:r>
        <w:r w:rsidR="00522016">
          <w:rPr>
            <w:rFonts w:asciiTheme="minorHAnsi" w:eastAsiaTheme="minorEastAsia" w:hAnsiTheme="minorHAnsi"/>
            <w:noProof/>
            <w:szCs w:val="22"/>
            <w:lang w:eastAsia="en-GB"/>
          </w:rPr>
          <w:tab/>
        </w:r>
        <w:r w:rsidR="00522016" w:rsidRPr="004E6483">
          <w:rPr>
            <w:rStyle w:val="Hyperlink"/>
            <w:noProof/>
          </w:rPr>
          <w:t>Financial allocation provided by the contracting authority</w:t>
        </w:r>
        <w:r w:rsidR="00522016">
          <w:rPr>
            <w:noProof/>
            <w:webHidden/>
          </w:rPr>
          <w:tab/>
          <w:t>5</w:t>
        </w:r>
      </w:hyperlink>
    </w:p>
    <w:p w14:paraId="3C1AB440" w14:textId="77777777" w:rsidR="00E0648D" w:rsidRDefault="00CE131A">
      <w:pPr>
        <w:pStyle w:val="TOC1"/>
        <w:rPr>
          <w:rFonts w:asciiTheme="minorHAnsi" w:eastAsiaTheme="minorEastAsia" w:hAnsiTheme="minorHAnsi"/>
          <w:b w:val="0"/>
          <w:caps w:val="0"/>
          <w:noProof/>
          <w:szCs w:val="22"/>
          <w:lang w:eastAsia="en-GB"/>
        </w:rPr>
      </w:pPr>
      <w:hyperlink w:anchor="_Toc74830947" w:history="1">
        <w:r w:rsidR="00E0648D" w:rsidRPr="004E6483">
          <w:rPr>
            <w:rStyle w:val="Hyperlink"/>
            <w:noProof/>
          </w:rPr>
          <w:t>2.</w:t>
        </w:r>
        <w:r w:rsidR="00E0648D">
          <w:rPr>
            <w:rFonts w:asciiTheme="minorHAnsi" w:eastAsiaTheme="minorEastAsia" w:hAnsiTheme="minorHAnsi"/>
            <w:b w:val="0"/>
            <w:caps w:val="0"/>
            <w:noProof/>
            <w:szCs w:val="22"/>
            <w:lang w:eastAsia="en-GB"/>
          </w:rPr>
          <w:tab/>
        </w:r>
        <w:r w:rsidR="00E0648D" w:rsidRPr="004E6483">
          <w:rPr>
            <w:rStyle w:val="Hyperlink"/>
            <w:rFonts w:ascii="Times New Roman" w:hAnsi="Times New Roman"/>
            <w:noProof/>
          </w:rPr>
          <w:t>Rules FOR thIS call for proposalS</w:t>
        </w:r>
        <w:r w:rsidR="00E0648D">
          <w:rPr>
            <w:noProof/>
            <w:webHidden/>
          </w:rPr>
          <w:tab/>
        </w:r>
        <w:r w:rsidR="00E0648D">
          <w:rPr>
            <w:noProof/>
            <w:webHidden/>
          </w:rPr>
          <w:fldChar w:fldCharType="begin"/>
        </w:r>
        <w:r w:rsidR="00E0648D">
          <w:rPr>
            <w:noProof/>
            <w:webHidden/>
          </w:rPr>
          <w:instrText xml:space="preserve"> PAGEREF _Toc74830947 \h </w:instrText>
        </w:r>
        <w:r w:rsidR="00E0648D">
          <w:rPr>
            <w:noProof/>
            <w:webHidden/>
          </w:rPr>
        </w:r>
        <w:r w:rsidR="00E0648D">
          <w:rPr>
            <w:noProof/>
            <w:webHidden/>
          </w:rPr>
          <w:fldChar w:fldCharType="separate"/>
        </w:r>
        <w:r w:rsidR="00E0648D">
          <w:rPr>
            <w:noProof/>
            <w:webHidden/>
          </w:rPr>
          <w:t>6</w:t>
        </w:r>
        <w:r w:rsidR="00E0648D">
          <w:rPr>
            <w:noProof/>
            <w:webHidden/>
          </w:rPr>
          <w:fldChar w:fldCharType="end"/>
        </w:r>
      </w:hyperlink>
    </w:p>
    <w:p w14:paraId="6781DDA1" w14:textId="77777777" w:rsidR="00E0648D" w:rsidRDefault="00CE131A">
      <w:pPr>
        <w:pStyle w:val="TOC2"/>
        <w:rPr>
          <w:rFonts w:asciiTheme="minorHAnsi" w:eastAsiaTheme="minorEastAsia" w:hAnsiTheme="minorHAnsi"/>
          <w:noProof/>
          <w:szCs w:val="22"/>
          <w:lang w:eastAsia="en-GB"/>
        </w:rPr>
      </w:pPr>
      <w:hyperlink w:anchor="_Toc74830948" w:history="1">
        <w:r w:rsidR="00E0648D" w:rsidRPr="004E6483">
          <w:rPr>
            <w:rStyle w:val="Hyperlink"/>
            <w:noProof/>
          </w:rPr>
          <w:t>2.1.</w:t>
        </w:r>
        <w:r w:rsidR="00E0648D">
          <w:rPr>
            <w:rFonts w:asciiTheme="minorHAnsi" w:eastAsiaTheme="minorEastAsia" w:hAnsiTheme="minorHAnsi"/>
            <w:noProof/>
            <w:szCs w:val="22"/>
            <w:lang w:eastAsia="en-GB"/>
          </w:rPr>
          <w:tab/>
        </w:r>
        <w:r w:rsidR="00E0648D" w:rsidRPr="004E6483">
          <w:rPr>
            <w:rStyle w:val="Hyperlink"/>
            <w:noProof/>
          </w:rPr>
          <w:t>Eligibility criteria</w:t>
        </w:r>
        <w:r w:rsidR="00E0648D">
          <w:rPr>
            <w:noProof/>
            <w:webHidden/>
          </w:rPr>
          <w:tab/>
        </w:r>
        <w:r w:rsidR="00E0648D">
          <w:rPr>
            <w:noProof/>
            <w:webHidden/>
          </w:rPr>
          <w:fldChar w:fldCharType="begin"/>
        </w:r>
        <w:r w:rsidR="00E0648D">
          <w:rPr>
            <w:noProof/>
            <w:webHidden/>
          </w:rPr>
          <w:instrText xml:space="preserve"> PAGEREF _Toc74830948 \h </w:instrText>
        </w:r>
        <w:r w:rsidR="00E0648D">
          <w:rPr>
            <w:noProof/>
            <w:webHidden/>
          </w:rPr>
        </w:r>
        <w:r w:rsidR="00E0648D">
          <w:rPr>
            <w:noProof/>
            <w:webHidden/>
          </w:rPr>
          <w:fldChar w:fldCharType="separate"/>
        </w:r>
        <w:r w:rsidR="00E0648D">
          <w:rPr>
            <w:noProof/>
            <w:webHidden/>
          </w:rPr>
          <w:t>6</w:t>
        </w:r>
        <w:r w:rsidR="00E0648D">
          <w:rPr>
            <w:noProof/>
            <w:webHidden/>
          </w:rPr>
          <w:fldChar w:fldCharType="end"/>
        </w:r>
      </w:hyperlink>
    </w:p>
    <w:p w14:paraId="7C205648" w14:textId="77777777" w:rsidR="00E0648D" w:rsidRDefault="00CE131A">
      <w:pPr>
        <w:pStyle w:val="TOC3"/>
        <w:rPr>
          <w:rFonts w:asciiTheme="minorHAnsi" w:eastAsiaTheme="minorEastAsia" w:hAnsiTheme="minorHAnsi"/>
          <w:sz w:val="22"/>
          <w:szCs w:val="22"/>
          <w:lang w:eastAsia="en-GB"/>
        </w:rPr>
      </w:pPr>
      <w:hyperlink w:anchor="_Toc74830949" w:history="1">
        <w:r w:rsidR="00E0648D" w:rsidRPr="004E6483">
          <w:rPr>
            <w:rStyle w:val="Hyperlink"/>
            <w:rFonts w:ascii="Times New Roman Bold" w:hAnsi="Times New Roman Bold"/>
          </w:rPr>
          <w:t>2.1.1.</w:t>
        </w:r>
        <w:r w:rsidR="00E0648D">
          <w:rPr>
            <w:rFonts w:asciiTheme="minorHAnsi" w:eastAsiaTheme="minorEastAsia" w:hAnsiTheme="minorHAnsi"/>
            <w:sz w:val="22"/>
            <w:szCs w:val="22"/>
            <w:lang w:eastAsia="en-GB"/>
          </w:rPr>
          <w:tab/>
        </w:r>
        <w:r w:rsidR="00E0648D" w:rsidRPr="004E6483">
          <w:rPr>
            <w:rStyle w:val="Hyperlink"/>
          </w:rPr>
          <w:t>Eligibility of applicants (i.e. lead applicant and co-applicant(s))</w:t>
        </w:r>
        <w:r w:rsidR="00E0648D">
          <w:rPr>
            <w:webHidden/>
          </w:rPr>
          <w:tab/>
        </w:r>
        <w:r w:rsidR="00E0648D">
          <w:rPr>
            <w:webHidden/>
          </w:rPr>
          <w:fldChar w:fldCharType="begin"/>
        </w:r>
        <w:r w:rsidR="00E0648D">
          <w:rPr>
            <w:webHidden/>
          </w:rPr>
          <w:instrText xml:space="preserve"> PAGEREF _Toc74830949 \h </w:instrText>
        </w:r>
        <w:r w:rsidR="00E0648D">
          <w:rPr>
            <w:webHidden/>
          </w:rPr>
        </w:r>
        <w:r w:rsidR="00E0648D">
          <w:rPr>
            <w:webHidden/>
          </w:rPr>
          <w:fldChar w:fldCharType="separate"/>
        </w:r>
        <w:r w:rsidR="00E0648D">
          <w:rPr>
            <w:webHidden/>
          </w:rPr>
          <w:t>6</w:t>
        </w:r>
        <w:r w:rsidR="00E0648D">
          <w:rPr>
            <w:webHidden/>
          </w:rPr>
          <w:fldChar w:fldCharType="end"/>
        </w:r>
      </w:hyperlink>
    </w:p>
    <w:p w14:paraId="7F9AFE77" w14:textId="77777777" w:rsidR="00E0648D" w:rsidRDefault="00CE131A">
      <w:pPr>
        <w:pStyle w:val="TOC3"/>
        <w:rPr>
          <w:rFonts w:asciiTheme="minorHAnsi" w:eastAsiaTheme="minorEastAsia" w:hAnsiTheme="minorHAnsi"/>
          <w:sz w:val="22"/>
          <w:szCs w:val="22"/>
          <w:lang w:eastAsia="en-GB"/>
        </w:rPr>
      </w:pPr>
      <w:hyperlink w:anchor="_Toc74830950" w:history="1">
        <w:r w:rsidR="00E0648D" w:rsidRPr="004E6483">
          <w:rPr>
            <w:rStyle w:val="Hyperlink"/>
            <w:rFonts w:ascii="Times New Roman Bold" w:hAnsi="Times New Roman Bold"/>
          </w:rPr>
          <w:t>2.1.2.</w:t>
        </w:r>
        <w:r w:rsidR="00E0648D">
          <w:rPr>
            <w:rFonts w:asciiTheme="minorHAnsi" w:eastAsiaTheme="minorEastAsia" w:hAnsiTheme="minorHAnsi"/>
            <w:sz w:val="22"/>
            <w:szCs w:val="22"/>
            <w:lang w:eastAsia="en-GB"/>
          </w:rPr>
          <w:tab/>
        </w:r>
        <w:r w:rsidR="00E0648D" w:rsidRPr="004E6483">
          <w:rPr>
            <w:rStyle w:val="Hyperlink"/>
          </w:rPr>
          <w:t>Associates and contractors</w:t>
        </w:r>
        <w:r w:rsidR="00E0648D">
          <w:rPr>
            <w:webHidden/>
          </w:rPr>
          <w:tab/>
        </w:r>
        <w:r w:rsidR="00E0648D">
          <w:rPr>
            <w:webHidden/>
          </w:rPr>
          <w:fldChar w:fldCharType="begin"/>
        </w:r>
        <w:r w:rsidR="00E0648D">
          <w:rPr>
            <w:webHidden/>
          </w:rPr>
          <w:instrText xml:space="preserve"> PAGEREF _Toc74830950 \h </w:instrText>
        </w:r>
        <w:r w:rsidR="00E0648D">
          <w:rPr>
            <w:webHidden/>
          </w:rPr>
        </w:r>
        <w:r w:rsidR="00E0648D">
          <w:rPr>
            <w:webHidden/>
          </w:rPr>
          <w:fldChar w:fldCharType="separate"/>
        </w:r>
        <w:r w:rsidR="00E0648D">
          <w:rPr>
            <w:webHidden/>
          </w:rPr>
          <w:t>9</w:t>
        </w:r>
        <w:r w:rsidR="00E0648D">
          <w:rPr>
            <w:webHidden/>
          </w:rPr>
          <w:fldChar w:fldCharType="end"/>
        </w:r>
      </w:hyperlink>
    </w:p>
    <w:p w14:paraId="7821143D" w14:textId="40BC7958" w:rsidR="00E0648D" w:rsidRDefault="00CE131A">
      <w:pPr>
        <w:pStyle w:val="TOC3"/>
        <w:rPr>
          <w:rFonts w:asciiTheme="minorHAnsi" w:eastAsiaTheme="minorEastAsia" w:hAnsiTheme="minorHAnsi"/>
          <w:sz w:val="22"/>
          <w:szCs w:val="22"/>
          <w:lang w:eastAsia="en-GB"/>
        </w:rPr>
      </w:pPr>
      <w:hyperlink w:anchor="_Toc74830951" w:history="1">
        <w:r w:rsidR="00522016" w:rsidRPr="004E6483">
          <w:rPr>
            <w:rStyle w:val="Hyperlink"/>
            <w:rFonts w:ascii="Times New Roman Bold" w:hAnsi="Times New Roman Bold"/>
          </w:rPr>
          <w:t>2.1.3.</w:t>
        </w:r>
        <w:r w:rsidR="00522016">
          <w:rPr>
            <w:rFonts w:asciiTheme="minorHAnsi" w:eastAsiaTheme="minorEastAsia" w:hAnsiTheme="minorHAnsi"/>
            <w:sz w:val="22"/>
            <w:szCs w:val="22"/>
            <w:lang w:eastAsia="en-GB"/>
          </w:rPr>
          <w:tab/>
        </w:r>
        <w:r w:rsidR="00522016" w:rsidRPr="004E6483">
          <w:rPr>
            <w:rStyle w:val="Hyperlink"/>
          </w:rPr>
          <w:t>Eligible actions: actions for which an application may be made</w:t>
        </w:r>
        <w:r w:rsidR="00522016">
          <w:rPr>
            <w:webHidden/>
          </w:rPr>
          <w:tab/>
          <w:t>9</w:t>
        </w:r>
      </w:hyperlink>
    </w:p>
    <w:p w14:paraId="28124F7D" w14:textId="0C37C4E9" w:rsidR="00E0648D" w:rsidRDefault="00CE131A">
      <w:pPr>
        <w:pStyle w:val="TOC3"/>
        <w:rPr>
          <w:rFonts w:asciiTheme="minorHAnsi" w:eastAsiaTheme="minorEastAsia" w:hAnsiTheme="minorHAnsi"/>
          <w:sz w:val="22"/>
          <w:szCs w:val="22"/>
          <w:lang w:eastAsia="en-GB"/>
        </w:rPr>
      </w:pPr>
      <w:hyperlink w:anchor="_Toc74830952" w:history="1">
        <w:r w:rsidR="00522016" w:rsidRPr="004E6483">
          <w:rPr>
            <w:rStyle w:val="Hyperlink"/>
            <w:rFonts w:ascii="Times New Roman Bold" w:hAnsi="Times New Roman Bold"/>
          </w:rPr>
          <w:t>2.1.4.</w:t>
        </w:r>
        <w:r w:rsidR="00522016">
          <w:rPr>
            <w:rFonts w:asciiTheme="minorHAnsi" w:eastAsiaTheme="minorEastAsia" w:hAnsiTheme="minorHAnsi"/>
            <w:sz w:val="22"/>
            <w:szCs w:val="22"/>
            <w:lang w:eastAsia="en-GB"/>
          </w:rPr>
          <w:tab/>
        </w:r>
        <w:r w:rsidR="00522016" w:rsidRPr="004E6483">
          <w:rPr>
            <w:rStyle w:val="Hyperlink"/>
          </w:rPr>
          <w:t>Eligibility of costs: costs that can be included</w:t>
        </w:r>
        <w:r w:rsidR="00522016">
          <w:rPr>
            <w:webHidden/>
          </w:rPr>
          <w:tab/>
        </w:r>
        <w:r w:rsidR="00522016">
          <w:rPr>
            <w:webHidden/>
          </w:rPr>
          <w:fldChar w:fldCharType="begin"/>
        </w:r>
        <w:r w:rsidR="00522016">
          <w:rPr>
            <w:webHidden/>
          </w:rPr>
          <w:instrText xml:space="preserve"> PAGEREF _Toc74830952 \h </w:instrText>
        </w:r>
        <w:r w:rsidR="00522016">
          <w:rPr>
            <w:webHidden/>
          </w:rPr>
        </w:r>
        <w:r w:rsidR="00522016">
          <w:rPr>
            <w:webHidden/>
          </w:rPr>
          <w:fldChar w:fldCharType="separate"/>
        </w:r>
        <w:r w:rsidR="00522016">
          <w:rPr>
            <w:webHidden/>
          </w:rPr>
          <w:t>13</w:t>
        </w:r>
        <w:r w:rsidR="00522016">
          <w:rPr>
            <w:webHidden/>
          </w:rPr>
          <w:fldChar w:fldCharType="end"/>
        </w:r>
      </w:hyperlink>
    </w:p>
    <w:p w14:paraId="61803477" w14:textId="0EB6343A" w:rsidR="00E0648D" w:rsidRDefault="00CE131A">
      <w:pPr>
        <w:pStyle w:val="TOC3"/>
        <w:rPr>
          <w:rFonts w:asciiTheme="minorHAnsi" w:eastAsiaTheme="minorEastAsia" w:hAnsiTheme="minorHAnsi"/>
          <w:sz w:val="22"/>
          <w:szCs w:val="22"/>
          <w:lang w:eastAsia="en-GB"/>
        </w:rPr>
      </w:pPr>
      <w:hyperlink w:anchor="_Toc74830953" w:history="1">
        <w:r w:rsidR="00522016" w:rsidRPr="004E6483">
          <w:rPr>
            <w:rStyle w:val="Hyperlink"/>
            <w:rFonts w:ascii="Times New Roman Bold" w:hAnsi="Times New Roman Bold"/>
          </w:rPr>
          <w:t>2.1.5.</w:t>
        </w:r>
        <w:r w:rsidR="00522016">
          <w:rPr>
            <w:rFonts w:asciiTheme="minorHAnsi" w:eastAsiaTheme="minorEastAsia" w:hAnsiTheme="minorHAnsi"/>
            <w:sz w:val="22"/>
            <w:szCs w:val="22"/>
            <w:lang w:eastAsia="en-GB"/>
          </w:rPr>
          <w:tab/>
        </w:r>
        <w:r w:rsidR="00522016" w:rsidRPr="004E6483">
          <w:rPr>
            <w:rStyle w:val="Hyperlink"/>
          </w:rPr>
          <w:t>Ethics clauses and Code of Conduct</w:t>
        </w:r>
        <w:r w:rsidR="00522016">
          <w:rPr>
            <w:webHidden/>
          </w:rPr>
          <w:tab/>
          <w:t>15</w:t>
        </w:r>
      </w:hyperlink>
    </w:p>
    <w:p w14:paraId="0E69B311" w14:textId="5E789CDC" w:rsidR="00E0648D" w:rsidRDefault="00CE131A">
      <w:pPr>
        <w:pStyle w:val="TOC2"/>
        <w:rPr>
          <w:rFonts w:asciiTheme="minorHAnsi" w:eastAsiaTheme="minorEastAsia" w:hAnsiTheme="minorHAnsi"/>
          <w:noProof/>
          <w:szCs w:val="22"/>
          <w:lang w:eastAsia="en-GB"/>
        </w:rPr>
      </w:pPr>
      <w:hyperlink w:anchor="_Toc74830954" w:history="1">
        <w:r w:rsidR="00522016" w:rsidRPr="004E6483">
          <w:rPr>
            <w:rStyle w:val="Hyperlink"/>
            <w:noProof/>
          </w:rPr>
          <w:t>2.2.</w:t>
        </w:r>
        <w:r w:rsidR="00522016">
          <w:rPr>
            <w:rFonts w:asciiTheme="minorHAnsi" w:eastAsiaTheme="minorEastAsia" w:hAnsiTheme="minorHAnsi"/>
            <w:noProof/>
            <w:szCs w:val="22"/>
            <w:lang w:eastAsia="en-GB"/>
          </w:rPr>
          <w:tab/>
        </w:r>
        <w:r w:rsidR="00522016" w:rsidRPr="004E6483">
          <w:rPr>
            <w:rStyle w:val="Hyperlink"/>
            <w:noProof/>
          </w:rPr>
          <w:t>How to apply and the procedures to follow</w:t>
        </w:r>
        <w:r w:rsidR="00522016">
          <w:rPr>
            <w:noProof/>
            <w:webHidden/>
          </w:rPr>
          <w:tab/>
        </w:r>
        <w:r w:rsidR="00522016">
          <w:rPr>
            <w:noProof/>
            <w:webHidden/>
          </w:rPr>
          <w:fldChar w:fldCharType="begin"/>
        </w:r>
        <w:r w:rsidR="00522016">
          <w:rPr>
            <w:noProof/>
            <w:webHidden/>
          </w:rPr>
          <w:instrText xml:space="preserve"> PAGEREF _Toc74830954 \h </w:instrText>
        </w:r>
        <w:r w:rsidR="00522016">
          <w:rPr>
            <w:noProof/>
            <w:webHidden/>
          </w:rPr>
        </w:r>
        <w:r w:rsidR="00522016">
          <w:rPr>
            <w:noProof/>
            <w:webHidden/>
          </w:rPr>
          <w:fldChar w:fldCharType="separate"/>
        </w:r>
        <w:r w:rsidR="00522016">
          <w:rPr>
            <w:noProof/>
            <w:webHidden/>
          </w:rPr>
          <w:t>16</w:t>
        </w:r>
        <w:r w:rsidR="00522016">
          <w:rPr>
            <w:noProof/>
            <w:webHidden/>
          </w:rPr>
          <w:fldChar w:fldCharType="end"/>
        </w:r>
      </w:hyperlink>
    </w:p>
    <w:p w14:paraId="080753FE" w14:textId="0483AD19" w:rsidR="00E0648D" w:rsidRDefault="00CE131A">
      <w:pPr>
        <w:pStyle w:val="TOC3"/>
        <w:rPr>
          <w:rFonts w:asciiTheme="minorHAnsi" w:eastAsiaTheme="minorEastAsia" w:hAnsiTheme="minorHAnsi"/>
          <w:sz w:val="22"/>
          <w:szCs w:val="22"/>
          <w:lang w:eastAsia="en-GB"/>
        </w:rPr>
      </w:pPr>
      <w:hyperlink w:anchor="_Toc74830955" w:history="1">
        <w:r w:rsidR="00522016" w:rsidRPr="004E6483">
          <w:rPr>
            <w:rStyle w:val="Hyperlink"/>
            <w:rFonts w:ascii="Times New Roman Bold" w:hAnsi="Times New Roman Bold"/>
          </w:rPr>
          <w:t>2.2.1.</w:t>
        </w:r>
        <w:r w:rsidR="00522016">
          <w:rPr>
            <w:rFonts w:asciiTheme="minorHAnsi" w:eastAsiaTheme="minorEastAsia" w:hAnsiTheme="minorHAnsi"/>
            <w:sz w:val="22"/>
            <w:szCs w:val="22"/>
            <w:lang w:eastAsia="en-GB"/>
          </w:rPr>
          <w:tab/>
        </w:r>
        <w:r w:rsidR="00522016" w:rsidRPr="004E6483">
          <w:rPr>
            <w:rStyle w:val="Hyperlink"/>
          </w:rPr>
          <w:t>Concept note content</w:t>
        </w:r>
        <w:r w:rsidR="00522016">
          <w:rPr>
            <w:webHidden/>
          </w:rPr>
          <w:tab/>
        </w:r>
        <w:r w:rsidR="00522016">
          <w:rPr>
            <w:webHidden/>
          </w:rPr>
          <w:fldChar w:fldCharType="begin"/>
        </w:r>
        <w:r w:rsidR="00522016">
          <w:rPr>
            <w:webHidden/>
          </w:rPr>
          <w:instrText xml:space="preserve"> PAGEREF _Toc74830955 \h </w:instrText>
        </w:r>
        <w:r w:rsidR="00522016">
          <w:rPr>
            <w:webHidden/>
          </w:rPr>
        </w:r>
        <w:r w:rsidR="00522016">
          <w:rPr>
            <w:webHidden/>
          </w:rPr>
          <w:fldChar w:fldCharType="separate"/>
        </w:r>
        <w:r w:rsidR="00522016">
          <w:rPr>
            <w:webHidden/>
          </w:rPr>
          <w:t>17</w:t>
        </w:r>
        <w:r w:rsidR="00522016">
          <w:rPr>
            <w:webHidden/>
          </w:rPr>
          <w:fldChar w:fldCharType="end"/>
        </w:r>
      </w:hyperlink>
    </w:p>
    <w:p w14:paraId="1C2DEF53" w14:textId="300BC76A" w:rsidR="00E0648D" w:rsidRDefault="00CE131A">
      <w:pPr>
        <w:pStyle w:val="TOC3"/>
        <w:rPr>
          <w:rFonts w:asciiTheme="minorHAnsi" w:eastAsiaTheme="minorEastAsia" w:hAnsiTheme="minorHAnsi"/>
          <w:sz w:val="22"/>
          <w:szCs w:val="22"/>
          <w:lang w:eastAsia="en-GB"/>
        </w:rPr>
      </w:pPr>
      <w:hyperlink w:anchor="_Toc74830957" w:history="1">
        <w:r w:rsidR="00522016" w:rsidRPr="004E6483">
          <w:rPr>
            <w:rStyle w:val="Hyperlink"/>
            <w:rFonts w:ascii="Times New Roman Bold" w:hAnsi="Times New Roman Bold"/>
          </w:rPr>
          <w:t>2.2.2.</w:t>
        </w:r>
        <w:r w:rsidR="00522016">
          <w:rPr>
            <w:rFonts w:asciiTheme="minorHAnsi" w:eastAsiaTheme="minorEastAsia" w:hAnsiTheme="minorHAnsi"/>
            <w:sz w:val="22"/>
            <w:szCs w:val="22"/>
            <w:lang w:eastAsia="en-GB"/>
          </w:rPr>
          <w:tab/>
        </w:r>
        <w:r w:rsidR="00522016" w:rsidRPr="004E6483">
          <w:rPr>
            <w:rStyle w:val="Hyperlink"/>
          </w:rPr>
          <w:t>Where and how to send concept notes</w:t>
        </w:r>
        <w:r w:rsidR="00522016">
          <w:rPr>
            <w:webHidden/>
          </w:rPr>
          <w:tab/>
        </w:r>
        <w:r w:rsidR="00522016">
          <w:rPr>
            <w:webHidden/>
          </w:rPr>
          <w:fldChar w:fldCharType="begin"/>
        </w:r>
        <w:r w:rsidR="00522016">
          <w:rPr>
            <w:webHidden/>
          </w:rPr>
          <w:instrText xml:space="preserve"> PAGEREF _Toc74830957 \h </w:instrText>
        </w:r>
        <w:r w:rsidR="00522016">
          <w:rPr>
            <w:webHidden/>
          </w:rPr>
        </w:r>
        <w:r w:rsidR="00522016">
          <w:rPr>
            <w:webHidden/>
          </w:rPr>
          <w:fldChar w:fldCharType="separate"/>
        </w:r>
        <w:r w:rsidR="00522016">
          <w:rPr>
            <w:webHidden/>
          </w:rPr>
          <w:t>18</w:t>
        </w:r>
        <w:r w:rsidR="00522016">
          <w:rPr>
            <w:webHidden/>
          </w:rPr>
          <w:fldChar w:fldCharType="end"/>
        </w:r>
      </w:hyperlink>
    </w:p>
    <w:p w14:paraId="2942F189" w14:textId="17ABE3A8" w:rsidR="00E0648D" w:rsidRDefault="00CE131A">
      <w:pPr>
        <w:pStyle w:val="TOC3"/>
        <w:rPr>
          <w:rFonts w:asciiTheme="minorHAnsi" w:eastAsiaTheme="minorEastAsia" w:hAnsiTheme="minorHAnsi"/>
          <w:sz w:val="22"/>
          <w:szCs w:val="22"/>
          <w:lang w:eastAsia="en-GB"/>
        </w:rPr>
      </w:pPr>
      <w:hyperlink w:anchor="_Toc74830958" w:history="1">
        <w:r w:rsidR="00522016" w:rsidRPr="004E6483">
          <w:rPr>
            <w:rStyle w:val="Hyperlink"/>
            <w:rFonts w:ascii="Times New Roman Bold" w:hAnsi="Times New Roman Bold"/>
          </w:rPr>
          <w:t>2.2.3.</w:t>
        </w:r>
        <w:r w:rsidR="00522016">
          <w:rPr>
            <w:rFonts w:asciiTheme="minorHAnsi" w:eastAsiaTheme="minorEastAsia" w:hAnsiTheme="minorHAnsi"/>
            <w:sz w:val="22"/>
            <w:szCs w:val="22"/>
            <w:lang w:eastAsia="en-GB"/>
          </w:rPr>
          <w:tab/>
        </w:r>
        <w:r w:rsidR="00522016" w:rsidRPr="004E6483">
          <w:rPr>
            <w:rStyle w:val="Hyperlink"/>
          </w:rPr>
          <w:t>Deadline for submission of concept notes</w:t>
        </w:r>
        <w:r w:rsidR="00522016">
          <w:rPr>
            <w:webHidden/>
          </w:rPr>
          <w:tab/>
          <w:t>18</w:t>
        </w:r>
      </w:hyperlink>
    </w:p>
    <w:p w14:paraId="0838D8F5" w14:textId="7F020438" w:rsidR="00E0648D" w:rsidRDefault="00CE131A">
      <w:pPr>
        <w:pStyle w:val="TOC3"/>
        <w:rPr>
          <w:rFonts w:asciiTheme="minorHAnsi" w:eastAsiaTheme="minorEastAsia" w:hAnsiTheme="minorHAnsi"/>
          <w:sz w:val="22"/>
          <w:szCs w:val="22"/>
          <w:lang w:eastAsia="en-GB"/>
        </w:rPr>
      </w:pPr>
      <w:hyperlink w:anchor="_Toc74830959" w:history="1">
        <w:r w:rsidR="00522016" w:rsidRPr="004E6483">
          <w:rPr>
            <w:rStyle w:val="Hyperlink"/>
            <w:rFonts w:ascii="Times New Roman Bold" w:hAnsi="Times New Roman Bold"/>
          </w:rPr>
          <w:t>2.2.4.</w:t>
        </w:r>
        <w:r w:rsidR="00522016">
          <w:rPr>
            <w:rFonts w:asciiTheme="minorHAnsi" w:eastAsiaTheme="minorEastAsia" w:hAnsiTheme="minorHAnsi"/>
            <w:sz w:val="22"/>
            <w:szCs w:val="22"/>
            <w:lang w:eastAsia="en-GB"/>
          </w:rPr>
          <w:tab/>
        </w:r>
        <w:r w:rsidR="00522016" w:rsidRPr="004E6483">
          <w:rPr>
            <w:rStyle w:val="Hyperlink"/>
          </w:rPr>
          <w:t>Further information about concept notes</w:t>
        </w:r>
        <w:r w:rsidR="00522016">
          <w:rPr>
            <w:webHidden/>
          </w:rPr>
          <w:tab/>
          <w:t>18</w:t>
        </w:r>
      </w:hyperlink>
    </w:p>
    <w:p w14:paraId="07E7EDB9" w14:textId="1C9DB0F4" w:rsidR="00E0648D" w:rsidRDefault="00CE131A">
      <w:pPr>
        <w:pStyle w:val="TOC3"/>
        <w:rPr>
          <w:rFonts w:asciiTheme="minorHAnsi" w:eastAsiaTheme="minorEastAsia" w:hAnsiTheme="minorHAnsi"/>
          <w:sz w:val="22"/>
          <w:szCs w:val="22"/>
          <w:lang w:eastAsia="en-GB"/>
        </w:rPr>
      </w:pPr>
      <w:hyperlink w:anchor="_Toc74830960" w:history="1">
        <w:r w:rsidR="00522016" w:rsidRPr="004E6483">
          <w:rPr>
            <w:rStyle w:val="Hyperlink"/>
            <w:rFonts w:ascii="Times New Roman Bold" w:hAnsi="Times New Roman Bold"/>
          </w:rPr>
          <w:t>2.2.5.</w:t>
        </w:r>
        <w:r w:rsidR="00522016">
          <w:rPr>
            <w:rFonts w:asciiTheme="minorHAnsi" w:eastAsiaTheme="minorEastAsia" w:hAnsiTheme="minorHAnsi"/>
            <w:sz w:val="22"/>
            <w:szCs w:val="22"/>
            <w:lang w:eastAsia="en-GB"/>
          </w:rPr>
          <w:tab/>
        </w:r>
        <w:r w:rsidR="00522016" w:rsidRPr="004E6483">
          <w:rPr>
            <w:rStyle w:val="Hyperlink"/>
          </w:rPr>
          <w:t>Full applications</w:t>
        </w:r>
        <w:r w:rsidR="00522016">
          <w:rPr>
            <w:webHidden/>
          </w:rPr>
          <w:tab/>
          <w:t>19</w:t>
        </w:r>
      </w:hyperlink>
    </w:p>
    <w:p w14:paraId="679786F4" w14:textId="24A7909B" w:rsidR="00E0648D" w:rsidRDefault="00CE131A">
      <w:pPr>
        <w:pStyle w:val="TOC3"/>
        <w:rPr>
          <w:rFonts w:asciiTheme="minorHAnsi" w:eastAsiaTheme="minorEastAsia" w:hAnsiTheme="minorHAnsi"/>
          <w:sz w:val="22"/>
          <w:szCs w:val="22"/>
          <w:lang w:eastAsia="en-GB"/>
        </w:rPr>
      </w:pPr>
      <w:hyperlink w:anchor="_Toc74830961" w:history="1">
        <w:r w:rsidR="00D562A3" w:rsidRPr="004E6483">
          <w:rPr>
            <w:rStyle w:val="Hyperlink"/>
            <w:rFonts w:ascii="Times New Roman Bold" w:hAnsi="Times New Roman Bold"/>
          </w:rPr>
          <w:t>2.2.6.</w:t>
        </w:r>
        <w:r w:rsidR="00D562A3">
          <w:rPr>
            <w:rFonts w:asciiTheme="minorHAnsi" w:eastAsiaTheme="minorEastAsia" w:hAnsiTheme="minorHAnsi"/>
            <w:sz w:val="22"/>
            <w:szCs w:val="22"/>
            <w:lang w:eastAsia="en-GB"/>
          </w:rPr>
          <w:tab/>
        </w:r>
        <w:r w:rsidR="00D562A3" w:rsidRPr="004E6483">
          <w:rPr>
            <w:rStyle w:val="Hyperlink"/>
          </w:rPr>
          <w:t>Where and how to send full applications</w:t>
        </w:r>
        <w:r w:rsidR="00D562A3">
          <w:rPr>
            <w:webHidden/>
          </w:rPr>
          <w:tab/>
        </w:r>
        <w:r w:rsidR="00D562A3">
          <w:rPr>
            <w:webHidden/>
          </w:rPr>
          <w:fldChar w:fldCharType="begin"/>
        </w:r>
        <w:r w:rsidR="00D562A3">
          <w:rPr>
            <w:webHidden/>
          </w:rPr>
          <w:instrText xml:space="preserve"> PAGEREF _Toc74830961 \h </w:instrText>
        </w:r>
        <w:r w:rsidR="00D562A3">
          <w:rPr>
            <w:webHidden/>
          </w:rPr>
        </w:r>
        <w:r w:rsidR="00D562A3">
          <w:rPr>
            <w:webHidden/>
          </w:rPr>
          <w:fldChar w:fldCharType="separate"/>
        </w:r>
        <w:r w:rsidR="00D562A3">
          <w:rPr>
            <w:webHidden/>
          </w:rPr>
          <w:t>21</w:t>
        </w:r>
        <w:r w:rsidR="00D562A3">
          <w:rPr>
            <w:webHidden/>
          </w:rPr>
          <w:fldChar w:fldCharType="end"/>
        </w:r>
      </w:hyperlink>
    </w:p>
    <w:p w14:paraId="59D23D5D" w14:textId="59C0C0B3" w:rsidR="00D562A3" w:rsidRDefault="00CE131A">
      <w:pPr>
        <w:pStyle w:val="TOC3"/>
      </w:pPr>
      <w:hyperlink w:anchor="_Toc74830962" w:history="1">
        <w:r w:rsidR="00D562A3" w:rsidRPr="004E6483">
          <w:rPr>
            <w:rStyle w:val="Hyperlink"/>
            <w:rFonts w:ascii="Times New Roman Bold" w:hAnsi="Times New Roman Bold"/>
          </w:rPr>
          <w:t>2.2.7.</w:t>
        </w:r>
        <w:r w:rsidR="00D562A3">
          <w:rPr>
            <w:rFonts w:asciiTheme="minorHAnsi" w:eastAsiaTheme="minorEastAsia" w:hAnsiTheme="minorHAnsi"/>
            <w:sz w:val="22"/>
            <w:szCs w:val="22"/>
            <w:lang w:eastAsia="en-GB"/>
          </w:rPr>
          <w:tab/>
        </w:r>
        <w:r w:rsidR="00D562A3" w:rsidRPr="004E6483">
          <w:rPr>
            <w:rStyle w:val="Hyperlink"/>
          </w:rPr>
          <w:t>Deadline for submission of full applications</w:t>
        </w:r>
        <w:r w:rsidR="00D562A3">
          <w:rPr>
            <w:webHidden/>
          </w:rPr>
          <w:tab/>
        </w:r>
        <w:r w:rsidR="00D562A3">
          <w:rPr>
            <w:webHidden/>
          </w:rPr>
          <w:fldChar w:fldCharType="begin"/>
        </w:r>
        <w:r w:rsidR="00D562A3">
          <w:rPr>
            <w:webHidden/>
          </w:rPr>
          <w:instrText xml:space="preserve"> PAGEREF _Toc74830962 \h </w:instrText>
        </w:r>
        <w:r w:rsidR="00D562A3">
          <w:rPr>
            <w:webHidden/>
          </w:rPr>
        </w:r>
        <w:r w:rsidR="00D562A3">
          <w:rPr>
            <w:webHidden/>
          </w:rPr>
          <w:fldChar w:fldCharType="separate"/>
        </w:r>
        <w:r w:rsidR="00D562A3">
          <w:rPr>
            <w:webHidden/>
          </w:rPr>
          <w:t>21</w:t>
        </w:r>
        <w:r w:rsidR="00D562A3">
          <w:rPr>
            <w:webHidden/>
          </w:rPr>
          <w:fldChar w:fldCharType="end"/>
        </w:r>
      </w:hyperlink>
    </w:p>
    <w:p w14:paraId="04BCBE6C" w14:textId="7933F887" w:rsidR="00E0648D" w:rsidRDefault="00CE131A">
      <w:pPr>
        <w:pStyle w:val="TOC3"/>
        <w:rPr>
          <w:rFonts w:asciiTheme="minorHAnsi" w:eastAsiaTheme="minorEastAsia" w:hAnsiTheme="minorHAnsi"/>
          <w:sz w:val="22"/>
          <w:szCs w:val="22"/>
          <w:lang w:eastAsia="en-GB"/>
        </w:rPr>
      </w:pPr>
      <w:hyperlink w:anchor="_Toc74830963" w:history="1">
        <w:r w:rsidR="00D562A3" w:rsidRPr="004E6483">
          <w:rPr>
            <w:rStyle w:val="Hyperlink"/>
            <w:rFonts w:ascii="Times New Roman Bold" w:hAnsi="Times New Roman Bold"/>
          </w:rPr>
          <w:t>2.2.8.</w:t>
        </w:r>
        <w:r w:rsidR="00D562A3">
          <w:rPr>
            <w:rFonts w:asciiTheme="minorHAnsi" w:eastAsiaTheme="minorEastAsia" w:hAnsiTheme="minorHAnsi"/>
            <w:sz w:val="22"/>
            <w:szCs w:val="22"/>
            <w:lang w:eastAsia="en-GB"/>
          </w:rPr>
          <w:tab/>
        </w:r>
        <w:r w:rsidR="00D562A3" w:rsidRPr="004E6483">
          <w:rPr>
            <w:rStyle w:val="Hyperlink"/>
          </w:rPr>
          <w:t>Further information about full applications</w:t>
        </w:r>
        <w:r w:rsidR="00D562A3">
          <w:rPr>
            <w:webHidden/>
          </w:rPr>
          <w:tab/>
          <w:t>22</w:t>
        </w:r>
      </w:hyperlink>
    </w:p>
    <w:p w14:paraId="57E1E377" w14:textId="56D1C128" w:rsidR="00E0648D" w:rsidRDefault="00CE131A">
      <w:pPr>
        <w:pStyle w:val="TOC2"/>
        <w:rPr>
          <w:rFonts w:asciiTheme="minorHAnsi" w:eastAsiaTheme="minorEastAsia" w:hAnsiTheme="minorHAnsi"/>
          <w:noProof/>
          <w:szCs w:val="22"/>
          <w:lang w:eastAsia="en-GB"/>
        </w:rPr>
      </w:pPr>
      <w:hyperlink w:anchor="_Toc74830964" w:history="1">
        <w:r w:rsidR="00D562A3" w:rsidRPr="004E6483">
          <w:rPr>
            <w:rStyle w:val="Hyperlink"/>
            <w:noProof/>
          </w:rPr>
          <w:t>2.3.</w:t>
        </w:r>
        <w:r w:rsidR="00D562A3">
          <w:rPr>
            <w:rFonts w:asciiTheme="minorHAnsi" w:eastAsiaTheme="minorEastAsia" w:hAnsiTheme="minorHAnsi"/>
            <w:noProof/>
            <w:szCs w:val="22"/>
            <w:lang w:eastAsia="en-GB"/>
          </w:rPr>
          <w:tab/>
        </w:r>
        <w:r w:rsidR="00D562A3" w:rsidRPr="004E6483">
          <w:rPr>
            <w:rStyle w:val="Hyperlink"/>
            <w:noProof/>
          </w:rPr>
          <w:t>Evaluation and selection of applications</w:t>
        </w:r>
        <w:r w:rsidR="00D562A3">
          <w:rPr>
            <w:noProof/>
            <w:webHidden/>
          </w:rPr>
          <w:tab/>
          <w:t>22</w:t>
        </w:r>
      </w:hyperlink>
    </w:p>
    <w:p w14:paraId="0FE028D8" w14:textId="5098CC8E" w:rsidR="00E0648D" w:rsidRDefault="00CE131A">
      <w:pPr>
        <w:pStyle w:val="TOC2"/>
        <w:rPr>
          <w:rFonts w:asciiTheme="minorHAnsi" w:eastAsiaTheme="minorEastAsia" w:hAnsiTheme="minorHAnsi"/>
          <w:noProof/>
          <w:szCs w:val="22"/>
          <w:lang w:eastAsia="en-GB"/>
        </w:rPr>
      </w:pPr>
      <w:hyperlink w:anchor="_Toc74830965" w:history="1">
        <w:r w:rsidR="00D562A3" w:rsidRPr="004E6483">
          <w:rPr>
            <w:rStyle w:val="Hyperlink"/>
            <w:noProof/>
          </w:rPr>
          <w:t>2.4.</w:t>
        </w:r>
        <w:r w:rsidR="00D562A3">
          <w:rPr>
            <w:rFonts w:asciiTheme="minorHAnsi" w:eastAsiaTheme="minorEastAsia" w:hAnsiTheme="minorHAnsi"/>
            <w:noProof/>
            <w:szCs w:val="22"/>
            <w:lang w:eastAsia="en-GB"/>
          </w:rPr>
          <w:tab/>
        </w:r>
        <w:r w:rsidR="00D562A3" w:rsidRPr="004E6483">
          <w:rPr>
            <w:rStyle w:val="Hyperlink"/>
            <w:noProof/>
          </w:rPr>
          <w:t xml:space="preserve">Submission of supporting documents </w:t>
        </w:r>
        <w:r w:rsidR="00D562A3">
          <w:rPr>
            <w:noProof/>
            <w:webHidden/>
          </w:rPr>
          <w:tab/>
          <w:t>29</w:t>
        </w:r>
      </w:hyperlink>
    </w:p>
    <w:p w14:paraId="258BAD6E" w14:textId="0FC6FEB8" w:rsidR="00E0648D" w:rsidRDefault="00CE131A">
      <w:pPr>
        <w:pStyle w:val="TOC2"/>
        <w:rPr>
          <w:rFonts w:asciiTheme="minorHAnsi" w:eastAsiaTheme="minorEastAsia" w:hAnsiTheme="minorHAnsi"/>
          <w:noProof/>
          <w:szCs w:val="22"/>
          <w:lang w:eastAsia="en-GB"/>
        </w:rPr>
      </w:pPr>
      <w:hyperlink w:anchor="_Toc74830966" w:history="1">
        <w:r w:rsidR="00D562A3" w:rsidRPr="004E6483">
          <w:rPr>
            <w:rStyle w:val="Hyperlink"/>
            <w:noProof/>
          </w:rPr>
          <w:t>2.5.</w:t>
        </w:r>
        <w:r w:rsidR="00D562A3">
          <w:rPr>
            <w:rFonts w:asciiTheme="minorHAnsi" w:eastAsiaTheme="minorEastAsia" w:hAnsiTheme="minorHAnsi"/>
            <w:noProof/>
            <w:szCs w:val="22"/>
            <w:lang w:eastAsia="en-GB"/>
          </w:rPr>
          <w:tab/>
        </w:r>
        <w:r w:rsidR="00D562A3" w:rsidRPr="004E6483">
          <w:rPr>
            <w:rStyle w:val="Hyperlink"/>
            <w:noProof/>
          </w:rPr>
          <w:t>Notification of the Contracting Authority’s decision</w:t>
        </w:r>
        <w:r w:rsidR="00D562A3">
          <w:rPr>
            <w:noProof/>
            <w:webHidden/>
          </w:rPr>
          <w:tab/>
          <w:t>29</w:t>
        </w:r>
      </w:hyperlink>
    </w:p>
    <w:p w14:paraId="7A8908F5" w14:textId="0056FE6D" w:rsidR="00E0648D" w:rsidRDefault="00CE131A">
      <w:pPr>
        <w:pStyle w:val="TOC3"/>
        <w:rPr>
          <w:rFonts w:asciiTheme="minorHAnsi" w:eastAsiaTheme="minorEastAsia" w:hAnsiTheme="minorHAnsi"/>
          <w:sz w:val="22"/>
          <w:szCs w:val="22"/>
          <w:lang w:eastAsia="en-GB"/>
        </w:rPr>
      </w:pPr>
      <w:hyperlink w:anchor="_Toc74830967" w:history="1">
        <w:r w:rsidR="00D562A3" w:rsidRPr="004E6483">
          <w:rPr>
            <w:rStyle w:val="Hyperlink"/>
            <w:rFonts w:ascii="Times New Roman Bold" w:hAnsi="Times New Roman Bold"/>
          </w:rPr>
          <w:t>2.5.1.</w:t>
        </w:r>
        <w:r w:rsidR="00D562A3">
          <w:rPr>
            <w:rFonts w:asciiTheme="minorHAnsi" w:eastAsiaTheme="minorEastAsia" w:hAnsiTheme="minorHAnsi"/>
            <w:sz w:val="22"/>
            <w:szCs w:val="22"/>
            <w:lang w:eastAsia="en-GB"/>
          </w:rPr>
          <w:tab/>
        </w:r>
        <w:r w:rsidR="00D562A3" w:rsidRPr="004E6483">
          <w:rPr>
            <w:rStyle w:val="Hyperlink"/>
          </w:rPr>
          <w:t>Content of the decision</w:t>
        </w:r>
        <w:r w:rsidR="00D562A3">
          <w:rPr>
            <w:webHidden/>
          </w:rPr>
          <w:tab/>
          <w:t>29</w:t>
        </w:r>
      </w:hyperlink>
    </w:p>
    <w:p w14:paraId="7629A173" w14:textId="095ECBB5" w:rsidR="00E0648D" w:rsidRDefault="00CE131A">
      <w:pPr>
        <w:pStyle w:val="TOC3"/>
        <w:rPr>
          <w:rFonts w:asciiTheme="minorHAnsi" w:eastAsiaTheme="minorEastAsia" w:hAnsiTheme="minorHAnsi"/>
          <w:sz w:val="22"/>
          <w:szCs w:val="22"/>
          <w:lang w:eastAsia="en-GB"/>
        </w:rPr>
      </w:pPr>
      <w:hyperlink w:anchor="_Toc74830968" w:history="1">
        <w:r w:rsidR="00D562A3" w:rsidRPr="004E6483">
          <w:rPr>
            <w:rStyle w:val="Hyperlink"/>
            <w:rFonts w:ascii="Times New Roman Bold" w:hAnsi="Times New Roman Bold"/>
          </w:rPr>
          <w:t>2.5.2.</w:t>
        </w:r>
        <w:r w:rsidR="00D562A3">
          <w:rPr>
            <w:rFonts w:asciiTheme="minorHAnsi" w:eastAsiaTheme="minorEastAsia" w:hAnsiTheme="minorHAnsi"/>
            <w:sz w:val="22"/>
            <w:szCs w:val="22"/>
            <w:lang w:eastAsia="en-GB"/>
          </w:rPr>
          <w:tab/>
        </w:r>
        <w:r w:rsidR="00D562A3" w:rsidRPr="004E6483">
          <w:rPr>
            <w:rStyle w:val="Hyperlink"/>
          </w:rPr>
          <w:t>Indicative timetable</w:t>
        </w:r>
        <w:r w:rsidR="00D562A3">
          <w:rPr>
            <w:webHidden/>
          </w:rPr>
          <w:tab/>
          <w:t>30</w:t>
        </w:r>
      </w:hyperlink>
    </w:p>
    <w:p w14:paraId="3623C21F" w14:textId="041FA58F" w:rsidR="00E0648D" w:rsidRDefault="00CE131A">
      <w:pPr>
        <w:pStyle w:val="TOC2"/>
        <w:rPr>
          <w:rFonts w:asciiTheme="minorHAnsi" w:eastAsiaTheme="minorEastAsia" w:hAnsiTheme="minorHAnsi"/>
          <w:noProof/>
          <w:szCs w:val="22"/>
          <w:lang w:eastAsia="en-GB"/>
        </w:rPr>
      </w:pPr>
      <w:hyperlink w:anchor="_Toc74830969" w:history="1">
        <w:r w:rsidR="00D562A3" w:rsidRPr="004E6483">
          <w:rPr>
            <w:rStyle w:val="Hyperlink"/>
            <w:noProof/>
          </w:rPr>
          <w:t>2.6.</w:t>
        </w:r>
        <w:r w:rsidR="00D562A3">
          <w:rPr>
            <w:rFonts w:asciiTheme="minorHAnsi" w:eastAsiaTheme="minorEastAsia" w:hAnsiTheme="minorHAnsi"/>
            <w:noProof/>
            <w:szCs w:val="22"/>
            <w:lang w:eastAsia="en-GB"/>
          </w:rPr>
          <w:tab/>
        </w:r>
        <w:r w:rsidR="00D562A3" w:rsidRPr="004E6483">
          <w:rPr>
            <w:rStyle w:val="Hyperlink"/>
            <w:noProof/>
          </w:rPr>
          <w:t>Conditions for implementation after the contracting authority’s decision to award a grant</w:t>
        </w:r>
        <w:r w:rsidR="00D562A3">
          <w:rPr>
            <w:noProof/>
            <w:webHidden/>
          </w:rPr>
          <w:tab/>
        </w:r>
        <w:r w:rsidR="00D562A3">
          <w:rPr>
            <w:noProof/>
            <w:webHidden/>
          </w:rPr>
          <w:fldChar w:fldCharType="begin"/>
        </w:r>
        <w:r w:rsidR="00D562A3">
          <w:rPr>
            <w:noProof/>
            <w:webHidden/>
          </w:rPr>
          <w:instrText xml:space="preserve"> PAGEREF _Toc74830969 \h </w:instrText>
        </w:r>
        <w:r w:rsidR="00D562A3">
          <w:rPr>
            <w:noProof/>
            <w:webHidden/>
          </w:rPr>
        </w:r>
        <w:r w:rsidR="00D562A3">
          <w:rPr>
            <w:noProof/>
            <w:webHidden/>
          </w:rPr>
          <w:fldChar w:fldCharType="separate"/>
        </w:r>
        <w:r w:rsidR="00D562A3">
          <w:rPr>
            <w:noProof/>
            <w:webHidden/>
          </w:rPr>
          <w:t>31</w:t>
        </w:r>
        <w:r w:rsidR="00D562A3">
          <w:rPr>
            <w:noProof/>
            <w:webHidden/>
          </w:rPr>
          <w:fldChar w:fldCharType="end"/>
        </w:r>
      </w:hyperlink>
    </w:p>
    <w:p w14:paraId="14DAF728" w14:textId="04D2017E" w:rsidR="00E0648D" w:rsidRDefault="00CE131A">
      <w:pPr>
        <w:pStyle w:val="TOC1"/>
        <w:rPr>
          <w:rFonts w:asciiTheme="minorHAnsi" w:eastAsiaTheme="minorEastAsia" w:hAnsiTheme="minorHAnsi"/>
          <w:b w:val="0"/>
          <w:caps w:val="0"/>
          <w:noProof/>
          <w:szCs w:val="22"/>
          <w:lang w:eastAsia="en-GB"/>
        </w:rPr>
      </w:pPr>
      <w:hyperlink w:anchor="_Toc74830970" w:history="1">
        <w:r w:rsidR="00D562A3" w:rsidRPr="004E6483">
          <w:rPr>
            <w:rStyle w:val="Hyperlink"/>
            <w:noProof/>
          </w:rPr>
          <w:t>3.</w:t>
        </w:r>
        <w:r w:rsidR="00D562A3">
          <w:rPr>
            <w:rFonts w:asciiTheme="minorHAnsi" w:eastAsiaTheme="minorEastAsia" w:hAnsiTheme="minorHAnsi"/>
            <w:b w:val="0"/>
            <w:caps w:val="0"/>
            <w:noProof/>
            <w:szCs w:val="22"/>
            <w:lang w:eastAsia="en-GB"/>
          </w:rPr>
          <w:tab/>
        </w:r>
        <w:r w:rsidR="00D562A3" w:rsidRPr="004E6483">
          <w:rPr>
            <w:rStyle w:val="Hyperlink"/>
            <w:rFonts w:ascii="Times New Roman" w:hAnsi="Times New Roman"/>
            <w:noProof/>
          </w:rPr>
          <w:t>LIST OF annexes</w:t>
        </w:r>
        <w:r w:rsidR="00D562A3">
          <w:rPr>
            <w:noProof/>
            <w:webHidden/>
          </w:rPr>
          <w:tab/>
        </w:r>
        <w:r w:rsidR="00D562A3">
          <w:rPr>
            <w:noProof/>
            <w:webHidden/>
          </w:rPr>
          <w:fldChar w:fldCharType="begin"/>
        </w:r>
        <w:r w:rsidR="00D562A3">
          <w:rPr>
            <w:noProof/>
            <w:webHidden/>
          </w:rPr>
          <w:instrText xml:space="preserve"> PAGEREF _Toc74830970 \h </w:instrText>
        </w:r>
        <w:r w:rsidR="00D562A3">
          <w:rPr>
            <w:noProof/>
            <w:webHidden/>
          </w:rPr>
        </w:r>
        <w:r w:rsidR="00D562A3">
          <w:rPr>
            <w:noProof/>
            <w:webHidden/>
          </w:rPr>
          <w:fldChar w:fldCharType="separate"/>
        </w:r>
        <w:r w:rsidR="00D562A3">
          <w:rPr>
            <w:noProof/>
            <w:webHidden/>
          </w:rPr>
          <w:t>32</w:t>
        </w:r>
        <w:r w:rsidR="00D562A3">
          <w:rPr>
            <w:noProof/>
            <w:webHidden/>
          </w:rPr>
          <w:fldChar w:fldCharType="end"/>
        </w:r>
      </w:hyperlink>
    </w:p>
    <w:p w14:paraId="2F486F7B" w14:textId="77777777" w:rsidR="00491F8A" w:rsidRPr="00807DAF" w:rsidRDefault="00036F0B" w:rsidP="00495849">
      <w:pPr>
        <w:rPr>
          <w:sz w:val="28"/>
          <w:szCs w:val="28"/>
        </w:rPr>
        <w:sectPr w:rsidR="00491F8A" w:rsidRPr="00807DAF" w:rsidSect="002D4ACD">
          <w:footerReference w:type="first" r:id="rId15"/>
          <w:pgSz w:w="11906" w:h="16838" w:code="9"/>
          <w:pgMar w:top="1021" w:right="1134" w:bottom="1021" w:left="1134" w:header="567" w:footer="545" w:gutter="0"/>
          <w:cols w:space="708"/>
          <w:titlePg/>
        </w:sectPr>
      </w:pPr>
      <w:r>
        <w:rPr>
          <w:b/>
          <w:caps/>
          <w:sz w:val="28"/>
          <w:szCs w:val="28"/>
        </w:rPr>
        <w:fldChar w:fldCharType="end"/>
      </w:r>
    </w:p>
    <w:p w14:paraId="08E99322" w14:textId="0929B1F7" w:rsidR="005D0DA7" w:rsidRPr="005D0DA7" w:rsidRDefault="005D0DA7" w:rsidP="000E75FE">
      <w:pPr>
        <w:pStyle w:val="Title"/>
        <w:numPr>
          <w:ilvl w:val="0"/>
          <w:numId w:val="9"/>
        </w:numPr>
        <w:spacing w:before="600"/>
        <w:outlineLvl w:val="0"/>
        <w:rPr>
          <w:sz w:val="32"/>
          <w:szCs w:val="32"/>
        </w:rPr>
      </w:pPr>
      <w:r w:rsidRPr="005D0DA7">
        <w:rPr>
          <w:sz w:val="32"/>
          <w:szCs w:val="32"/>
        </w:rPr>
        <w:t xml:space="preserve">Support </w:t>
      </w:r>
      <w:r w:rsidR="00F00CD9">
        <w:rPr>
          <w:sz w:val="32"/>
          <w:szCs w:val="32"/>
        </w:rPr>
        <w:t>for the</w:t>
      </w:r>
      <w:r w:rsidRPr="005D0DA7">
        <w:rPr>
          <w:sz w:val="32"/>
          <w:szCs w:val="32"/>
        </w:rPr>
        <w:t xml:space="preserve"> Media and Building Public Resilience to Disinformation</w:t>
      </w:r>
      <w:r w:rsidR="00D24D83">
        <w:rPr>
          <w:sz w:val="32"/>
          <w:szCs w:val="32"/>
        </w:rPr>
        <w:t xml:space="preserve"> – for the Republic of Moldova</w:t>
      </w:r>
    </w:p>
    <w:p w14:paraId="03BE43D7" w14:textId="77777777" w:rsidR="0007408E" w:rsidRPr="00807DAF" w:rsidRDefault="0007408E" w:rsidP="000E75FE">
      <w:pPr>
        <w:pStyle w:val="Guidelines2"/>
        <w:numPr>
          <w:ilvl w:val="1"/>
          <w:numId w:val="9"/>
        </w:numPr>
      </w:pPr>
      <w:bookmarkStart w:id="2" w:name="_Toc74830944"/>
      <w:r w:rsidRPr="00807DAF">
        <w:t>Background</w:t>
      </w:r>
      <w:bookmarkEnd w:id="2"/>
    </w:p>
    <w:p w14:paraId="353D4355" w14:textId="77777777" w:rsidR="005D0DA7" w:rsidRDefault="005D0DA7" w:rsidP="00BD6FF1">
      <w:pPr>
        <w:rPr>
          <w:highlight w:val="yellow"/>
        </w:rPr>
      </w:pPr>
    </w:p>
    <w:p w14:paraId="0A4CDE83" w14:textId="35C7EFB5" w:rsidR="005D0DA7" w:rsidRPr="00423382" w:rsidRDefault="005D0DA7" w:rsidP="00423382">
      <w:pPr>
        <w:pStyle w:val="Pa7"/>
        <w:spacing w:after="240"/>
        <w:jc w:val="both"/>
        <w:rPr>
          <w:rFonts w:ascii="Times New Roman" w:hAnsi="Times New Roman"/>
          <w:sz w:val="22"/>
          <w:szCs w:val="20"/>
          <w:lang w:eastAsia="en-US"/>
        </w:rPr>
      </w:pPr>
      <w:r w:rsidRPr="00423382">
        <w:rPr>
          <w:rFonts w:ascii="Times New Roman" w:hAnsi="Times New Roman"/>
          <w:sz w:val="22"/>
          <w:szCs w:val="20"/>
          <w:lang w:eastAsia="en-US"/>
        </w:rPr>
        <w:t xml:space="preserve">Media freedom is a founding value of the European Union (EU) </w:t>
      </w:r>
      <w:r w:rsidR="00F00CD9" w:rsidRPr="00423382">
        <w:rPr>
          <w:rFonts w:ascii="Times New Roman" w:hAnsi="Times New Roman"/>
          <w:sz w:val="22"/>
          <w:szCs w:val="20"/>
          <w:lang w:eastAsia="en-US"/>
        </w:rPr>
        <w:t xml:space="preserve">and </w:t>
      </w:r>
      <w:r w:rsidRPr="00423382">
        <w:rPr>
          <w:rFonts w:ascii="Times New Roman" w:hAnsi="Times New Roman"/>
          <w:sz w:val="22"/>
          <w:szCs w:val="20"/>
          <w:lang w:eastAsia="en-US"/>
        </w:rPr>
        <w:t xml:space="preserve">is a cornerstone of </w:t>
      </w:r>
      <w:r w:rsidR="00F00CD9" w:rsidRPr="00423382">
        <w:rPr>
          <w:rFonts w:ascii="Times New Roman" w:hAnsi="Times New Roman"/>
          <w:sz w:val="22"/>
          <w:szCs w:val="20"/>
          <w:lang w:eastAsia="en-US"/>
        </w:rPr>
        <w:t xml:space="preserve">the </w:t>
      </w:r>
      <w:r w:rsidRPr="00423382">
        <w:rPr>
          <w:rFonts w:ascii="Times New Roman" w:hAnsi="Times New Roman"/>
          <w:sz w:val="22"/>
          <w:szCs w:val="20"/>
          <w:lang w:eastAsia="en-US"/>
        </w:rPr>
        <w:t xml:space="preserve">EU’s external action. The European Commission adopted in September 2022 a European Media Freedom Act to protect media pluralism and independence in the EU. The proposed Regulation includes, among others, safeguards against political interference in editorial decisions and against surveillance. It puts a focus on the independence and stable funding of public service media as well as on the transparency of media ownership. </w:t>
      </w:r>
    </w:p>
    <w:p w14:paraId="4200F7C5" w14:textId="0A405C07" w:rsidR="005D0DA7" w:rsidRPr="00423382" w:rsidRDefault="005D0DA7" w:rsidP="00423382">
      <w:pPr>
        <w:pStyle w:val="Pa7"/>
        <w:spacing w:after="240"/>
        <w:jc w:val="both"/>
        <w:rPr>
          <w:rFonts w:ascii="Times New Roman" w:hAnsi="Times New Roman"/>
          <w:sz w:val="22"/>
          <w:szCs w:val="20"/>
          <w:lang w:eastAsia="en-US"/>
        </w:rPr>
      </w:pPr>
      <w:r w:rsidRPr="00423382">
        <w:rPr>
          <w:rFonts w:ascii="Times New Roman" w:hAnsi="Times New Roman"/>
          <w:sz w:val="22"/>
          <w:szCs w:val="20"/>
          <w:lang w:eastAsia="en-US"/>
        </w:rPr>
        <w:t>In 2022, the European Commission granted to</w:t>
      </w:r>
      <w:r w:rsidR="00410097" w:rsidRPr="00423382">
        <w:rPr>
          <w:rFonts w:ascii="Times New Roman" w:hAnsi="Times New Roman"/>
          <w:sz w:val="22"/>
          <w:szCs w:val="20"/>
          <w:lang w:eastAsia="en-US"/>
        </w:rPr>
        <w:t xml:space="preserve"> the Republic of Moldova</w:t>
      </w:r>
      <w:r w:rsidRPr="00423382">
        <w:rPr>
          <w:rFonts w:ascii="Times New Roman" w:hAnsi="Times New Roman"/>
          <w:sz w:val="22"/>
          <w:szCs w:val="20"/>
          <w:lang w:eastAsia="en-US"/>
        </w:rPr>
        <w:t xml:space="preserve"> </w:t>
      </w:r>
      <w:r w:rsidR="00410097" w:rsidRPr="00423382">
        <w:rPr>
          <w:rFonts w:ascii="Times New Roman" w:hAnsi="Times New Roman"/>
          <w:sz w:val="22"/>
          <w:szCs w:val="20"/>
          <w:lang w:eastAsia="en-US"/>
        </w:rPr>
        <w:t>(</w:t>
      </w:r>
      <w:r w:rsidR="00F00CD9" w:rsidRPr="00423382">
        <w:rPr>
          <w:rFonts w:ascii="Times New Roman" w:hAnsi="Times New Roman"/>
          <w:sz w:val="22"/>
          <w:szCs w:val="20"/>
          <w:lang w:eastAsia="en-US"/>
        </w:rPr>
        <w:t>hereinafter “</w:t>
      </w:r>
      <w:r w:rsidRPr="00423382">
        <w:rPr>
          <w:rFonts w:ascii="Times New Roman" w:hAnsi="Times New Roman"/>
          <w:sz w:val="22"/>
          <w:szCs w:val="20"/>
          <w:lang w:eastAsia="en-US"/>
        </w:rPr>
        <w:t>Moldova</w:t>
      </w:r>
      <w:r w:rsidR="00F00CD9" w:rsidRPr="00423382">
        <w:rPr>
          <w:rFonts w:ascii="Times New Roman" w:hAnsi="Times New Roman"/>
          <w:sz w:val="22"/>
          <w:szCs w:val="20"/>
          <w:lang w:eastAsia="en-US"/>
        </w:rPr>
        <w:t>”</w:t>
      </w:r>
      <w:proofErr w:type="gramStart"/>
      <w:r w:rsidR="00410097" w:rsidRPr="00423382">
        <w:rPr>
          <w:rFonts w:ascii="Times New Roman" w:hAnsi="Times New Roman"/>
          <w:sz w:val="22"/>
          <w:szCs w:val="20"/>
          <w:lang w:eastAsia="en-US"/>
        </w:rPr>
        <w:t>)</w:t>
      </w:r>
      <w:r w:rsidRPr="00423382">
        <w:rPr>
          <w:rFonts w:ascii="Times New Roman" w:hAnsi="Times New Roman"/>
          <w:sz w:val="22"/>
          <w:szCs w:val="20"/>
          <w:lang w:eastAsia="en-US"/>
        </w:rPr>
        <w:t xml:space="preserve">  </w:t>
      </w:r>
      <w:r w:rsidR="00F00CD9" w:rsidRPr="00423382">
        <w:rPr>
          <w:rFonts w:ascii="Times New Roman" w:hAnsi="Times New Roman"/>
          <w:sz w:val="22"/>
          <w:szCs w:val="20"/>
          <w:lang w:eastAsia="en-US"/>
        </w:rPr>
        <w:t>EU</w:t>
      </w:r>
      <w:proofErr w:type="gramEnd"/>
      <w:r w:rsidR="00F00CD9" w:rsidRPr="00423382">
        <w:rPr>
          <w:rFonts w:ascii="Times New Roman" w:hAnsi="Times New Roman"/>
          <w:sz w:val="22"/>
          <w:szCs w:val="20"/>
          <w:lang w:eastAsia="en-US"/>
        </w:rPr>
        <w:t xml:space="preserve"> </w:t>
      </w:r>
      <w:r w:rsidRPr="00423382">
        <w:rPr>
          <w:rFonts w:ascii="Times New Roman" w:hAnsi="Times New Roman"/>
          <w:sz w:val="22"/>
          <w:szCs w:val="20"/>
          <w:lang w:eastAsia="en-US"/>
        </w:rPr>
        <w:t>candidate status and in December 2023, the European Council decided to open accession negotiation</w:t>
      </w:r>
      <w:r w:rsidR="00410097" w:rsidRPr="00423382">
        <w:rPr>
          <w:rFonts w:ascii="Times New Roman" w:hAnsi="Times New Roman"/>
          <w:sz w:val="22"/>
          <w:szCs w:val="20"/>
          <w:lang w:eastAsia="en-US"/>
        </w:rPr>
        <w:t xml:space="preserve">s. </w:t>
      </w:r>
      <w:r w:rsidRPr="00423382">
        <w:rPr>
          <w:rFonts w:ascii="Times New Roman" w:hAnsi="Times New Roman"/>
          <w:sz w:val="22"/>
          <w:szCs w:val="20"/>
          <w:lang w:eastAsia="en-US"/>
        </w:rPr>
        <w:t xml:space="preserve">Moldova has committed to conduct a series of reforms in </w:t>
      </w:r>
      <w:r w:rsidR="00F00CD9" w:rsidRPr="00423382">
        <w:rPr>
          <w:rFonts w:ascii="Times New Roman" w:hAnsi="Times New Roman"/>
          <w:sz w:val="22"/>
          <w:szCs w:val="20"/>
          <w:lang w:eastAsia="en-US"/>
        </w:rPr>
        <w:t xml:space="preserve">the </w:t>
      </w:r>
      <w:r w:rsidRPr="00423382">
        <w:rPr>
          <w:rFonts w:ascii="Times New Roman" w:hAnsi="Times New Roman"/>
          <w:sz w:val="22"/>
          <w:szCs w:val="20"/>
          <w:lang w:eastAsia="en-US"/>
        </w:rPr>
        <w:t xml:space="preserve">media sector to align to </w:t>
      </w:r>
      <w:r w:rsidR="00F00CD9" w:rsidRPr="00423382">
        <w:rPr>
          <w:rFonts w:ascii="Times New Roman" w:hAnsi="Times New Roman"/>
          <w:sz w:val="22"/>
          <w:szCs w:val="20"/>
          <w:lang w:eastAsia="en-US"/>
        </w:rPr>
        <w:t xml:space="preserve">the </w:t>
      </w:r>
      <w:r w:rsidRPr="00423382">
        <w:rPr>
          <w:rFonts w:ascii="Times New Roman" w:hAnsi="Times New Roman"/>
          <w:sz w:val="22"/>
          <w:szCs w:val="20"/>
          <w:lang w:eastAsia="en-US"/>
        </w:rPr>
        <w:t>EU acquis and ILO standards.</w:t>
      </w:r>
    </w:p>
    <w:p w14:paraId="3A2E128A" w14:textId="346C9289" w:rsidR="005D0DA7" w:rsidRPr="003247AD" w:rsidRDefault="005D0DA7" w:rsidP="005D0DA7">
      <w:pPr>
        <w:pStyle w:val="Pa7"/>
        <w:spacing w:after="240"/>
        <w:jc w:val="both"/>
        <w:rPr>
          <w:rFonts w:ascii="Times New Roman" w:hAnsi="Times New Roman"/>
          <w:sz w:val="22"/>
          <w:szCs w:val="20"/>
          <w:lang w:eastAsia="en-US"/>
        </w:rPr>
      </w:pPr>
      <w:r w:rsidRPr="003247AD">
        <w:rPr>
          <w:rFonts w:ascii="Times New Roman" w:hAnsi="Times New Roman"/>
          <w:sz w:val="22"/>
          <w:szCs w:val="20"/>
          <w:lang w:eastAsia="en-US"/>
        </w:rPr>
        <w:t>Moldova has a pluralistic media environment</w:t>
      </w:r>
      <w:r>
        <w:rPr>
          <w:rFonts w:ascii="Times New Roman" w:hAnsi="Times New Roman"/>
          <w:sz w:val="22"/>
          <w:szCs w:val="20"/>
          <w:lang w:eastAsia="en-US"/>
        </w:rPr>
        <w:t xml:space="preserve">, with </w:t>
      </w:r>
      <w:r w:rsidRPr="00D80779">
        <w:rPr>
          <w:rFonts w:ascii="Times New Roman" w:hAnsi="Times New Roman"/>
          <w:sz w:val="22"/>
          <w:szCs w:val="20"/>
          <w:lang w:eastAsia="en-US"/>
        </w:rPr>
        <w:t>noticeable growth of freedom of expression</w:t>
      </w:r>
      <w:r w:rsidRPr="003247AD">
        <w:rPr>
          <w:rFonts w:ascii="Times New Roman" w:hAnsi="Times New Roman"/>
          <w:sz w:val="22"/>
          <w:szCs w:val="20"/>
          <w:lang w:eastAsia="en-US"/>
        </w:rPr>
        <w:t>. In 2023, Moldova saw a remarkable surge in its international rating of press freedom by the World Press Freedom Index, leaping to 28th place, a remarkable improvement by 63 places from 2019. Over the past five years, Moldova has emerged as the leader in press freedom and media diversity within the EaP countries</w:t>
      </w:r>
      <w:r>
        <w:rPr>
          <w:rStyle w:val="FootnoteReference"/>
          <w:rFonts w:ascii="Times New Roman" w:hAnsi="Times New Roman"/>
          <w:szCs w:val="20"/>
        </w:rPr>
        <w:footnoteReference w:id="5"/>
      </w:r>
      <w:r w:rsidRPr="003247AD">
        <w:rPr>
          <w:rFonts w:ascii="Times New Roman" w:hAnsi="Times New Roman"/>
          <w:szCs w:val="20"/>
          <w:lang w:eastAsia="en-US"/>
        </w:rPr>
        <w:t>.</w:t>
      </w:r>
      <w:r w:rsidRPr="003247AD">
        <w:rPr>
          <w:rFonts w:ascii="Times New Roman" w:hAnsi="Times New Roman"/>
          <w:sz w:val="22"/>
          <w:szCs w:val="20"/>
          <w:lang w:eastAsia="en-US"/>
        </w:rPr>
        <w:t xml:space="preserve"> Despite persisting issues such as polarisation, oligarchic influence, politicisation, monopolisation of the advertising</w:t>
      </w:r>
      <w:r>
        <w:rPr>
          <w:rFonts w:ascii="Times New Roman" w:hAnsi="Times New Roman"/>
          <w:sz w:val="22"/>
          <w:szCs w:val="20"/>
          <w:lang w:eastAsia="en-US"/>
        </w:rPr>
        <w:t xml:space="preserve"> m</w:t>
      </w:r>
      <w:r w:rsidRPr="003247AD">
        <w:rPr>
          <w:rFonts w:ascii="Times New Roman" w:hAnsi="Times New Roman"/>
          <w:sz w:val="22"/>
          <w:szCs w:val="20"/>
          <w:lang w:eastAsia="en-US"/>
        </w:rPr>
        <w:t xml:space="preserve">arket, and attacks on media institutions, positive shifts in the media landscape have been </w:t>
      </w:r>
      <w:r w:rsidR="00F00CD9" w:rsidRPr="003247AD">
        <w:rPr>
          <w:rFonts w:ascii="Times New Roman" w:hAnsi="Times New Roman"/>
          <w:sz w:val="22"/>
          <w:szCs w:val="20"/>
          <w:lang w:eastAsia="en-US"/>
        </w:rPr>
        <w:t>not</w:t>
      </w:r>
      <w:r w:rsidR="00F00CD9">
        <w:rPr>
          <w:rFonts w:ascii="Times New Roman" w:hAnsi="Times New Roman"/>
          <w:sz w:val="22"/>
          <w:szCs w:val="20"/>
          <w:lang w:eastAsia="en-US"/>
        </w:rPr>
        <w:t>ed</w:t>
      </w:r>
      <w:r w:rsidR="00F00CD9" w:rsidRPr="003247AD">
        <w:rPr>
          <w:rFonts w:ascii="Times New Roman" w:hAnsi="Times New Roman"/>
          <w:sz w:val="22"/>
          <w:szCs w:val="20"/>
          <w:lang w:eastAsia="en-US"/>
        </w:rPr>
        <w:t xml:space="preserve"> </w:t>
      </w:r>
      <w:r w:rsidRPr="003247AD">
        <w:rPr>
          <w:rFonts w:ascii="Times New Roman" w:hAnsi="Times New Roman"/>
          <w:sz w:val="22"/>
          <w:szCs w:val="20"/>
          <w:lang w:eastAsia="en-US"/>
        </w:rPr>
        <w:t xml:space="preserve">since July 2021. Instances of intimidation and assaults on journalists have declined. </w:t>
      </w:r>
    </w:p>
    <w:p w14:paraId="148A0709" w14:textId="592C8EEA" w:rsidR="005D0DA7" w:rsidRPr="00262AD9" w:rsidRDefault="005D0DA7" w:rsidP="005D0DA7">
      <w:pPr>
        <w:spacing w:after="120"/>
        <w:rPr>
          <w:szCs w:val="22"/>
        </w:rPr>
      </w:pPr>
      <w:r w:rsidRPr="00262AD9">
        <w:rPr>
          <w:szCs w:val="22"/>
        </w:rPr>
        <w:t xml:space="preserve">Although national legislation contains provisions to prevent the concentration of media and to ensure the transparency of media ownership, the </w:t>
      </w:r>
      <w:r w:rsidR="003917EF" w:rsidRPr="00262AD9">
        <w:rPr>
          <w:szCs w:val="22"/>
        </w:rPr>
        <w:t xml:space="preserve">authorities </w:t>
      </w:r>
      <w:r w:rsidRPr="00262AD9">
        <w:rPr>
          <w:szCs w:val="22"/>
        </w:rPr>
        <w:t xml:space="preserve">need to enhance efforts to implement this. To ensure compliance with the European Media </w:t>
      </w:r>
      <w:r w:rsidR="003C7805" w:rsidRPr="00262AD9">
        <w:rPr>
          <w:szCs w:val="22"/>
        </w:rPr>
        <w:t xml:space="preserve">Freedom </w:t>
      </w:r>
      <w:r w:rsidRPr="00262AD9">
        <w:rPr>
          <w:szCs w:val="22"/>
        </w:rPr>
        <w:t xml:space="preserve">Act, the Audiovisual Media Services Code needs adjustments to make sure the board of the public broadcaster is less dependent on political choice of the Parliament. While the Government is taking steps to address disinformation in the media space, the spread </w:t>
      </w:r>
      <w:r w:rsidR="008165AF">
        <w:rPr>
          <w:szCs w:val="22"/>
        </w:rPr>
        <w:t xml:space="preserve">of disinformation </w:t>
      </w:r>
      <w:r w:rsidRPr="00262AD9">
        <w:rPr>
          <w:szCs w:val="22"/>
        </w:rPr>
        <w:t xml:space="preserve">by online media remains a problem. </w:t>
      </w:r>
    </w:p>
    <w:p w14:paraId="0E3CA204" w14:textId="3D30662B" w:rsidR="005D0DA7" w:rsidRPr="00C416A0" w:rsidRDefault="005D0DA7" w:rsidP="005D0DA7">
      <w:pPr>
        <w:rPr>
          <w:szCs w:val="22"/>
          <w:highlight w:val="yellow"/>
        </w:rPr>
      </w:pPr>
      <w:r w:rsidRPr="00262AD9">
        <w:rPr>
          <w:szCs w:val="22"/>
        </w:rPr>
        <w:t xml:space="preserve">The key national stakeholders for strategic communication and support for the media are the local independent media outlets and start-ups, civil society including non-governmental organisations, who play a key role in the development of the sector. Also, the newly created EU Partnership Mission </w:t>
      </w:r>
      <w:r w:rsidR="005E170D" w:rsidRPr="00262AD9">
        <w:rPr>
          <w:szCs w:val="22"/>
        </w:rPr>
        <w:t xml:space="preserve">in </w:t>
      </w:r>
      <w:r w:rsidRPr="00262AD9">
        <w:rPr>
          <w:szCs w:val="22"/>
        </w:rPr>
        <w:t xml:space="preserve">Moldova will contribute to the enforcement </w:t>
      </w:r>
      <w:r w:rsidR="00040EB8">
        <w:rPr>
          <w:szCs w:val="22"/>
        </w:rPr>
        <w:t xml:space="preserve">of measures against disinformation </w:t>
      </w:r>
      <w:r w:rsidRPr="00262AD9">
        <w:rPr>
          <w:szCs w:val="22"/>
        </w:rPr>
        <w:t>and will focus on providing strategic advice on tackling disinformation and Foreign Information Manipulation and Interference (FIMI), as well as the newly created (July 2023) ‘Center for Strategic Communication and Combatting Disinformation’ of the Republic of Moldova.</w:t>
      </w:r>
    </w:p>
    <w:p w14:paraId="359F5FDC" w14:textId="77777777" w:rsidR="0007408E" w:rsidRPr="00807DAF" w:rsidRDefault="0007408E" w:rsidP="000E75FE">
      <w:pPr>
        <w:pStyle w:val="Guidelines2"/>
        <w:numPr>
          <w:ilvl w:val="1"/>
          <w:numId w:val="9"/>
        </w:numPr>
      </w:pPr>
      <w:bookmarkStart w:id="3" w:name="_Toc74830945"/>
      <w:r w:rsidRPr="00807DAF">
        <w:t>Objectives of the programme and priority issues</w:t>
      </w:r>
      <w:bookmarkEnd w:id="3"/>
      <w:r w:rsidRPr="00807DAF">
        <w:t xml:space="preserve"> </w:t>
      </w:r>
    </w:p>
    <w:p w14:paraId="3E2D561C" w14:textId="77777777" w:rsidR="001D2E90" w:rsidRPr="0071629D" w:rsidRDefault="001D2E90" w:rsidP="001D2E90">
      <w:pPr>
        <w:rPr>
          <w:sz w:val="24"/>
          <w:szCs w:val="24"/>
        </w:rPr>
      </w:pPr>
      <w:r w:rsidRPr="00807DAF">
        <w:t xml:space="preserve">The </w:t>
      </w:r>
      <w:r w:rsidRPr="00807DAF">
        <w:rPr>
          <w:b/>
        </w:rPr>
        <w:t>global objective</w:t>
      </w:r>
      <w:r w:rsidRPr="00807DAF">
        <w:t xml:space="preserve"> of this </w:t>
      </w:r>
      <w:r>
        <w:t>c</w:t>
      </w:r>
      <w:r w:rsidRPr="00807DAF">
        <w:t xml:space="preserve">all for </w:t>
      </w:r>
      <w:r>
        <w:t>p</w:t>
      </w:r>
      <w:r w:rsidRPr="00807DAF">
        <w:t>roposals is</w:t>
      </w:r>
      <w:r>
        <w:t xml:space="preserve"> </w:t>
      </w:r>
      <w:r w:rsidRPr="00A307ED">
        <w:t xml:space="preserve">to contribute to the </w:t>
      </w:r>
      <w:r>
        <w:t xml:space="preserve">reforms in the area of media and to the public resilience to disinformation </w:t>
      </w:r>
      <w:r w:rsidRPr="0071629D">
        <w:rPr>
          <w:sz w:val="24"/>
          <w:szCs w:val="24"/>
        </w:rPr>
        <w:t xml:space="preserve">in line with the EU </w:t>
      </w:r>
      <w:r w:rsidRPr="000A75B6">
        <w:rPr>
          <w:i/>
          <w:iCs/>
          <w:sz w:val="24"/>
          <w:szCs w:val="24"/>
        </w:rPr>
        <w:t>acquis</w:t>
      </w:r>
      <w:r w:rsidRPr="0071629D">
        <w:rPr>
          <w:sz w:val="24"/>
          <w:szCs w:val="24"/>
        </w:rPr>
        <w:t xml:space="preserve"> and ILO standards.</w:t>
      </w:r>
    </w:p>
    <w:p w14:paraId="6C4D4C2E" w14:textId="77777777" w:rsidR="001D2E90" w:rsidRDefault="001D2E90" w:rsidP="001D2E90">
      <w:r w:rsidRPr="00807DAF">
        <w:t xml:space="preserve">The </w:t>
      </w:r>
      <w:r>
        <w:rPr>
          <w:b/>
        </w:rPr>
        <w:t>specific objective</w:t>
      </w:r>
      <w:r w:rsidRPr="00807DAF">
        <w:rPr>
          <w:b/>
        </w:rPr>
        <w:t xml:space="preserve">s </w:t>
      </w:r>
      <w:r w:rsidRPr="00807DAF">
        <w:t xml:space="preserve">of this </w:t>
      </w:r>
      <w:r>
        <w:t>c</w:t>
      </w:r>
      <w:r w:rsidRPr="00807DAF">
        <w:t xml:space="preserve">all for </w:t>
      </w:r>
      <w:r>
        <w:t>proposals are:</w:t>
      </w:r>
    </w:p>
    <w:p w14:paraId="6C708302" w14:textId="076D6386" w:rsidR="001D2E90" w:rsidRDefault="001D2E90" w:rsidP="000E75FE">
      <w:pPr>
        <w:numPr>
          <w:ilvl w:val="0"/>
          <w:numId w:val="36"/>
        </w:numPr>
      </w:pPr>
      <w:r w:rsidRPr="00B4198C">
        <w:rPr>
          <w:b/>
        </w:rPr>
        <w:t>Lot</w:t>
      </w:r>
      <w:r>
        <w:rPr>
          <w:b/>
        </w:rPr>
        <w:t xml:space="preserve"> </w:t>
      </w:r>
      <w:r w:rsidRPr="00B4198C">
        <w:rPr>
          <w:b/>
        </w:rPr>
        <w:t>1</w:t>
      </w:r>
      <w:r>
        <w:t xml:space="preserve"> – To support independent and free media in Moldova</w:t>
      </w:r>
    </w:p>
    <w:p w14:paraId="335EDF22" w14:textId="77777777" w:rsidR="001D2E90" w:rsidRPr="00CE0881" w:rsidRDefault="001D2E90" w:rsidP="001D2E90">
      <w:pPr>
        <w:ind w:left="720"/>
        <w:rPr>
          <w:szCs w:val="22"/>
        </w:rPr>
      </w:pPr>
      <w:r>
        <w:t xml:space="preserve">The </w:t>
      </w:r>
      <w:r w:rsidRPr="001C091F">
        <w:rPr>
          <w:b/>
        </w:rPr>
        <w:t>priorities</w:t>
      </w:r>
      <w:r w:rsidRPr="00B73F3F">
        <w:t xml:space="preserve"> </w:t>
      </w:r>
      <w:r w:rsidRPr="00B4198C">
        <w:rPr>
          <w:b/>
        </w:rPr>
        <w:t>for</w:t>
      </w:r>
      <w:r w:rsidRPr="00B73F3F">
        <w:t xml:space="preserve"> </w:t>
      </w:r>
      <w:r>
        <w:rPr>
          <w:b/>
        </w:rPr>
        <w:t xml:space="preserve">Lot 1 </w:t>
      </w:r>
      <w:r>
        <w:t>are</w:t>
      </w:r>
      <w:r w:rsidRPr="00CE0881">
        <w:t>:</w:t>
      </w:r>
    </w:p>
    <w:p w14:paraId="59A2FB7C" w14:textId="46249810" w:rsidR="001D2E90" w:rsidRPr="0072789A" w:rsidRDefault="001D2E90" w:rsidP="000E75FE">
      <w:pPr>
        <w:pStyle w:val="ListParagraph"/>
        <w:numPr>
          <w:ilvl w:val="1"/>
          <w:numId w:val="37"/>
        </w:numPr>
        <w:spacing w:after="60" w:line="276" w:lineRule="auto"/>
        <w:rPr>
          <w:szCs w:val="22"/>
        </w:rPr>
      </w:pPr>
      <w:r w:rsidRPr="00B74754">
        <w:rPr>
          <w:szCs w:val="22"/>
        </w:rPr>
        <w:t xml:space="preserve">Provide grant funding </w:t>
      </w:r>
      <w:r w:rsidR="00DE23E8">
        <w:rPr>
          <w:szCs w:val="22"/>
        </w:rPr>
        <w:t>for</w:t>
      </w:r>
      <w:r w:rsidRPr="00B74754">
        <w:rPr>
          <w:szCs w:val="22"/>
        </w:rPr>
        <w:t xml:space="preserve"> media civil society organisations to mobilise technical expertise for coaching and mentoring of journalists, conduct trainings, procurement of technical equipment and software</w:t>
      </w:r>
      <w:r w:rsidR="00481C05">
        <w:rPr>
          <w:szCs w:val="22"/>
        </w:rPr>
        <w:t>, including</w:t>
      </w:r>
      <w:r w:rsidR="00040EB8">
        <w:rPr>
          <w:szCs w:val="22"/>
        </w:rPr>
        <w:t xml:space="preserve"> sub granting to </w:t>
      </w:r>
      <w:r w:rsidR="009006EA">
        <w:rPr>
          <w:szCs w:val="22"/>
        </w:rPr>
        <w:t xml:space="preserve">local and national </w:t>
      </w:r>
      <w:r w:rsidR="00040EB8">
        <w:rPr>
          <w:szCs w:val="22"/>
        </w:rPr>
        <w:t>media</w:t>
      </w:r>
      <w:r w:rsidR="00F961BC">
        <w:rPr>
          <w:szCs w:val="22"/>
        </w:rPr>
        <w:t>, i</w:t>
      </w:r>
      <w:r w:rsidR="00F961BC" w:rsidRPr="00423382">
        <w:rPr>
          <w:szCs w:val="22"/>
        </w:rPr>
        <w:t>ndividual online activists such as</w:t>
      </w:r>
      <w:r w:rsidR="00F961BC">
        <w:rPr>
          <w:szCs w:val="22"/>
        </w:rPr>
        <w:t xml:space="preserve"> </w:t>
      </w:r>
      <w:r w:rsidR="009006EA">
        <w:rPr>
          <w:szCs w:val="22"/>
        </w:rPr>
        <w:t xml:space="preserve">bloggers, vloggers, but </w:t>
      </w:r>
      <w:r w:rsidR="007F60E0">
        <w:rPr>
          <w:szCs w:val="22"/>
        </w:rPr>
        <w:t xml:space="preserve">not </w:t>
      </w:r>
      <w:r w:rsidR="009006EA">
        <w:rPr>
          <w:szCs w:val="22"/>
        </w:rPr>
        <w:t>limited to</w:t>
      </w:r>
      <w:r w:rsidRPr="0072789A">
        <w:rPr>
          <w:szCs w:val="22"/>
        </w:rPr>
        <w:t>;</w:t>
      </w:r>
    </w:p>
    <w:p w14:paraId="5C969F9C" w14:textId="58384A0E" w:rsidR="001D2E90" w:rsidRPr="003247AD" w:rsidRDefault="001D2E90" w:rsidP="000E75FE">
      <w:pPr>
        <w:pStyle w:val="ListParagraph"/>
        <w:numPr>
          <w:ilvl w:val="1"/>
          <w:numId w:val="37"/>
        </w:numPr>
        <w:spacing w:after="60" w:line="276" w:lineRule="auto"/>
        <w:rPr>
          <w:szCs w:val="22"/>
        </w:rPr>
      </w:pPr>
      <w:r w:rsidRPr="003247AD">
        <w:rPr>
          <w:szCs w:val="22"/>
        </w:rPr>
        <w:t xml:space="preserve">Produce quality content (campaigns, materials) on the EU </w:t>
      </w:r>
      <w:r w:rsidR="00E04AD6">
        <w:rPr>
          <w:szCs w:val="22"/>
        </w:rPr>
        <w:t xml:space="preserve">integration </w:t>
      </w:r>
      <w:r w:rsidRPr="003247AD">
        <w:rPr>
          <w:szCs w:val="22"/>
        </w:rPr>
        <w:t xml:space="preserve"> and EU assistance;</w:t>
      </w:r>
    </w:p>
    <w:p w14:paraId="1975FC2A" w14:textId="77777777" w:rsidR="001D2E90" w:rsidRPr="003247AD" w:rsidRDefault="001D2E90" w:rsidP="000E75FE">
      <w:pPr>
        <w:pStyle w:val="ListParagraph"/>
        <w:numPr>
          <w:ilvl w:val="1"/>
          <w:numId w:val="37"/>
        </w:numPr>
        <w:spacing w:after="60" w:line="276" w:lineRule="auto"/>
        <w:rPr>
          <w:szCs w:val="22"/>
        </w:rPr>
      </w:pPr>
      <w:r w:rsidRPr="003247AD">
        <w:rPr>
          <w:szCs w:val="22"/>
        </w:rPr>
        <w:t xml:space="preserve">Improve gender sensitivity of reporting, notably making sure that media reporting is free from gender stereotypes; </w:t>
      </w:r>
    </w:p>
    <w:p w14:paraId="5E579E97" w14:textId="77777777" w:rsidR="001D2E90" w:rsidRDefault="001D2E90" w:rsidP="001D2E90">
      <w:pPr>
        <w:pStyle w:val="ListParagraph"/>
        <w:spacing w:after="240" w:line="276" w:lineRule="auto"/>
        <w:ind w:left="709"/>
        <w:rPr>
          <w:szCs w:val="22"/>
        </w:rPr>
      </w:pPr>
      <w:r>
        <w:rPr>
          <w:szCs w:val="22"/>
        </w:rPr>
        <w:t>Each proposal under Lot 1 needs to address all three priorities.</w:t>
      </w:r>
    </w:p>
    <w:p w14:paraId="626BDDB2" w14:textId="2720F278" w:rsidR="001D2E90" w:rsidRDefault="001D2E90" w:rsidP="00262AD9">
      <w:pPr>
        <w:numPr>
          <w:ilvl w:val="0"/>
          <w:numId w:val="36"/>
        </w:numPr>
      </w:pPr>
      <w:r w:rsidRPr="00B4198C">
        <w:rPr>
          <w:b/>
        </w:rPr>
        <w:t>L</w:t>
      </w:r>
      <w:r>
        <w:rPr>
          <w:b/>
        </w:rPr>
        <w:t>ot 2</w:t>
      </w:r>
      <w:r>
        <w:t xml:space="preserve"> – To support the public resilience to disinformation </w:t>
      </w:r>
    </w:p>
    <w:p w14:paraId="5F24E382" w14:textId="77777777" w:rsidR="001D2E90" w:rsidRPr="00B4198C" w:rsidRDefault="001D2E90" w:rsidP="001D2E90">
      <w:pPr>
        <w:ind w:left="720"/>
      </w:pPr>
      <w:r>
        <w:t xml:space="preserve">The </w:t>
      </w:r>
      <w:r w:rsidRPr="00B4198C">
        <w:rPr>
          <w:b/>
        </w:rPr>
        <w:t xml:space="preserve">priorities for </w:t>
      </w:r>
      <w:r>
        <w:rPr>
          <w:b/>
        </w:rPr>
        <w:t>Lot 2</w:t>
      </w:r>
      <w:r w:rsidRPr="00B4198C">
        <w:t xml:space="preserve"> </w:t>
      </w:r>
      <w:r>
        <w:t>are</w:t>
      </w:r>
      <w:r w:rsidRPr="00CE0881">
        <w:t>:</w:t>
      </w:r>
    </w:p>
    <w:p w14:paraId="2538D702" w14:textId="77777777" w:rsidR="001D2E90" w:rsidRPr="003247AD" w:rsidRDefault="001D2E90" w:rsidP="000E75FE">
      <w:pPr>
        <w:pStyle w:val="ListParagraph"/>
        <w:numPr>
          <w:ilvl w:val="1"/>
          <w:numId w:val="37"/>
        </w:numPr>
        <w:spacing w:after="60" w:line="276" w:lineRule="auto"/>
        <w:rPr>
          <w:szCs w:val="22"/>
        </w:rPr>
      </w:pPr>
      <w:r w:rsidRPr="003247AD">
        <w:rPr>
          <w:szCs w:val="22"/>
        </w:rPr>
        <w:t>Conduct media literacy campaigns and initiatives to build public resilience to disinformation</w:t>
      </w:r>
    </w:p>
    <w:p w14:paraId="109D26F8" w14:textId="5C02C06B" w:rsidR="001D2E90" w:rsidRPr="0072789A" w:rsidRDefault="001D2E90" w:rsidP="000E75FE">
      <w:pPr>
        <w:pStyle w:val="ListParagraph"/>
        <w:numPr>
          <w:ilvl w:val="1"/>
          <w:numId w:val="37"/>
        </w:numPr>
        <w:spacing w:after="60" w:line="276" w:lineRule="auto"/>
        <w:rPr>
          <w:szCs w:val="22"/>
        </w:rPr>
      </w:pPr>
      <w:r w:rsidRPr="003247AD">
        <w:rPr>
          <w:szCs w:val="22"/>
        </w:rPr>
        <w:t xml:space="preserve">Cooperate with </w:t>
      </w:r>
      <w:r w:rsidRPr="0072789A">
        <w:rPr>
          <w:szCs w:val="22"/>
        </w:rPr>
        <w:t>rele</w:t>
      </w:r>
      <w:r w:rsidRPr="00ED39A1">
        <w:rPr>
          <w:szCs w:val="22"/>
        </w:rPr>
        <w:t xml:space="preserve">vant state institutions, such as </w:t>
      </w:r>
      <w:r w:rsidRPr="003247AD">
        <w:rPr>
          <w:szCs w:val="22"/>
        </w:rPr>
        <w:t>Audiovisual Council</w:t>
      </w:r>
      <w:r w:rsidRPr="0072789A">
        <w:rPr>
          <w:szCs w:val="22"/>
        </w:rPr>
        <w:t>,</w:t>
      </w:r>
      <w:r w:rsidRPr="003247AD">
        <w:rPr>
          <w:szCs w:val="22"/>
        </w:rPr>
        <w:t xml:space="preserve"> Center for Strategic Communication and Combatting Disinformation </w:t>
      </w:r>
      <w:r w:rsidRPr="0072789A">
        <w:rPr>
          <w:szCs w:val="22"/>
        </w:rPr>
        <w:t xml:space="preserve">and </w:t>
      </w:r>
      <w:r w:rsidRPr="00ED39A1">
        <w:rPr>
          <w:szCs w:val="22"/>
        </w:rPr>
        <w:t>the National Regulatory Agency for Electronic Communications and Information Technology (</w:t>
      </w:r>
      <w:proofErr w:type="spellStart"/>
      <w:r w:rsidRPr="00ED39A1">
        <w:rPr>
          <w:szCs w:val="22"/>
        </w:rPr>
        <w:t>ANRCETI</w:t>
      </w:r>
      <w:proofErr w:type="spellEnd"/>
      <w:r w:rsidRPr="00ED39A1">
        <w:rPr>
          <w:szCs w:val="22"/>
        </w:rPr>
        <w:t xml:space="preserve">) </w:t>
      </w:r>
      <w:r w:rsidRPr="003247AD">
        <w:rPr>
          <w:szCs w:val="22"/>
        </w:rPr>
        <w:t>to support</w:t>
      </w:r>
      <w:r w:rsidR="00DF58D7">
        <w:rPr>
          <w:szCs w:val="22"/>
        </w:rPr>
        <w:t xml:space="preserve"> communication activities such as campaigns and public outreach events, capacity building, </w:t>
      </w:r>
      <w:r>
        <w:rPr>
          <w:szCs w:val="22"/>
        </w:rPr>
        <w:t xml:space="preserve">digital education and cyber hygiene of the general public. </w:t>
      </w:r>
    </w:p>
    <w:p w14:paraId="77ECB741" w14:textId="77777777" w:rsidR="001D2E90" w:rsidRDefault="001D2E90" w:rsidP="001D2E90">
      <w:pPr>
        <w:pStyle w:val="ListParagraph"/>
        <w:spacing w:after="240" w:line="276" w:lineRule="auto"/>
        <w:rPr>
          <w:szCs w:val="22"/>
        </w:rPr>
      </w:pPr>
      <w:r>
        <w:rPr>
          <w:szCs w:val="22"/>
        </w:rPr>
        <w:t>Each proposal under Lot 2 needs to address both priorities.</w:t>
      </w:r>
    </w:p>
    <w:p w14:paraId="4F3F3D89" w14:textId="77777777" w:rsidR="001D2E90" w:rsidRDefault="001D2E90" w:rsidP="001D2E90">
      <w:pPr>
        <w:rPr>
          <w:highlight w:val="yellow"/>
        </w:rPr>
      </w:pPr>
      <w:r>
        <w:rPr>
          <w:szCs w:val="22"/>
          <w:lang w:eastAsia="en-GB"/>
        </w:rPr>
        <w:t xml:space="preserve">All actions should be </w:t>
      </w:r>
      <w:r>
        <w:rPr>
          <w:b/>
          <w:bCs/>
          <w:szCs w:val="22"/>
          <w:lang w:eastAsia="en-GB"/>
        </w:rPr>
        <w:t>gender sensitive and rights-based.</w:t>
      </w:r>
      <w:r>
        <w:rPr>
          <w:szCs w:val="22"/>
          <w:lang w:eastAsia="en-GB"/>
        </w:rPr>
        <w:t xml:space="preserve"> </w:t>
      </w:r>
      <w:r>
        <w:rPr>
          <w:szCs w:val="22"/>
        </w:rPr>
        <w:t xml:space="preserve">The actions should address crosscutting issues related to gender-equality, </w:t>
      </w:r>
      <w:r w:rsidRPr="003247AD">
        <w:rPr>
          <w:szCs w:val="22"/>
        </w:rPr>
        <w:t>Climate Change</w:t>
      </w:r>
      <w:r>
        <w:rPr>
          <w:szCs w:val="22"/>
        </w:rPr>
        <w:t>, B</w:t>
      </w:r>
      <w:r w:rsidRPr="003247AD">
        <w:rPr>
          <w:szCs w:val="22"/>
        </w:rPr>
        <w:t>iodiversity</w:t>
      </w:r>
      <w:r>
        <w:rPr>
          <w:szCs w:val="22"/>
        </w:rPr>
        <w:t xml:space="preserve">, inclusion of people with disabilities and minority groups.  </w:t>
      </w:r>
    </w:p>
    <w:p w14:paraId="4828939A" w14:textId="77777777" w:rsidR="0007408E" w:rsidRPr="00807DAF" w:rsidRDefault="0007408E" w:rsidP="000E75FE">
      <w:pPr>
        <w:pStyle w:val="Guidelines2"/>
        <w:numPr>
          <w:ilvl w:val="1"/>
          <w:numId w:val="9"/>
        </w:numPr>
      </w:pPr>
      <w:bookmarkStart w:id="4" w:name="_Toc74830946"/>
      <w:r w:rsidRPr="00807DAF">
        <w:t>Financial allocation provided by the contracting authority</w:t>
      </w:r>
      <w:bookmarkEnd w:id="4"/>
    </w:p>
    <w:p w14:paraId="57B344D3" w14:textId="77777777" w:rsidR="001D2E90" w:rsidRDefault="001D2E90" w:rsidP="00BD6FF1"/>
    <w:p w14:paraId="1364303E" w14:textId="77777777" w:rsidR="001D2E90" w:rsidRDefault="001D2E90" w:rsidP="001D2E90">
      <w:pPr>
        <w:rPr>
          <w:b/>
        </w:rPr>
      </w:pPr>
      <w:r w:rsidRPr="00807DAF">
        <w:t xml:space="preserve">The overall indicative amount made available under this </w:t>
      </w:r>
      <w:r>
        <w:t>c</w:t>
      </w:r>
      <w:r w:rsidRPr="00807DAF">
        <w:t xml:space="preserve">all for </w:t>
      </w:r>
      <w:r>
        <w:t>p</w:t>
      </w:r>
      <w:r w:rsidRPr="00807DAF">
        <w:t xml:space="preserve">roposals is </w:t>
      </w:r>
      <w:r w:rsidRPr="009C5F93">
        <w:rPr>
          <w:b/>
        </w:rPr>
        <w:t xml:space="preserve">EUR </w:t>
      </w:r>
      <w:r>
        <w:rPr>
          <w:b/>
        </w:rPr>
        <w:t>1</w:t>
      </w:r>
      <w:r w:rsidRPr="009C5F93">
        <w:rPr>
          <w:b/>
        </w:rPr>
        <w:t>,000,000</w:t>
      </w:r>
      <w:r>
        <w:rPr>
          <w:b/>
        </w:rPr>
        <w:t>:</w:t>
      </w:r>
    </w:p>
    <w:p w14:paraId="059B68FC" w14:textId="790802AD" w:rsidR="001D2E90" w:rsidRPr="00807DAF" w:rsidRDefault="001D2E90" w:rsidP="001D2E90">
      <w:r w:rsidRPr="00807DAF">
        <w:t xml:space="preserve">The </w:t>
      </w:r>
      <w:r>
        <w:t>c</w:t>
      </w:r>
      <w:r w:rsidRPr="00807DAF">
        <w:t xml:space="preserve">ontracting </w:t>
      </w:r>
      <w:r>
        <w:t>a</w:t>
      </w:r>
      <w:r w:rsidRPr="00807DAF">
        <w:t>uthority reserves the right not to award all available funds.</w:t>
      </w:r>
      <w:r w:rsidR="007F60E0" w:rsidRPr="007F60E0">
        <w:t xml:space="preserve"> </w:t>
      </w:r>
      <w:r w:rsidR="001A4203" w:rsidRPr="008066E2">
        <w:t xml:space="preserve">The availability of the budget of EUR 1 000 000 for this call for proposals is subject to the entry into force of the Financing </w:t>
      </w:r>
      <w:r w:rsidR="005D7019" w:rsidRPr="008066E2">
        <w:t>Agreement</w:t>
      </w:r>
      <w:r w:rsidR="001A4203" w:rsidRPr="008066E2">
        <w:t>.</w:t>
      </w:r>
    </w:p>
    <w:p w14:paraId="36173056" w14:textId="3F979F77" w:rsidR="001D2E90" w:rsidRPr="00807DAF" w:rsidRDefault="001D2E90" w:rsidP="001D2E90">
      <w:pPr>
        <w:rPr>
          <w:b/>
        </w:rPr>
      </w:pPr>
      <w:r w:rsidRPr="00807DAF">
        <w:rPr>
          <w:b/>
        </w:rPr>
        <w:t xml:space="preserve">Indicative allocation of funds </w:t>
      </w:r>
      <w:r>
        <w:rPr>
          <w:b/>
        </w:rPr>
        <w:t>by lot</w:t>
      </w:r>
      <w:r w:rsidR="00F65053">
        <w:rPr>
          <w:b/>
        </w:rPr>
        <w:t>/geographical distribution</w:t>
      </w:r>
      <w:r w:rsidRPr="00807DAF">
        <w:rPr>
          <w:b/>
        </w:rPr>
        <w:t>:</w:t>
      </w:r>
    </w:p>
    <w:p w14:paraId="32A63433" w14:textId="13011608" w:rsidR="001D2E90" w:rsidRPr="00030066" w:rsidRDefault="001D2E90" w:rsidP="001D2E90">
      <w:pPr>
        <w:spacing w:after="0" w:line="360" w:lineRule="auto"/>
        <w:ind w:left="720"/>
        <w:rPr>
          <w:b/>
        </w:rPr>
      </w:pPr>
      <w:r w:rsidRPr="00030066">
        <w:rPr>
          <w:b/>
        </w:rPr>
        <w:t>LOT 1</w:t>
      </w:r>
      <w:r>
        <w:rPr>
          <w:b/>
        </w:rPr>
        <w:t xml:space="preserve">: </w:t>
      </w:r>
      <w:r>
        <w:rPr>
          <w:szCs w:val="22"/>
        </w:rPr>
        <w:t>Support for Independent and Free Media</w:t>
      </w:r>
      <w:r>
        <w:rPr>
          <w:b/>
        </w:rPr>
        <w:t xml:space="preserve"> – 600</w:t>
      </w:r>
      <w:r w:rsidRPr="00030066">
        <w:rPr>
          <w:b/>
        </w:rPr>
        <w:t>,000 EUR</w:t>
      </w:r>
    </w:p>
    <w:p w14:paraId="2D2D6404" w14:textId="77777777" w:rsidR="001D2E90" w:rsidRPr="00164CCA" w:rsidRDefault="001D2E90" w:rsidP="001D2E90">
      <w:pPr>
        <w:spacing w:after="120" w:line="360" w:lineRule="auto"/>
        <w:ind w:left="720"/>
        <w:rPr>
          <w:b/>
          <w:color w:val="000000"/>
        </w:rPr>
      </w:pPr>
      <w:r w:rsidRPr="00030066">
        <w:rPr>
          <w:b/>
          <w:color w:val="000000"/>
        </w:rPr>
        <w:t>LOT 2</w:t>
      </w:r>
      <w:r>
        <w:rPr>
          <w:b/>
          <w:color w:val="000000"/>
        </w:rPr>
        <w:t xml:space="preserve">: </w:t>
      </w:r>
      <w:r w:rsidRPr="003247AD">
        <w:rPr>
          <w:szCs w:val="22"/>
        </w:rPr>
        <w:t xml:space="preserve">Support </w:t>
      </w:r>
      <w:r w:rsidRPr="0006171F">
        <w:rPr>
          <w:szCs w:val="22"/>
        </w:rPr>
        <w:t xml:space="preserve">the public resilience to disinformation </w:t>
      </w:r>
      <w:r>
        <w:rPr>
          <w:b/>
          <w:color w:val="000000"/>
        </w:rPr>
        <w:t>– 400</w:t>
      </w:r>
      <w:r w:rsidRPr="00030066">
        <w:rPr>
          <w:b/>
          <w:color w:val="000000"/>
        </w:rPr>
        <w:t>,000 EUR</w:t>
      </w:r>
    </w:p>
    <w:p w14:paraId="4162BEFA" w14:textId="4DAA00A1" w:rsidR="001D2E90" w:rsidRPr="00807DAF" w:rsidRDefault="001D2E90" w:rsidP="001D2E90">
      <w:pPr>
        <w:spacing w:after="360"/>
        <w:rPr>
          <w:b/>
        </w:rPr>
      </w:pPr>
      <w:r w:rsidRPr="00807DAF">
        <w:t xml:space="preserve">If the allocation indicated for a specific lot cannot be used due to insufficient quality or number of proposals received, the </w:t>
      </w:r>
      <w:r>
        <w:t>c</w:t>
      </w:r>
      <w:r w:rsidRPr="00807DAF">
        <w:t xml:space="preserve">ontracting </w:t>
      </w:r>
      <w:r>
        <w:t>a</w:t>
      </w:r>
      <w:r w:rsidRPr="00807DAF">
        <w:t xml:space="preserve">uthority reserves the right to reallocate the remaining funds to another </w:t>
      </w:r>
      <w:r w:rsidRPr="00D14F8D">
        <w:t>lot</w:t>
      </w:r>
      <w:r w:rsidRPr="008503BC">
        <w:t>.</w:t>
      </w:r>
    </w:p>
    <w:p w14:paraId="04454847" w14:textId="77777777" w:rsidR="001D2E90" w:rsidRPr="009C5F93" w:rsidRDefault="001D2E90" w:rsidP="001D2E90">
      <w:pPr>
        <w:rPr>
          <w:b/>
        </w:rPr>
      </w:pPr>
      <w:r w:rsidRPr="009C5F93">
        <w:rPr>
          <w:b/>
        </w:rPr>
        <w:t>Size of grants</w:t>
      </w:r>
    </w:p>
    <w:p w14:paraId="70F27BE5" w14:textId="77777777" w:rsidR="001D2E90" w:rsidRDefault="001D2E90" w:rsidP="001D2E90">
      <w:r w:rsidRPr="00807DAF">
        <w:t xml:space="preserve">Any grant requested under this </w:t>
      </w:r>
      <w:r>
        <w:t>c</w:t>
      </w:r>
      <w:r w:rsidRPr="00807DAF">
        <w:t xml:space="preserve">all </w:t>
      </w:r>
      <w:r w:rsidRPr="00F92E22">
        <w:t>for proposals must</w:t>
      </w:r>
      <w:r w:rsidRPr="00807DAF">
        <w:t xml:space="preserve"> </w:t>
      </w:r>
      <w:r w:rsidRPr="00BA6979">
        <w:t xml:space="preserve">fall between the following </w:t>
      </w:r>
      <w:r w:rsidRPr="000B7FE7">
        <w:t>minimum and</w:t>
      </w:r>
      <w:r w:rsidRPr="00BA6979">
        <w:t xml:space="preserve"> maximum amounts</w:t>
      </w:r>
      <w:r w:rsidRPr="00807DAF">
        <w:t>:</w:t>
      </w:r>
    </w:p>
    <w:p w14:paraId="2187F18F" w14:textId="483262F3" w:rsidR="001D2E90" w:rsidRPr="00807DAF" w:rsidRDefault="001D2E90" w:rsidP="001D2E90">
      <w:r w:rsidRPr="00030066">
        <w:rPr>
          <w:b/>
        </w:rPr>
        <w:t>LOT 1</w:t>
      </w:r>
      <w:r>
        <w:rPr>
          <w:b/>
        </w:rPr>
        <w:t xml:space="preserve">: </w:t>
      </w:r>
      <w:r>
        <w:rPr>
          <w:szCs w:val="22"/>
        </w:rPr>
        <w:t>Support for Independent</w:t>
      </w:r>
      <w:r w:rsidR="006122C4">
        <w:rPr>
          <w:szCs w:val="22"/>
        </w:rPr>
        <w:t xml:space="preserve"> and Free</w:t>
      </w:r>
      <w:r>
        <w:rPr>
          <w:szCs w:val="22"/>
        </w:rPr>
        <w:t xml:space="preserve"> Media</w:t>
      </w:r>
    </w:p>
    <w:p w14:paraId="774ACE0B" w14:textId="77777777" w:rsidR="001D2E90" w:rsidRPr="00807DAF" w:rsidRDefault="001D2E90" w:rsidP="000E75FE">
      <w:pPr>
        <w:numPr>
          <w:ilvl w:val="0"/>
          <w:numId w:val="10"/>
        </w:numPr>
      </w:pPr>
      <w:r w:rsidRPr="008503BC">
        <w:t xml:space="preserve">minimum amount: </w:t>
      </w:r>
      <w:r w:rsidRPr="00BD68F1">
        <w:rPr>
          <w:b/>
        </w:rPr>
        <w:t xml:space="preserve">EUR </w:t>
      </w:r>
      <w:r>
        <w:rPr>
          <w:b/>
        </w:rPr>
        <w:t>2</w:t>
      </w:r>
      <w:r w:rsidRPr="00BD68F1">
        <w:rPr>
          <w:b/>
        </w:rPr>
        <w:t>50,000</w:t>
      </w:r>
    </w:p>
    <w:p w14:paraId="0BCF66B3" w14:textId="02860671" w:rsidR="001D2E90" w:rsidRPr="00807DAF" w:rsidRDefault="001D2E90" w:rsidP="000E75FE">
      <w:pPr>
        <w:numPr>
          <w:ilvl w:val="0"/>
          <w:numId w:val="10"/>
        </w:numPr>
      </w:pPr>
      <w:r w:rsidRPr="00807DAF">
        <w:t xml:space="preserve">maximum amount: </w:t>
      </w:r>
      <w:r w:rsidRPr="00BD68F1">
        <w:rPr>
          <w:b/>
        </w:rPr>
        <w:t>EUR</w:t>
      </w:r>
      <w:r w:rsidRPr="00807DAF">
        <w:t xml:space="preserve"> </w:t>
      </w:r>
      <w:r>
        <w:rPr>
          <w:b/>
        </w:rPr>
        <w:t>3</w:t>
      </w:r>
      <w:r w:rsidR="00FF64FE">
        <w:rPr>
          <w:b/>
        </w:rPr>
        <w:t>0</w:t>
      </w:r>
      <w:r>
        <w:rPr>
          <w:b/>
        </w:rPr>
        <w:t>0</w:t>
      </w:r>
      <w:r w:rsidRPr="00BD68F1">
        <w:rPr>
          <w:b/>
        </w:rPr>
        <w:t>,000</w:t>
      </w:r>
    </w:p>
    <w:p w14:paraId="2EA38751" w14:textId="77777777" w:rsidR="001D2E90" w:rsidRDefault="001D2E90" w:rsidP="001D2E90">
      <w:r w:rsidRPr="00030066">
        <w:rPr>
          <w:b/>
          <w:color w:val="000000"/>
        </w:rPr>
        <w:t>LOT 2</w:t>
      </w:r>
      <w:r>
        <w:rPr>
          <w:b/>
          <w:color w:val="000000"/>
        </w:rPr>
        <w:t xml:space="preserve">: </w:t>
      </w:r>
      <w:r>
        <w:rPr>
          <w:szCs w:val="22"/>
        </w:rPr>
        <w:t xml:space="preserve">Support </w:t>
      </w:r>
      <w:r w:rsidRPr="0006171F">
        <w:rPr>
          <w:szCs w:val="22"/>
        </w:rPr>
        <w:t xml:space="preserve">the public resilience to disinformation </w:t>
      </w:r>
    </w:p>
    <w:p w14:paraId="528B014C" w14:textId="06F12E06" w:rsidR="001D2E90" w:rsidRPr="00807DAF" w:rsidRDefault="001D2E90" w:rsidP="000E75FE">
      <w:pPr>
        <w:numPr>
          <w:ilvl w:val="0"/>
          <w:numId w:val="10"/>
        </w:numPr>
      </w:pPr>
      <w:r w:rsidRPr="008503BC">
        <w:t xml:space="preserve">minimum amount: </w:t>
      </w:r>
      <w:r w:rsidRPr="00BD68F1">
        <w:rPr>
          <w:b/>
        </w:rPr>
        <w:t xml:space="preserve">EUR </w:t>
      </w:r>
      <w:r>
        <w:rPr>
          <w:b/>
        </w:rPr>
        <w:t>350</w:t>
      </w:r>
      <w:r w:rsidRPr="00BD68F1">
        <w:rPr>
          <w:b/>
        </w:rPr>
        <w:t>,000</w:t>
      </w:r>
    </w:p>
    <w:p w14:paraId="39BD9667" w14:textId="77777777" w:rsidR="001D2E90" w:rsidRPr="00807DAF" w:rsidRDefault="001D2E90" w:rsidP="000E75FE">
      <w:pPr>
        <w:numPr>
          <w:ilvl w:val="0"/>
          <w:numId w:val="10"/>
        </w:numPr>
        <w:spacing w:after="360"/>
        <w:ind w:left="714" w:hanging="357"/>
      </w:pPr>
      <w:r w:rsidRPr="00807DAF">
        <w:t xml:space="preserve">maximum amount: </w:t>
      </w:r>
      <w:r w:rsidRPr="00BD68F1">
        <w:rPr>
          <w:b/>
        </w:rPr>
        <w:t xml:space="preserve">EUR </w:t>
      </w:r>
      <w:r>
        <w:rPr>
          <w:b/>
        </w:rPr>
        <w:t>400</w:t>
      </w:r>
      <w:r w:rsidRPr="00BD68F1">
        <w:rPr>
          <w:b/>
        </w:rPr>
        <w:t>,000</w:t>
      </w:r>
    </w:p>
    <w:p w14:paraId="393FC66F" w14:textId="77777777" w:rsidR="001D2E90" w:rsidRPr="00807DAF" w:rsidRDefault="001D2E90" w:rsidP="001D2E90">
      <w:r w:rsidRPr="00807DAF">
        <w:t xml:space="preserve">Any grant requested under this </w:t>
      </w:r>
      <w:r>
        <w:t>c</w:t>
      </w:r>
      <w:r w:rsidRPr="00807DAF">
        <w:t xml:space="preserve">all for </w:t>
      </w:r>
      <w:r>
        <w:t>p</w:t>
      </w:r>
      <w:r w:rsidRPr="00807DAF">
        <w:t xml:space="preserve">roposals must </w:t>
      </w:r>
      <w:r w:rsidRPr="00BA6979">
        <w:t xml:space="preserve">fall between the following </w:t>
      </w:r>
      <w:r w:rsidRPr="000B7FE7">
        <w:t>minimum and</w:t>
      </w:r>
      <w:r>
        <w:t xml:space="preserve"> </w:t>
      </w:r>
      <w:r w:rsidRPr="00BA6979">
        <w:t>maximum percentages</w:t>
      </w:r>
      <w:r w:rsidRPr="00807DAF">
        <w:t xml:space="preserve"> of total eligible costs of the action:</w:t>
      </w:r>
    </w:p>
    <w:p w14:paraId="5EAC6212" w14:textId="082EABF7" w:rsidR="001D2E90" w:rsidRPr="00807DAF" w:rsidRDefault="001D2E90" w:rsidP="000E75FE">
      <w:pPr>
        <w:numPr>
          <w:ilvl w:val="0"/>
          <w:numId w:val="11"/>
        </w:numPr>
      </w:pPr>
      <w:r w:rsidRPr="008503BC">
        <w:t xml:space="preserve">Minimum percentage: </w:t>
      </w:r>
      <w:r w:rsidR="00887973">
        <w:rPr>
          <w:b/>
        </w:rPr>
        <w:t>80</w:t>
      </w:r>
      <w:r w:rsidR="00887973" w:rsidRPr="00BD68F1">
        <w:rPr>
          <w:b/>
        </w:rPr>
        <w:t xml:space="preserve"> </w:t>
      </w:r>
      <w:r w:rsidRPr="00BD68F1">
        <w:rPr>
          <w:b/>
        </w:rPr>
        <w:t>%</w:t>
      </w:r>
      <w:r w:rsidRPr="008503BC">
        <w:t xml:space="preserve"> of the total eligible costs of the action.</w:t>
      </w:r>
    </w:p>
    <w:p w14:paraId="163B2CE6" w14:textId="77777777" w:rsidR="001D2E90" w:rsidRDefault="001D2E90" w:rsidP="000E75FE">
      <w:pPr>
        <w:numPr>
          <w:ilvl w:val="0"/>
          <w:numId w:val="11"/>
        </w:numPr>
      </w:pPr>
      <w:r w:rsidRPr="00807DAF">
        <w:t>Maximum percentage:</w:t>
      </w:r>
      <w:r>
        <w:t xml:space="preserve"> </w:t>
      </w:r>
      <w:r w:rsidRPr="00BD68F1">
        <w:rPr>
          <w:b/>
        </w:rPr>
        <w:t>95 %</w:t>
      </w:r>
      <w:r w:rsidRPr="00807DAF">
        <w:t xml:space="preserve"> of the total eligible costs of the action (see also </w:t>
      </w:r>
      <w:r>
        <w:t>S</w:t>
      </w:r>
      <w:r w:rsidRPr="00807DAF">
        <w:t>ection 2.1.</w:t>
      </w:r>
      <w:r>
        <w:t>4</w:t>
      </w:r>
      <w:r w:rsidRPr="00807DAF">
        <w:t xml:space="preserve">). </w:t>
      </w:r>
    </w:p>
    <w:p w14:paraId="77363DA8" w14:textId="5DB18FB8" w:rsidR="001D2E90" w:rsidRDefault="001D2E90" w:rsidP="001D2E90">
      <w:pPr>
        <w:tabs>
          <w:tab w:val="num" w:pos="0"/>
        </w:tabs>
        <w:spacing w:before="120"/>
        <w:rPr>
          <w:szCs w:val="22"/>
        </w:rPr>
      </w:pPr>
      <w:r w:rsidRPr="00807DAF">
        <w:rPr>
          <w:szCs w:val="22"/>
        </w:rPr>
        <w:t xml:space="preserve">The balance (i.e. the difference between the total cost of the action and the amount requested from the </w:t>
      </w:r>
      <w:r>
        <w:rPr>
          <w:szCs w:val="22"/>
        </w:rPr>
        <w:t>c</w:t>
      </w:r>
      <w:r w:rsidRPr="00807DAF">
        <w:rPr>
          <w:szCs w:val="22"/>
        </w:rPr>
        <w:t xml:space="preserve">ontracting </w:t>
      </w:r>
      <w:r>
        <w:rPr>
          <w:szCs w:val="22"/>
        </w:rPr>
        <w:t>a</w:t>
      </w:r>
      <w:r w:rsidRPr="00807DAF">
        <w:rPr>
          <w:szCs w:val="22"/>
        </w:rPr>
        <w:t xml:space="preserve">uthority) must be financed from sources other than the </w:t>
      </w:r>
      <w:r>
        <w:rPr>
          <w:szCs w:val="22"/>
        </w:rPr>
        <w:t>general</w:t>
      </w:r>
      <w:r w:rsidRPr="00807DAF">
        <w:rPr>
          <w:szCs w:val="22"/>
        </w:rPr>
        <w:t xml:space="preserve"> </w:t>
      </w:r>
      <w:r>
        <w:rPr>
          <w:szCs w:val="22"/>
        </w:rPr>
        <w:t>b</w:t>
      </w:r>
      <w:r w:rsidRPr="00807DAF">
        <w:rPr>
          <w:szCs w:val="22"/>
        </w:rPr>
        <w:t>udget</w:t>
      </w:r>
      <w:r>
        <w:rPr>
          <w:szCs w:val="22"/>
        </w:rPr>
        <w:t xml:space="preserve"> of the Union</w:t>
      </w:r>
      <w:r w:rsidRPr="00807DAF">
        <w:rPr>
          <w:szCs w:val="22"/>
        </w:rPr>
        <w:t xml:space="preserve"> or the European Development Fund</w:t>
      </w:r>
      <w:r w:rsidRPr="00807DAF">
        <w:rPr>
          <w:rStyle w:val="FootnoteReference"/>
        </w:rPr>
        <w:footnoteReference w:id="6"/>
      </w:r>
      <w:r w:rsidRPr="00807DAF">
        <w:rPr>
          <w:szCs w:val="22"/>
        </w:rPr>
        <w:t>.</w:t>
      </w:r>
    </w:p>
    <w:p w14:paraId="76E84885" w14:textId="77777777" w:rsidR="0007408E" w:rsidRPr="00807DAF" w:rsidRDefault="0007408E" w:rsidP="000E75FE">
      <w:pPr>
        <w:pStyle w:val="Guidelines1"/>
        <w:numPr>
          <w:ilvl w:val="0"/>
          <w:numId w:val="9"/>
        </w:numPr>
        <w:tabs>
          <w:tab w:val="clear" w:pos="1492"/>
        </w:tabs>
        <w:rPr>
          <w:rFonts w:ascii="Times New Roman" w:hAnsi="Times New Roman"/>
        </w:rPr>
      </w:pPr>
      <w:bookmarkStart w:id="5" w:name="_Toc74830947"/>
      <w:r w:rsidRPr="00807DAF">
        <w:rPr>
          <w:rFonts w:ascii="Times New Roman" w:hAnsi="Times New Roman"/>
        </w:rPr>
        <w:t xml:space="preserve">Rules </w:t>
      </w:r>
      <w:r w:rsidR="0024146B" w:rsidRPr="00807DAF">
        <w:rPr>
          <w:rFonts w:ascii="Times New Roman" w:hAnsi="Times New Roman"/>
        </w:rPr>
        <w:t xml:space="preserve">FOR </w:t>
      </w:r>
      <w:r w:rsidRPr="00807DAF">
        <w:rPr>
          <w:rFonts w:ascii="Times New Roman" w:hAnsi="Times New Roman"/>
        </w:rPr>
        <w:t>thIS call for proposalS</w:t>
      </w:r>
      <w:bookmarkEnd w:id="5"/>
    </w:p>
    <w:p w14:paraId="48330523" w14:textId="77777777" w:rsidR="0007408E" w:rsidRPr="00807DAF" w:rsidRDefault="0007408E" w:rsidP="00BD6FF1">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xml:space="preserve">, in conformity with the </w:t>
      </w:r>
      <w:r w:rsidR="009D7AC9">
        <w:t>p</w:t>
      </w:r>
      <w:r w:rsidRPr="00807DAF">
        <w:t xml:space="preserve">ractical </w:t>
      </w:r>
      <w:r w:rsidR="009D7AC9">
        <w:t>g</w:t>
      </w:r>
      <w:r w:rsidRPr="00807DAF">
        <w:t>uide</w:t>
      </w:r>
      <w:r w:rsidR="009E6254" w:rsidRPr="00807DAF">
        <w:t>, which is applicable to the present call</w:t>
      </w:r>
      <w:r w:rsidR="001A3FE1" w:rsidRPr="00807DAF">
        <w:t xml:space="preserve"> (</w:t>
      </w:r>
      <w:r w:rsidR="00087373" w:rsidRPr="00807DAF">
        <w:t>a</w:t>
      </w:r>
      <w:r w:rsidR="001A3FE1" w:rsidRPr="00807DAF">
        <w:t xml:space="preserve">vailable on the </w:t>
      </w:r>
      <w:r w:rsidR="00D11783">
        <w:t>i</w:t>
      </w:r>
      <w:r w:rsidR="001A3FE1" w:rsidRPr="00807DAF">
        <w:t>nternet at this address</w:t>
      </w:r>
      <w:r w:rsidR="00176C61" w:rsidRPr="008503BC">
        <w:t xml:space="preserve"> </w:t>
      </w:r>
      <w:hyperlink r:id="rId16" w:history="1">
        <w:r w:rsidR="00F874BB" w:rsidRPr="00556E3A">
          <w:rPr>
            <w:rStyle w:val="Hyperlink"/>
          </w:rPr>
          <w:t>https://wikis.ec.europa.eu/display/ExactExternalWiki/ePRAG</w:t>
        </w:r>
      </w:hyperlink>
      <w:r w:rsidR="00F874BB">
        <w:t xml:space="preserve"> </w:t>
      </w:r>
      <w:r w:rsidR="001A3FE1" w:rsidRPr="00807DAF">
        <w:t>)</w:t>
      </w:r>
      <w:r w:rsidRPr="00807DAF">
        <w:t>.</w:t>
      </w:r>
      <w:r w:rsidR="00C60C7C">
        <w:rPr>
          <w:rStyle w:val="FootnoteReference"/>
        </w:rPr>
        <w:footnoteReference w:id="7"/>
      </w:r>
    </w:p>
    <w:p w14:paraId="6858DC11" w14:textId="77777777" w:rsidR="0007408E" w:rsidRPr="00807DAF" w:rsidRDefault="0007408E" w:rsidP="000E75FE">
      <w:pPr>
        <w:pStyle w:val="Guidelines2"/>
        <w:numPr>
          <w:ilvl w:val="1"/>
          <w:numId w:val="9"/>
        </w:numPr>
      </w:pPr>
      <w:bookmarkStart w:id="6" w:name="_Toc74830948"/>
      <w:r w:rsidRPr="00807DAF">
        <w:t>Eligibility criteria</w:t>
      </w:r>
      <w:bookmarkEnd w:id="6"/>
    </w:p>
    <w:p w14:paraId="33FF558A" w14:textId="77777777" w:rsidR="0007408E" w:rsidRPr="00807DAF" w:rsidRDefault="0007408E" w:rsidP="006E0555">
      <w:r w:rsidRPr="00807DAF">
        <w:t>There are three sets of eligibility criteria, relating to:</w:t>
      </w:r>
    </w:p>
    <w:p w14:paraId="65814F0B" w14:textId="77777777" w:rsidR="003477DE" w:rsidRPr="00807DAF" w:rsidRDefault="00296A25" w:rsidP="000E75FE">
      <w:pPr>
        <w:numPr>
          <w:ilvl w:val="0"/>
          <w:numId w:val="26"/>
        </w:numPr>
      </w:pPr>
      <w:proofErr w:type="gramStart"/>
      <w:r w:rsidRPr="00807DAF">
        <w:t>the</w:t>
      </w:r>
      <w:proofErr w:type="gramEnd"/>
      <w:r w:rsidRPr="00807DAF">
        <w:t xml:space="preserve"> actors</w:t>
      </w:r>
      <w:r w:rsidR="00CB450B">
        <w:t xml:space="preserve"> (2.1.1.)</w:t>
      </w:r>
      <w:r w:rsidRPr="00807DAF">
        <w:t>:</w:t>
      </w:r>
    </w:p>
    <w:p w14:paraId="2CC256E1" w14:textId="77777777" w:rsidR="003477DE" w:rsidRPr="00807DAF" w:rsidRDefault="006A36F9" w:rsidP="000E75FE">
      <w:pPr>
        <w:numPr>
          <w:ilvl w:val="0"/>
          <w:numId w:val="12"/>
        </w:numPr>
        <w:ind w:left="1134"/>
      </w:pPr>
      <w:r w:rsidRPr="00807DAF">
        <w:t xml:space="preserve">The </w:t>
      </w:r>
      <w:r w:rsidR="00D11783">
        <w:t>‘</w:t>
      </w:r>
      <w:r w:rsidR="00ED0176">
        <w:rPr>
          <w:b/>
        </w:rPr>
        <w:t>lead a</w:t>
      </w:r>
      <w:r w:rsidRPr="00807DAF">
        <w:rPr>
          <w:b/>
        </w:rPr>
        <w:t>pplicant</w:t>
      </w:r>
      <w:r w:rsidR="00D11783">
        <w:rPr>
          <w:b/>
        </w:rPr>
        <w:t>’</w:t>
      </w:r>
      <w:r w:rsidRPr="00807DAF">
        <w:t xml:space="preserve">, </w:t>
      </w:r>
      <w:r w:rsidR="00296A25" w:rsidRPr="00807DAF">
        <w:t xml:space="preserve">i.e. </w:t>
      </w:r>
      <w:r w:rsidR="00A31B91" w:rsidRPr="00807DAF">
        <w:t>the entity</w:t>
      </w:r>
      <w:r w:rsidRPr="00807DAF">
        <w:t xml:space="preserve"> </w:t>
      </w:r>
      <w:r w:rsidR="00D54450" w:rsidRPr="00807DAF">
        <w:t>submit</w:t>
      </w:r>
      <w:r w:rsidR="00A31B91" w:rsidRPr="00807DAF">
        <w:t>ting</w:t>
      </w:r>
      <w:r w:rsidR="00D54450" w:rsidRPr="00807DAF">
        <w:t xml:space="preserve"> the application form</w:t>
      </w:r>
      <w:r w:rsidR="00054F87">
        <w:t>;</w:t>
      </w:r>
    </w:p>
    <w:p w14:paraId="368BAF36" w14:textId="77777777" w:rsidR="003477DE" w:rsidRPr="00807DAF" w:rsidRDefault="00A31B91" w:rsidP="000E75FE">
      <w:pPr>
        <w:numPr>
          <w:ilvl w:val="0"/>
          <w:numId w:val="12"/>
        </w:numPr>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ED0176">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 xml:space="preserve">jointly referred as </w:t>
      </w:r>
      <w:r w:rsidR="00D11783" w:rsidRPr="00D34B88">
        <w:rPr>
          <w:b/>
          <w:u w:val="single"/>
        </w:rPr>
        <w:t>‘</w:t>
      </w:r>
      <w:r w:rsidR="006A36F9" w:rsidRPr="00F53E16">
        <w:rPr>
          <w:b/>
          <w:u w:val="single"/>
        </w:rPr>
        <w:t>applicant</w:t>
      </w:r>
      <w:r w:rsidR="009F3146" w:rsidRPr="00F53E16">
        <w:rPr>
          <w:b/>
          <w:u w:val="single"/>
        </w:rPr>
        <w:t>(</w:t>
      </w:r>
      <w:r w:rsidR="006A36F9" w:rsidRPr="00F53E16">
        <w:rPr>
          <w:b/>
          <w:u w:val="single"/>
        </w:rPr>
        <w:t>s</w:t>
      </w:r>
      <w:r w:rsidR="009F3146" w:rsidRPr="00F53E16">
        <w:rPr>
          <w:b/>
          <w:u w:val="single"/>
        </w:rPr>
        <w:t>)</w:t>
      </w:r>
      <w:r w:rsidR="00D11783" w:rsidRPr="00F53E16">
        <w:rPr>
          <w:b/>
          <w:u w:val="single"/>
        </w:rPr>
        <w:t>’</w:t>
      </w:r>
      <w:r w:rsidRPr="00807DAF">
        <w:t>)</w:t>
      </w:r>
      <w:r w:rsidR="00054F87">
        <w:t>;</w:t>
      </w:r>
    </w:p>
    <w:p w14:paraId="27CD6A4F" w14:textId="77777777" w:rsidR="00E95995" w:rsidRPr="00807DAF" w:rsidRDefault="006A36F9" w:rsidP="000E75FE">
      <w:pPr>
        <w:numPr>
          <w:ilvl w:val="0"/>
          <w:numId w:val="12"/>
        </w:numPr>
        <w:ind w:left="1134"/>
      </w:pPr>
      <w:r w:rsidRPr="00807DAF">
        <w:t>and</w:t>
      </w:r>
      <w:r w:rsidR="00A31B91" w:rsidRPr="00807DAF">
        <w:t>, if any,</w:t>
      </w:r>
      <w:r w:rsidRPr="00807DAF">
        <w:t xml:space="preserve"> </w:t>
      </w:r>
      <w:r w:rsidR="00A31B91" w:rsidRPr="00807DAF">
        <w:rPr>
          <w:b/>
        </w:rPr>
        <w:t>affiliated entity(</w:t>
      </w:r>
      <w:proofErr w:type="spellStart"/>
      <w:r w:rsidR="00A31B91" w:rsidRPr="00807DAF">
        <w:rPr>
          <w:b/>
        </w:rPr>
        <w:t>ies</w:t>
      </w:r>
      <w:proofErr w:type="spellEnd"/>
      <w:r w:rsidR="00A31B91" w:rsidRPr="00807DAF">
        <w:rPr>
          <w:b/>
        </w:rPr>
        <w:t>)</w:t>
      </w:r>
      <w:r w:rsidR="00296A25" w:rsidRPr="00807DAF">
        <w:rPr>
          <w:b/>
        </w:rPr>
        <w:t xml:space="preserve"> </w:t>
      </w:r>
      <w:r w:rsidR="00296A25" w:rsidRPr="00807DAF">
        <w:t xml:space="preserve">to the </w:t>
      </w:r>
      <w:r w:rsidR="00ED0176">
        <w:t>lead a</w:t>
      </w:r>
      <w:r w:rsidR="00296A25" w:rsidRPr="00807DAF">
        <w:t>pplicant and/or to a co-applicant(s)</w:t>
      </w:r>
      <w:r w:rsidRPr="00807DAF">
        <w:t>;</w:t>
      </w:r>
    </w:p>
    <w:p w14:paraId="0E741B50" w14:textId="77777777" w:rsidR="00E95995" w:rsidRPr="00807DAF" w:rsidRDefault="00296A25" w:rsidP="000E75FE">
      <w:pPr>
        <w:numPr>
          <w:ilvl w:val="0"/>
          <w:numId w:val="26"/>
        </w:numPr>
      </w:pPr>
      <w:proofErr w:type="gramStart"/>
      <w:r w:rsidRPr="00807DAF">
        <w:t>the</w:t>
      </w:r>
      <w:proofErr w:type="gramEnd"/>
      <w:r w:rsidRPr="00807DAF">
        <w:t xml:space="preserve"> </w:t>
      </w:r>
      <w:r w:rsidR="00F06309" w:rsidRPr="00807DAF">
        <w:t>a</w:t>
      </w:r>
      <w:r w:rsidR="006F1CFC" w:rsidRPr="00807DAF">
        <w:t>ctions</w:t>
      </w:r>
      <w:r w:rsidR="00CB450B">
        <w:t xml:space="preserve"> (2.1.3.)</w:t>
      </w:r>
      <w:r w:rsidRPr="00807DAF">
        <w:t>:</w:t>
      </w:r>
    </w:p>
    <w:p w14:paraId="174891E6" w14:textId="552D0AAE" w:rsidR="003477DE" w:rsidRPr="00807DAF" w:rsidRDefault="006264EC" w:rsidP="00E95995">
      <w:pPr>
        <w:ind w:left="720"/>
      </w:pPr>
      <w:r w:rsidRPr="0090348E">
        <w:rPr>
          <w:sz w:val="28"/>
          <w:szCs w:val="28"/>
        </w:rPr>
        <w:t>•</w:t>
      </w:r>
      <w:r w:rsidRPr="00BA6979">
        <w:rPr>
          <w:sz w:val="28"/>
          <w:szCs w:val="28"/>
        </w:rPr>
        <w:t xml:space="preserve"> </w:t>
      </w:r>
      <w:proofErr w:type="gramStart"/>
      <w:r>
        <w:t>a</w:t>
      </w:r>
      <w:r w:rsidR="006F1CFC" w:rsidRPr="00807DAF">
        <w:t>ction</w:t>
      </w:r>
      <w:r w:rsidR="00A07623" w:rsidRPr="00807DAF">
        <w:t>s</w:t>
      </w:r>
      <w:proofErr w:type="gramEnd"/>
      <w:r w:rsidR="003477DE" w:rsidRPr="00807DAF">
        <w:t xml:space="preserve"> for which a grant may be awarde</w:t>
      </w:r>
      <w:r>
        <w:t>d</w:t>
      </w:r>
      <w:r w:rsidR="003477DE" w:rsidRPr="00807DAF">
        <w:t>;</w:t>
      </w:r>
    </w:p>
    <w:p w14:paraId="5611E31E" w14:textId="77777777" w:rsidR="00E95995" w:rsidRPr="00807DAF" w:rsidRDefault="00296A25" w:rsidP="000E75FE">
      <w:pPr>
        <w:numPr>
          <w:ilvl w:val="0"/>
          <w:numId w:val="26"/>
        </w:numPr>
      </w:pPr>
      <w:proofErr w:type="gramStart"/>
      <w:r w:rsidRPr="00807DAF">
        <w:t>the</w:t>
      </w:r>
      <w:proofErr w:type="gramEnd"/>
      <w:r w:rsidRPr="00807DAF">
        <w:t xml:space="preserve"> costs</w:t>
      </w:r>
      <w:r w:rsidR="00CB450B">
        <w:t xml:space="preserve"> (2.1.4.)</w:t>
      </w:r>
      <w:r w:rsidRPr="00807DAF">
        <w:t>:</w:t>
      </w:r>
    </w:p>
    <w:p w14:paraId="0742E971" w14:textId="77777777" w:rsidR="00267E4F" w:rsidRPr="00807DAF" w:rsidRDefault="0007408E" w:rsidP="000E75FE">
      <w:pPr>
        <w:numPr>
          <w:ilvl w:val="0"/>
          <w:numId w:val="12"/>
        </w:numPr>
        <w:ind w:left="1134"/>
      </w:pPr>
      <w:proofErr w:type="gramStart"/>
      <w:r w:rsidRPr="00807DAF">
        <w:t>types</w:t>
      </w:r>
      <w:proofErr w:type="gramEnd"/>
      <w:r w:rsidRPr="00807DAF">
        <w:t xml:space="preserve"> of cost </w:t>
      </w:r>
      <w:r w:rsidR="00AA424B" w:rsidRPr="00807DAF">
        <w:t xml:space="preserve">that </w:t>
      </w:r>
      <w:r w:rsidRPr="00807DAF">
        <w:t>may be taken into account in setting the amount of the grant.</w:t>
      </w:r>
    </w:p>
    <w:p w14:paraId="2D024AFA" w14:textId="77777777" w:rsidR="0007408E" w:rsidRPr="00807DAF" w:rsidRDefault="0007408E" w:rsidP="000E75FE">
      <w:pPr>
        <w:pStyle w:val="Guidelines3"/>
        <w:numPr>
          <w:ilvl w:val="2"/>
          <w:numId w:val="9"/>
        </w:numPr>
      </w:pPr>
      <w:bookmarkStart w:id="7" w:name="_Toc74830949"/>
      <w:r w:rsidRPr="00807DAF">
        <w:t>Eligibility of applicant</w:t>
      </w:r>
      <w:r w:rsidR="00A2450D" w:rsidRPr="00807DAF">
        <w:t>s</w:t>
      </w:r>
      <w:r w:rsidR="00C4172B" w:rsidRPr="00807DAF">
        <w:t xml:space="preserve"> (i.e. </w:t>
      </w:r>
      <w:r w:rsidR="00ED0176">
        <w:t>lead a</w:t>
      </w:r>
      <w:r w:rsidR="00C4172B" w:rsidRPr="00807DAF">
        <w:t>pplicant and co-applicant(s))</w:t>
      </w:r>
      <w:bookmarkEnd w:id="7"/>
    </w:p>
    <w:p w14:paraId="4C0311C4" w14:textId="77777777" w:rsidR="004127BD" w:rsidRPr="00951BF6" w:rsidRDefault="00ED0176" w:rsidP="006E0555">
      <w:pPr>
        <w:spacing w:before="240"/>
        <w:rPr>
          <w:b/>
        </w:rPr>
      </w:pPr>
      <w:r w:rsidRPr="00951BF6">
        <w:rPr>
          <w:b/>
        </w:rPr>
        <w:t>Lead a</w:t>
      </w:r>
      <w:r w:rsidR="004127BD" w:rsidRPr="007E4F56">
        <w:rPr>
          <w:b/>
        </w:rPr>
        <w:t>pplicant</w:t>
      </w:r>
    </w:p>
    <w:p w14:paraId="2CCD67D8" w14:textId="77777777" w:rsidR="0007408E" w:rsidRDefault="006A36F9" w:rsidP="000E75FE">
      <w:pPr>
        <w:numPr>
          <w:ilvl w:val="0"/>
          <w:numId w:val="38"/>
        </w:numPr>
      </w:pPr>
      <w:r w:rsidRPr="00807DAF">
        <w:t xml:space="preserve">In order to be eligible for a grant, the </w:t>
      </w:r>
      <w:r w:rsidR="00ED0176">
        <w:t>lead a</w:t>
      </w:r>
      <w:r w:rsidRPr="00807DAF">
        <w:t>pplicant must:</w:t>
      </w:r>
    </w:p>
    <w:p w14:paraId="5F158290" w14:textId="209180FA" w:rsidR="00BD07A5" w:rsidRPr="006124D9" w:rsidRDefault="00BD07A5" w:rsidP="000E75FE">
      <w:pPr>
        <w:numPr>
          <w:ilvl w:val="0"/>
          <w:numId w:val="13"/>
        </w:numPr>
      </w:pPr>
      <w:r w:rsidRPr="00807DAF">
        <w:t xml:space="preserve">be a legal person </w:t>
      </w:r>
      <w:r w:rsidR="00D63661">
        <w:rPr>
          <w:b/>
        </w:rPr>
        <w:t>and</w:t>
      </w:r>
    </w:p>
    <w:p w14:paraId="00BE3D6D" w14:textId="77777777" w:rsidR="00D63661" w:rsidRPr="00262AD9" w:rsidRDefault="00BD07A5" w:rsidP="00262AD9">
      <w:pPr>
        <w:numPr>
          <w:ilvl w:val="0"/>
          <w:numId w:val="13"/>
        </w:numPr>
        <w:rPr>
          <w:b/>
        </w:rPr>
      </w:pPr>
      <w:r w:rsidRPr="00807DAF">
        <w:t xml:space="preserve">be non-profit-making </w:t>
      </w:r>
      <w:r w:rsidRPr="00262AD9">
        <w:rPr>
          <w:b/>
        </w:rPr>
        <w:t>and</w:t>
      </w:r>
    </w:p>
    <w:p w14:paraId="573EB7E3" w14:textId="59D8E3B8" w:rsidR="00BD07A5" w:rsidRDefault="00BD07A5" w:rsidP="00262AD9">
      <w:pPr>
        <w:numPr>
          <w:ilvl w:val="0"/>
          <w:numId w:val="13"/>
        </w:numPr>
      </w:pPr>
      <w:r w:rsidRPr="006124D9">
        <w:t xml:space="preserve"> </w:t>
      </w:r>
      <w:r w:rsidR="00D63661" w:rsidRPr="008303C2">
        <w:t xml:space="preserve">be a specific type of organisation such as: non-governmental organisation, </w:t>
      </w:r>
      <w:r w:rsidR="00D63661">
        <w:t>international (inter-governmental) organisation</w:t>
      </w:r>
      <w:r w:rsidR="00D63661" w:rsidRPr="006124D9" w:rsidDel="00D63661">
        <w:t xml:space="preserve"> </w:t>
      </w:r>
      <w:r w:rsidR="00341C39" w:rsidRPr="00807DAF">
        <w:t xml:space="preserve">as defined by </w:t>
      </w:r>
      <w:r w:rsidR="00392B2D" w:rsidRPr="00807DAF">
        <w:t xml:space="preserve">Article </w:t>
      </w:r>
      <w:r w:rsidR="00EF5564">
        <w:t>156</w:t>
      </w:r>
      <w:r w:rsidR="00F51BDC">
        <w:t xml:space="preserve"> </w:t>
      </w:r>
      <w:r w:rsidR="00DC45A8" w:rsidRPr="00807DAF">
        <w:t xml:space="preserve">of </w:t>
      </w:r>
      <w:r w:rsidR="00341C39" w:rsidRPr="00807DAF">
        <w:t>the E</w:t>
      </w:r>
      <w:r w:rsidR="00DC45A8" w:rsidRPr="00807DAF">
        <w:t>U</w:t>
      </w:r>
      <w:r w:rsidR="00341C39" w:rsidRPr="00807DAF">
        <w:t xml:space="preserve"> Financial Regulation</w:t>
      </w:r>
      <w:r w:rsidR="00341C39" w:rsidRPr="00140A0D">
        <w:rPr>
          <w:rStyle w:val="FootnoteReference"/>
        </w:rPr>
        <w:footnoteReference w:id="8"/>
      </w:r>
      <w:r w:rsidR="00167D43" w:rsidRPr="00951BF6">
        <w:t xml:space="preserve"> </w:t>
      </w:r>
      <w:r w:rsidR="00D63661">
        <w:rPr>
          <w:b/>
        </w:rPr>
        <w:t>and</w:t>
      </w:r>
    </w:p>
    <w:p w14:paraId="1C2156AF" w14:textId="4CC57512" w:rsidR="006F5D69" w:rsidRDefault="004B573E" w:rsidP="000E75FE">
      <w:pPr>
        <w:numPr>
          <w:ilvl w:val="0"/>
          <w:numId w:val="13"/>
        </w:numPr>
      </w:pPr>
      <w:r w:rsidRPr="00807DAF">
        <w:t xml:space="preserve">be </w:t>
      </w:r>
      <w:r w:rsidR="00C9081A" w:rsidRPr="00807DAF">
        <w:t>established in</w:t>
      </w:r>
      <w:bookmarkStart w:id="8" w:name="_Ref54605258"/>
      <w:r w:rsidR="00D220FF" w:rsidRPr="00807DAF">
        <w:rPr>
          <w:rStyle w:val="FootnoteReference"/>
        </w:rPr>
        <w:footnoteReference w:id="9"/>
      </w:r>
      <w:bookmarkEnd w:id="8"/>
      <w:r w:rsidR="00C9081A" w:rsidRPr="00807DAF">
        <w:t xml:space="preserve"> </w:t>
      </w:r>
      <w:r w:rsidR="00A805BC" w:rsidRPr="00A805BC">
        <w:t xml:space="preserve">a Member State of the European Union or </w:t>
      </w:r>
      <w:r w:rsidR="006124D9" w:rsidRPr="004F6FD1">
        <w:t xml:space="preserve">in the Republic of Moldova </w:t>
      </w:r>
      <w:r w:rsidR="006124D9" w:rsidRPr="004F6FD1">
        <w:rPr>
          <w:i/>
        </w:rPr>
        <w:t xml:space="preserve">or any other eligible country as </w:t>
      </w:r>
      <w:r w:rsidR="0064630F" w:rsidRPr="006124D9">
        <w:t>stipulated in the basic act</w:t>
      </w:r>
      <w:r w:rsidR="00542871" w:rsidRPr="006124D9" w:rsidDel="00542871">
        <w:t xml:space="preserve"> </w:t>
      </w:r>
      <w:r w:rsidR="00D71483" w:rsidRPr="006124D9">
        <w:t>NDICI</w:t>
      </w:r>
      <w:r w:rsidR="00757D80" w:rsidRPr="006124D9">
        <w:t>-GE</w:t>
      </w:r>
      <w:r w:rsidR="00B22299" w:rsidRPr="00B22299">
        <w:t xml:space="preserve"> </w:t>
      </w:r>
      <w:r w:rsidR="00103811">
        <w:rPr>
          <w:rStyle w:val="FootnoteReference"/>
        </w:rPr>
        <w:footnoteReference w:id="10"/>
      </w:r>
      <w:r w:rsidR="000D5F99">
        <w:t>,</w:t>
      </w:r>
    </w:p>
    <w:p w14:paraId="46073B89" w14:textId="77777777" w:rsidR="006F5D69" w:rsidRPr="006F5D69" w:rsidRDefault="00A805BC" w:rsidP="006F5D69">
      <w:pPr>
        <w:ind w:left="1211"/>
      </w:pPr>
      <w:r w:rsidRPr="006F5D69">
        <w:t xml:space="preserve">This obligation does not apply to international organisations </w:t>
      </w:r>
    </w:p>
    <w:p w14:paraId="1E83C6F2" w14:textId="77777777" w:rsidR="00A57A05" w:rsidRPr="006F5D69" w:rsidRDefault="006F5D69" w:rsidP="006F5D69">
      <w:pPr>
        <w:ind w:left="1211"/>
      </w:pPr>
      <w:proofErr w:type="gramStart"/>
      <w:r w:rsidRPr="006F5D69">
        <w:rPr>
          <w:b/>
        </w:rPr>
        <w:t>and</w:t>
      </w:r>
      <w:proofErr w:type="gramEnd"/>
    </w:p>
    <w:p w14:paraId="4073F307" w14:textId="07B97717" w:rsidR="0007408E" w:rsidRPr="00807DAF" w:rsidRDefault="0007408E" w:rsidP="000E75FE">
      <w:pPr>
        <w:numPr>
          <w:ilvl w:val="0"/>
          <w:numId w:val="13"/>
        </w:numPr>
      </w:pPr>
      <w:r w:rsidRPr="00807DAF">
        <w:t>be directly responsible for the preparation and management of the action</w:t>
      </w:r>
      <w:r w:rsidR="004B573E" w:rsidRPr="00807DAF">
        <w:t xml:space="preserve"> with </w:t>
      </w:r>
      <w:r w:rsidR="00E53D76" w:rsidRPr="00807DAF">
        <w:t>the co-applicant(s) and affiliated entity(</w:t>
      </w:r>
      <w:proofErr w:type="spellStart"/>
      <w:r w:rsidR="00E53D76" w:rsidRPr="00807DAF">
        <w:t>ies</w:t>
      </w:r>
      <w:proofErr w:type="spellEnd"/>
      <w:r w:rsidR="00E53D76" w:rsidRPr="00807DAF">
        <w:t xml:space="preserve">), </w:t>
      </w:r>
      <w:r w:rsidRPr="00807DAF">
        <w:t>not acting as an intermediary</w:t>
      </w:r>
    </w:p>
    <w:p w14:paraId="3B3F2777" w14:textId="77777777" w:rsidR="006A0AD3" w:rsidRDefault="006124D9" w:rsidP="00807DAF">
      <w:pPr>
        <w:spacing w:after="0"/>
        <w:ind w:left="425" w:hanging="425"/>
      </w:pPr>
      <w:r w:rsidRPr="00807DAF">
        <w:t xml:space="preserve"> </w:t>
      </w:r>
      <w:r w:rsidR="00DE6435" w:rsidRPr="00807DAF">
        <w:t>(2)</w:t>
      </w:r>
      <w:r w:rsidR="007E58A6" w:rsidRPr="00807DAF">
        <w:tab/>
      </w:r>
      <w:r w:rsidR="002F0314">
        <w:t>P</w:t>
      </w:r>
      <w:r w:rsidR="0007408E" w:rsidRPr="00807DAF">
        <w:t>otential applicant</w:t>
      </w:r>
      <w:r w:rsidR="002F0314">
        <w:t>s</w:t>
      </w:r>
      <w:r w:rsidR="006A36F9" w:rsidRPr="00807DAF">
        <w:t xml:space="preserve"> </w:t>
      </w:r>
      <w:r w:rsidR="0007408E" w:rsidRPr="00807DAF">
        <w:t>may not participate in calls for proposals or be awarded grants if</w:t>
      </w:r>
      <w:r w:rsidR="002F3F27" w:rsidRPr="00807DAF">
        <w:t xml:space="preserve"> </w:t>
      </w:r>
      <w:r w:rsidR="002F0314">
        <w:t xml:space="preserve">they are </w:t>
      </w:r>
      <w:r w:rsidR="006A0AD3" w:rsidRPr="00807DAF">
        <w:t xml:space="preserve">in any of the situations listed in </w:t>
      </w:r>
      <w:r w:rsidR="00B01659">
        <w:t>S</w:t>
      </w:r>
      <w:r w:rsidR="006A0AD3" w:rsidRPr="00807DAF">
        <w:t>ection 2.</w:t>
      </w:r>
      <w:r w:rsidR="006D36D0">
        <w:t>6.10.1</w:t>
      </w:r>
      <w:r w:rsidR="006A0AD3" w:rsidRPr="00807DAF">
        <w:t xml:space="preserve"> of the </w:t>
      </w:r>
      <w:r w:rsidR="009D7AC9">
        <w:t>p</w:t>
      </w:r>
      <w:r w:rsidR="006A0AD3" w:rsidRPr="00807DAF">
        <w:t xml:space="preserve">ractical </w:t>
      </w:r>
      <w:r w:rsidR="009D7AC9">
        <w:t>g</w:t>
      </w:r>
      <w:r w:rsidR="006A0AD3" w:rsidRPr="00807DAF">
        <w:t>uide;</w:t>
      </w:r>
    </w:p>
    <w:p w14:paraId="00D9C47F" w14:textId="77777777" w:rsidR="007B2B84" w:rsidRDefault="007B2B84" w:rsidP="00807DAF">
      <w:pPr>
        <w:spacing w:after="0"/>
        <w:ind w:left="425" w:hanging="425"/>
      </w:pPr>
    </w:p>
    <w:p w14:paraId="3D53DB75" w14:textId="77777777" w:rsidR="007B2B84" w:rsidRDefault="007B2B84" w:rsidP="007B2B84">
      <w:r w:rsidRPr="008B7D5A">
        <w:rPr>
          <w:lang w:eastAsia="en-GB"/>
        </w:rPr>
        <w:t xml:space="preserve">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w:t>
      </w:r>
      <w:r w:rsidR="00B01659" w:rsidRPr="008B7D5A">
        <w:rPr>
          <w:lang w:eastAsia="en-GB"/>
        </w:rPr>
        <w:t>S</w:t>
      </w:r>
      <w:r w:rsidRPr="008B7D5A">
        <w:rPr>
          <w:lang w:eastAsia="en-GB"/>
        </w:rPr>
        <w:t xml:space="preserve">ection 2.6.10.1 of the practical guide, personal details (name, given name if natural person, address, legal form and name and given name of the persons with powers of representation, decision-making or control, if legal person) may be registered in the </w:t>
      </w:r>
      <w:r w:rsidR="00D11783" w:rsidRPr="008B7D5A">
        <w:rPr>
          <w:lang w:eastAsia="en-GB"/>
        </w:rPr>
        <w:t>e</w:t>
      </w:r>
      <w:r w:rsidRPr="008B7D5A">
        <w:rPr>
          <w:lang w:eastAsia="en-GB"/>
        </w:rPr>
        <w:t xml:space="preserve">arly </w:t>
      </w:r>
      <w:r w:rsidR="00D11783" w:rsidRPr="008B7D5A">
        <w:rPr>
          <w:lang w:eastAsia="en-GB"/>
        </w:rPr>
        <w:t>d</w:t>
      </w:r>
      <w:r w:rsidRPr="008B7D5A">
        <w:rPr>
          <w:lang w:eastAsia="en-GB"/>
        </w:rPr>
        <w:t xml:space="preserve">etection and </w:t>
      </w:r>
      <w:r w:rsidR="00D11783" w:rsidRPr="008B7D5A">
        <w:rPr>
          <w:lang w:eastAsia="en-GB"/>
        </w:rPr>
        <w:t>e</w:t>
      </w:r>
      <w:r w:rsidRPr="008B7D5A">
        <w:rPr>
          <w:lang w:eastAsia="en-GB"/>
        </w:rPr>
        <w:t xml:space="preserve">xclusion </w:t>
      </w:r>
      <w:r w:rsidR="00D11783" w:rsidRPr="008B7D5A">
        <w:rPr>
          <w:lang w:eastAsia="en-GB"/>
        </w:rPr>
        <w:t>s</w:t>
      </w:r>
      <w:r w:rsidRPr="008B7D5A">
        <w:rPr>
          <w:lang w:eastAsia="en-GB"/>
        </w:rPr>
        <w:t>ystem, and communicated to the persons and entities concerned in relation to the award or the execution of a grant contract.</w:t>
      </w:r>
      <w:r w:rsidR="0090348E">
        <w:rPr>
          <w:lang w:eastAsia="en-GB"/>
        </w:rPr>
        <w:t xml:space="preserve"> </w:t>
      </w:r>
      <w:r w:rsidR="00D803E4">
        <w:t xml:space="preserve">In this respect, </w:t>
      </w:r>
      <w:r w:rsidR="00D6169D">
        <w:t xml:space="preserve">provisionally selected </w:t>
      </w:r>
      <w:r w:rsidR="00D803E4">
        <w:t>lead applicants, co-applicants and affiliated entities</w:t>
      </w:r>
      <w:r w:rsidR="00ED7CB2">
        <w:t xml:space="preserve"> or those placed in the reserve list</w:t>
      </w:r>
      <w:r w:rsidR="00D803E4">
        <w:t xml:space="preserve"> are obliged to declare that they are not in one of the exclusion situations through a signed declaration on honour (</w:t>
      </w:r>
      <w:proofErr w:type="spellStart"/>
      <w:r w:rsidR="00D803E4">
        <w:t>PRAG</w:t>
      </w:r>
      <w:proofErr w:type="spellEnd"/>
      <w:r w:rsidR="00D803E4">
        <w:t xml:space="preserve"> Annex A14). For grants of EUR </w:t>
      </w:r>
      <w:r w:rsidR="009B3380">
        <w:t xml:space="preserve">15 </w:t>
      </w:r>
      <w:r w:rsidR="00D803E4">
        <w:t>000 or less, no declaration on honour is required.</w:t>
      </w:r>
      <w:r w:rsidR="008B7D5A">
        <w:t xml:space="preserve"> See section 2.4</w:t>
      </w:r>
      <w:r w:rsidR="0090673B">
        <w:t xml:space="preserve">. </w:t>
      </w:r>
    </w:p>
    <w:p w14:paraId="5516EE7F" w14:textId="77777777" w:rsidR="007B2B84" w:rsidRPr="00807DAF" w:rsidRDefault="007B2B84" w:rsidP="00807DAF">
      <w:pPr>
        <w:spacing w:after="0"/>
        <w:ind w:left="425" w:hanging="425"/>
      </w:pPr>
    </w:p>
    <w:p w14:paraId="00F21757" w14:textId="77777777" w:rsidR="00C4172B" w:rsidRPr="00807DAF" w:rsidRDefault="001F59CD" w:rsidP="004741A1">
      <w:pPr>
        <w:ind w:left="426"/>
      </w:pPr>
      <w:r w:rsidRPr="00807DAF">
        <w:t>I</w:t>
      </w:r>
      <w:r w:rsidR="000312D2" w:rsidRPr="00807DAF">
        <w:t xml:space="preserve">n </w:t>
      </w:r>
      <w:r w:rsidR="00964FB0" w:rsidRPr="00BA6979">
        <w:t>Annex A</w:t>
      </w:r>
      <w:r w:rsidR="00F43773" w:rsidRPr="00BA6979">
        <w:t>.</w:t>
      </w:r>
      <w:r w:rsidR="00964FB0" w:rsidRPr="00BA6979">
        <w:t>1</w:t>
      </w:r>
      <w:r w:rsidR="0024146B" w:rsidRPr="00BA6979">
        <w:t xml:space="preserve"> </w:t>
      </w:r>
      <w:r w:rsidR="00B01659" w:rsidRPr="00BA6979">
        <w:t>S</w:t>
      </w:r>
      <w:r w:rsidR="0024146B" w:rsidRPr="00BA6979">
        <w:t xml:space="preserve">ection </w:t>
      </w:r>
      <w:r w:rsidR="00964FB0" w:rsidRPr="00BA6979">
        <w:t>2</w:t>
      </w:r>
      <w:r w:rsidR="00116BB5" w:rsidRPr="00BA6979">
        <w:t xml:space="preserve"> and </w:t>
      </w:r>
      <w:r w:rsidR="00964FB0" w:rsidRPr="00BA6979">
        <w:t>Annex A</w:t>
      </w:r>
      <w:r w:rsidR="00F43773" w:rsidRPr="00BA6979">
        <w:t>.</w:t>
      </w:r>
      <w:r w:rsidR="00964FB0" w:rsidRPr="00BA6979">
        <w:t>2</w:t>
      </w:r>
      <w:r w:rsidR="00116BB5" w:rsidRPr="00BA6979">
        <w:t xml:space="preserve"> </w:t>
      </w:r>
      <w:r w:rsidR="00B01659" w:rsidRPr="00BA6979">
        <w:t>S</w:t>
      </w:r>
      <w:r w:rsidR="00116BB5" w:rsidRPr="00BA6979">
        <w:t xml:space="preserve">ection </w:t>
      </w:r>
      <w:r w:rsidR="00964FB0" w:rsidRPr="00BA6979">
        <w:t>5</w:t>
      </w:r>
      <w:r w:rsidR="007A0F56">
        <w:t xml:space="preserve"> </w:t>
      </w:r>
      <w:r w:rsidR="000312D2" w:rsidRPr="00807DAF">
        <w:t>(</w:t>
      </w:r>
      <w:r w:rsidR="00A016F9" w:rsidRPr="00807DAF">
        <w:t>‘</w:t>
      </w:r>
      <w:r w:rsidR="00AD15CE">
        <w:t>d</w:t>
      </w:r>
      <w:r w:rsidR="000312D2" w:rsidRPr="00807DAF">
        <w:t>eclaration</w:t>
      </w:r>
      <w:r w:rsidR="00116BB5">
        <w:t>(s)</w:t>
      </w:r>
      <w:r w:rsidR="000312D2" w:rsidRPr="00807DAF">
        <w:t xml:space="preserve"> by the </w:t>
      </w:r>
      <w:r w:rsidR="00BD53D5">
        <w:t>lead a</w:t>
      </w:r>
      <w:r w:rsidR="000312D2" w:rsidRPr="00807DAF">
        <w:t>pplicant</w:t>
      </w:r>
      <w:r w:rsidR="00A016F9" w:rsidRPr="00807DAF">
        <w:t>’</w:t>
      </w:r>
      <w:r w:rsidR="000312D2" w:rsidRPr="00807DAF">
        <w:t xml:space="preserve">), </w:t>
      </w:r>
      <w:r w:rsidR="007E58A6" w:rsidRPr="00807DAF">
        <w:t xml:space="preserve">the </w:t>
      </w:r>
      <w:r w:rsidR="00BD53D5">
        <w:t>lead a</w:t>
      </w:r>
      <w:r w:rsidR="0007408E" w:rsidRPr="00807DAF">
        <w:t xml:space="preserve">pplicant must </w:t>
      </w:r>
      <w:r w:rsidR="000312D2" w:rsidRPr="00807DAF">
        <w:t>declare</w:t>
      </w:r>
      <w:r w:rsidR="0007408E" w:rsidRPr="00807DAF">
        <w:t xml:space="preserve"> that </w:t>
      </w:r>
      <w:r w:rsidR="006A36F9" w:rsidRPr="00807DAF">
        <w:t xml:space="preserve">the </w:t>
      </w:r>
      <w:r w:rsidR="00BD53D5">
        <w:t>lead a</w:t>
      </w:r>
      <w:r w:rsidR="006A36F9" w:rsidRPr="00807DAF">
        <w:t>pplicant himself</w:t>
      </w:r>
      <w:r w:rsidR="007E58A6" w:rsidRPr="00807DAF">
        <w:t xml:space="preserve">, the co-applicant(s) and affiliated </w:t>
      </w:r>
      <w:proofErr w:type="gramStart"/>
      <w:r w:rsidR="007E58A6" w:rsidRPr="00807DAF">
        <w:t>entity(</w:t>
      </w:r>
      <w:proofErr w:type="spellStart"/>
      <w:proofErr w:type="gramEnd"/>
      <w:r w:rsidR="007E58A6" w:rsidRPr="00807DAF">
        <w:t>ies</w:t>
      </w:r>
      <w:proofErr w:type="spellEnd"/>
      <w:r w:rsidR="007E58A6" w:rsidRPr="00807DAF">
        <w:t>)</w:t>
      </w:r>
      <w:r w:rsidR="007E58A6" w:rsidRPr="00807DAF" w:rsidDel="007E58A6">
        <w:t xml:space="preserve"> </w:t>
      </w:r>
      <w:r w:rsidR="00C124E7" w:rsidRPr="00807DAF">
        <w:t xml:space="preserve">are </w:t>
      </w:r>
      <w:r w:rsidR="0007408E" w:rsidRPr="00807DAF">
        <w:t>not in any of the</w:t>
      </w:r>
      <w:r w:rsidR="006A4E72" w:rsidRPr="00807DAF">
        <w:t>se</w:t>
      </w:r>
      <w:r w:rsidR="0007408E" w:rsidRPr="00807DAF">
        <w:t xml:space="preserve"> </w:t>
      </w:r>
      <w:r w:rsidR="006A0AD3" w:rsidRPr="00807DAF">
        <w:t>situations.</w:t>
      </w:r>
    </w:p>
    <w:p w14:paraId="627613E2" w14:textId="47FCD176" w:rsidR="006A36F9" w:rsidRPr="00807DAF" w:rsidRDefault="006A36F9" w:rsidP="004741A1">
      <w:pPr>
        <w:ind w:left="426"/>
      </w:pPr>
      <w:r w:rsidRPr="00807DAF">
        <w:t xml:space="preserve">The </w:t>
      </w:r>
      <w:r w:rsidR="00BD53D5">
        <w:t>lead a</w:t>
      </w:r>
      <w:r w:rsidRPr="00807DAF">
        <w:t xml:space="preserve">pplicant </w:t>
      </w:r>
      <w:r w:rsidR="005911D3">
        <w:t>must</w:t>
      </w:r>
      <w:r w:rsidR="005911D3" w:rsidRPr="005911D3">
        <w:t xml:space="preserve"> act with co-applicant(s) as specified hereafter</w:t>
      </w:r>
    </w:p>
    <w:p w14:paraId="66E5B68B" w14:textId="77777777" w:rsidR="00296A25" w:rsidRPr="00807DAF" w:rsidRDefault="00D80885" w:rsidP="004741A1">
      <w:pPr>
        <w:ind w:left="426"/>
      </w:pPr>
      <w:r w:rsidRPr="00807DAF">
        <w:t xml:space="preserve">If awarded the </w:t>
      </w:r>
      <w:r w:rsidR="00176B31">
        <w:t>g</w:t>
      </w:r>
      <w:r w:rsidRPr="00807DAF">
        <w:t xml:space="preserve">rant contract, the </w:t>
      </w:r>
      <w:r w:rsidR="00BD53D5">
        <w:t>lead a</w:t>
      </w:r>
      <w:r w:rsidRPr="00807DAF">
        <w:t>pplicant will become the</w:t>
      </w:r>
      <w:r w:rsidR="00C25630">
        <w:t xml:space="preserve"> </w:t>
      </w:r>
      <w:r w:rsidR="00176B31">
        <w:t>b</w:t>
      </w:r>
      <w:r w:rsidRPr="00807DAF">
        <w:t xml:space="preserve">eneficiary identified as the </w:t>
      </w:r>
      <w:r w:rsidR="00D11783">
        <w:t>c</w:t>
      </w:r>
      <w:r w:rsidRPr="00807DAF">
        <w:t xml:space="preserve">oordinator in </w:t>
      </w:r>
      <w:r w:rsidR="002A66CB">
        <w:t>A</w:t>
      </w:r>
      <w:r w:rsidRPr="00807DAF">
        <w:t xml:space="preserve">nnex </w:t>
      </w:r>
      <w:r w:rsidR="00826F51">
        <w:t>G</w:t>
      </w:r>
      <w:r w:rsidR="00E73231" w:rsidRPr="00807DAF">
        <w:t xml:space="preserve"> </w:t>
      </w:r>
      <w:r w:rsidRPr="00807DAF">
        <w:t>(</w:t>
      </w:r>
      <w:r w:rsidR="00D11783">
        <w:t>s</w:t>
      </w:r>
      <w:r w:rsidRPr="00807DAF">
        <w:t xml:space="preserve">pecial </w:t>
      </w:r>
      <w:r w:rsidR="00D11783">
        <w:t>c</w:t>
      </w:r>
      <w:r w:rsidRPr="00807DAF">
        <w:t xml:space="preserve">onditions). The </w:t>
      </w:r>
      <w:r w:rsidR="00D11783">
        <w:t>c</w:t>
      </w:r>
      <w:r w:rsidRPr="00807DAF">
        <w:t xml:space="preserve">oordinator is the </w:t>
      </w:r>
      <w:r w:rsidR="00114EE7">
        <w:t>sole</w:t>
      </w:r>
      <w:r w:rsidR="00F51BDC">
        <w:t xml:space="preserve"> </w:t>
      </w:r>
      <w:r w:rsidRPr="00807DAF">
        <w:t xml:space="preserve">interlocutor of the </w:t>
      </w:r>
      <w:r w:rsidR="00D11783">
        <w:t>c</w:t>
      </w:r>
      <w:r w:rsidRPr="00807DAF">
        <w:t xml:space="preserve">ontracting </w:t>
      </w:r>
      <w:r w:rsidR="00D11783">
        <w:t>a</w:t>
      </w:r>
      <w:r w:rsidRPr="00807DAF">
        <w:t xml:space="preserve">uthority. It represents and acts on behalf of any other co-beneficiary (if any) and coordinate the design and implementation of the </w:t>
      </w:r>
      <w:r w:rsidR="00176B31">
        <w:t>a</w:t>
      </w:r>
      <w:r w:rsidRPr="00807DAF">
        <w:t>ction.</w:t>
      </w:r>
    </w:p>
    <w:p w14:paraId="1598D7F4" w14:textId="4F5DD6AE" w:rsidR="006A36F9" w:rsidRDefault="006A36F9" w:rsidP="004741A1">
      <w:pPr>
        <w:ind w:left="426"/>
        <w:rPr>
          <w:b/>
        </w:rPr>
      </w:pPr>
      <w:r w:rsidRPr="00BA6979">
        <w:rPr>
          <w:b/>
        </w:rPr>
        <w:t>Co-applicant(s)</w:t>
      </w:r>
    </w:p>
    <w:p w14:paraId="17A32735" w14:textId="58B4E6EA" w:rsidR="00D12262" w:rsidRDefault="00D12262" w:rsidP="00D12262">
      <w:pPr>
        <w:ind w:left="426"/>
      </w:pPr>
      <w:r>
        <w:t>The lead applicant must act with at least 1 co-applicant.</w:t>
      </w:r>
    </w:p>
    <w:p w14:paraId="23A15CDF" w14:textId="77777777" w:rsidR="00D54450" w:rsidRPr="00C55820" w:rsidRDefault="00F42DD2" w:rsidP="004741A1">
      <w:pPr>
        <w:ind w:left="426"/>
      </w:pPr>
      <w:r w:rsidRPr="00593829">
        <w:t xml:space="preserve">Co-applicants participate in designing and implementing the action, and the costs they incur are eligible in the same way as those incurred by the </w:t>
      </w:r>
      <w:r w:rsidR="00BD53D5">
        <w:t>lead a</w:t>
      </w:r>
      <w:r w:rsidRPr="00593829">
        <w:t xml:space="preserve">pplicant. </w:t>
      </w:r>
    </w:p>
    <w:p w14:paraId="00749774" w14:textId="77777777" w:rsidR="00D54450" w:rsidRPr="00807DAF" w:rsidRDefault="006A36F9" w:rsidP="004741A1">
      <w:pPr>
        <w:ind w:left="426"/>
      </w:pPr>
      <w:r w:rsidRPr="008C30AD">
        <w:t xml:space="preserve">Co-applicants must satisfy the eligibility criteria as applicable </w:t>
      </w:r>
      <w:r w:rsidR="008A6F06" w:rsidRPr="00424E58">
        <w:t>to</w:t>
      </w:r>
      <w:r w:rsidRPr="00424E58">
        <w:t xml:space="preserve"> the </w:t>
      </w:r>
      <w:r w:rsidR="00BD53D5">
        <w:t>lead a</w:t>
      </w:r>
      <w:r w:rsidRPr="00424E58">
        <w:t>pplicant himself.</w:t>
      </w:r>
    </w:p>
    <w:p w14:paraId="13E2F8B6" w14:textId="77777777" w:rsidR="00D80885" w:rsidRDefault="00D80885" w:rsidP="004741A1">
      <w:pPr>
        <w:ind w:left="426"/>
      </w:pPr>
      <w:r w:rsidRPr="00593829">
        <w:t xml:space="preserve">Co-applicants must sign the </w:t>
      </w:r>
      <w:r w:rsidR="00176B31">
        <w:t>m</w:t>
      </w:r>
      <w:r w:rsidRPr="00593829">
        <w:t xml:space="preserve">andate in </w:t>
      </w:r>
      <w:r w:rsidR="00964FB0">
        <w:t>Annex A</w:t>
      </w:r>
      <w:r w:rsidR="00F43773">
        <w:t>.</w:t>
      </w:r>
      <w:r w:rsidR="00964FB0">
        <w:t>2</w:t>
      </w:r>
      <w:r w:rsidRPr="00593829">
        <w:t xml:space="preserve"> </w:t>
      </w:r>
      <w:r w:rsidR="00B01659">
        <w:t>S</w:t>
      </w:r>
      <w:r w:rsidRPr="00593829">
        <w:t xml:space="preserve">ection </w:t>
      </w:r>
      <w:r w:rsidR="00964FB0">
        <w:t>5</w:t>
      </w:r>
      <w:r w:rsidRPr="00593829">
        <w:t>.</w:t>
      </w:r>
    </w:p>
    <w:p w14:paraId="056C211C" w14:textId="77777777" w:rsidR="00336E5C" w:rsidRPr="00BA6979" w:rsidRDefault="00336E5C" w:rsidP="00336E5C">
      <w:pPr>
        <w:ind w:left="426"/>
      </w:pPr>
      <w:r w:rsidRPr="00BA6979">
        <w:t xml:space="preserve">If awarded the grant contract, the co-applicant(s) (if any) will become </w:t>
      </w:r>
      <w:proofErr w:type="gramStart"/>
      <w:r w:rsidRPr="00BA6979">
        <w:t>beneficiary(</w:t>
      </w:r>
      <w:proofErr w:type="spellStart"/>
      <w:proofErr w:type="gramEnd"/>
      <w:r w:rsidRPr="00BA6979">
        <w:t>ies</w:t>
      </w:r>
      <w:proofErr w:type="spellEnd"/>
      <w:r w:rsidRPr="00BA6979">
        <w:t xml:space="preserve">) in the action (together with the coordinator) </w:t>
      </w:r>
    </w:p>
    <w:p w14:paraId="203ED6A0" w14:textId="77777777" w:rsidR="00AD295A" w:rsidRDefault="00930064" w:rsidP="000E75FE">
      <w:pPr>
        <w:numPr>
          <w:ilvl w:val="0"/>
          <w:numId w:val="35"/>
        </w:numPr>
        <w:rPr>
          <w:szCs w:val="22"/>
        </w:rPr>
      </w:pPr>
      <w:r>
        <w:t>In addition, please note that c</w:t>
      </w:r>
      <w:r w:rsidRPr="003201A8">
        <w:t xml:space="preserve">ontracts cannot be awarded to or signed with applicants included in the lists of EU restrictive measures (see Section 2.4. of the </w:t>
      </w:r>
      <w:proofErr w:type="spellStart"/>
      <w:r w:rsidRPr="003201A8">
        <w:t>PRAG</w:t>
      </w:r>
      <w:proofErr w:type="spellEnd"/>
      <w:r w:rsidRPr="003201A8">
        <w:t>)</w:t>
      </w:r>
      <w:r>
        <w:t>.</w:t>
      </w:r>
      <w:r w:rsidDel="003201A8">
        <w:rPr>
          <w:szCs w:val="22"/>
        </w:rPr>
        <w:t xml:space="preserve"> </w:t>
      </w:r>
    </w:p>
    <w:p w14:paraId="25BC70BC" w14:textId="77777777" w:rsidR="00914462" w:rsidRPr="005F7635" w:rsidRDefault="00914462" w:rsidP="00BA6979">
      <w:pPr>
        <w:rPr>
          <w:b/>
          <w:i/>
        </w:rPr>
      </w:pPr>
      <w:r w:rsidRPr="00BA6979">
        <w:rPr>
          <w:b/>
        </w:rPr>
        <w:t>Affiliated entities</w:t>
      </w:r>
    </w:p>
    <w:p w14:paraId="493DABC2" w14:textId="77777777" w:rsidR="00A07623" w:rsidRPr="00BA6979" w:rsidRDefault="00A07623" w:rsidP="006B6048">
      <w:r w:rsidRPr="00BA6979">
        <w:t xml:space="preserve">The </w:t>
      </w:r>
      <w:r w:rsidR="00BD53D5" w:rsidRPr="00BA6979">
        <w:t>lead a</w:t>
      </w:r>
      <w:r w:rsidRPr="00BA6979">
        <w:t xml:space="preserve">pplicant and its co-applicant(s) may act with affiliated </w:t>
      </w:r>
      <w:proofErr w:type="gramStart"/>
      <w:r w:rsidRPr="00BA6979">
        <w:t>entity(</w:t>
      </w:r>
      <w:proofErr w:type="spellStart"/>
      <w:proofErr w:type="gramEnd"/>
      <w:r w:rsidRPr="00BA6979">
        <w:t>ies</w:t>
      </w:r>
      <w:proofErr w:type="spellEnd"/>
      <w:r w:rsidRPr="00BA6979">
        <w:t>)</w:t>
      </w:r>
      <w:r w:rsidR="00176B31" w:rsidRPr="00BA6979">
        <w:t>.</w:t>
      </w:r>
    </w:p>
    <w:p w14:paraId="5DF3104C" w14:textId="77777777" w:rsidR="00914462" w:rsidRPr="00593829" w:rsidRDefault="003477DE" w:rsidP="006B6048">
      <w:r w:rsidRPr="00593829">
        <w:rPr>
          <w:b/>
        </w:rPr>
        <w:t xml:space="preserve">Only the </w:t>
      </w:r>
      <w:r w:rsidR="00914462" w:rsidRPr="00593829">
        <w:rPr>
          <w:b/>
        </w:rPr>
        <w:t xml:space="preserve">following entities may be considered as affiliated entities to the </w:t>
      </w:r>
      <w:r w:rsidR="00BD53D5">
        <w:rPr>
          <w:b/>
        </w:rPr>
        <w:t>lead a</w:t>
      </w:r>
      <w:r w:rsidR="00914462" w:rsidRPr="00593829">
        <w:rPr>
          <w:b/>
        </w:rPr>
        <w:t xml:space="preserve">pplicant </w:t>
      </w:r>
      <w:r w:rsidR="00E86372" w:rsidRPr="00593829">
        <w:rPr>
          <w:b/>
        </w:rPr>
        <w:t>and/</w:t>
      </w:r>
      <w:r w:rsidR="00914462" w:rsidRPr="00593829">
        <w:rPr>
          <w:b/>
        </w:rPr>
        <w:t>or to co-applicant(s):</w:t>
      </w:r>
    </w:p>
    <w:p w14:paraId="50C51B76" w14:textId="77777777" w:rsidR="005E7A18" w:rsidRPr="00593829" w:rsidRDefault="005E7A18" w:rsidP="005E7A18">
      <w:pPr>
        <w:keepNext/>
        <w:spacing w:after="120" w:line="276" w:lineRule="auto"/>
      </w:pPr>
      <w:r w:rsidRPr="00593829">
        <w:t>Only entities having a structural link with the applicants</w:t>
      </w:r>
      <w:r w:rsidR="000043F8">
        <w:t xml:space="preserve"> (</w:t>
      </w:r>
      <w:r w:rsidR="00F72E51">
        <w:t xml:space="preserve">i.e. </w:t>
      </w:r>
      <w:r w:rsidR="000043F8">
        <w:t xml:space="preserve">the </w:t>
      </w:r>
      <w:r w:rsidR="00BD53D5">
        <w:t>lead a</w:t>
      </w:r>
      <w:r w:rsidR="000043F8">
        <w:t>pplicant or a co-applicant)</w:t>
      </w:r>
      <w:r w:rsidRPr="00593829">
        <w:t>, in particular a legal or capital link.</w:t>
      </w:r>
    </w:p>
    <w:p w14:paraId="34BB4E44" w14:textId="77777777" w:rsidR="005E7A18" w:rsidRPr="00593829" w:rsidRDefault="005E7A18" w:rsidP="005E7A18">
      <w:pPr>
        <w:spacing w:line="276" w:lineRule="auto"/>
      </w:pPr>
      <w:r w:rsidRPr="00593829">
        <w:t>This structural link encompasses mainly two notions:</w:t>
      </w:r>
    </w:p>
    <w:p w14:paraId="10B65CB9" w14:textId="77777777" w:rsidR="005E7A18" w:rsidRPr="00593829" w:rsidRDefault="005E7A18" w:rsidP="005E7A18">
      <w:pPr>
        <w:spacing w:line="276" w:lineRule="auto"/>
        <w:ind w:left="720" w:hanging="567"/>
      </w:pPr>
      <w:r w:rsidRPr="00593829">
        <w:t xml:space="preserve">(i) </w:t>
      </w:r>
      <w:r w:rsidRPr="00593829">
        <w:tab/>
        <w:t>Control, as defined in Directive 2013/34/EU on the annual financial statements, consolidated financial statements and related reports of certain types of undertakings:</w:t>
      </w:r>
    </w:p>
    <w:p w14:paraId="3F0FECC4" w14:textId="77777777" w:rsidR="005E7A18" w:rsidRPr="00593829" w:rsidRDefault="005E7A18" w:rsidP="00951BF6">
      <w:pPr>
        <w:spacing w:after="120" w:line="276" w:lineRule="auto"/>
        <w:ind w:left="709"/>
      </w:pPr>
      <w:r w:rsidRPr="00593829">
        <w:t xml:space="preserve">Entities affiliated to </w:t>
      </w:r>
      <w:r w:rsidR="000043F8">
        <w:t xml:space="preserve">an applicant </w:t>
      </w:r>
      <w:r w:rsidRPr="00593829">
        <w:t>may hence be:</w:t>
      </w:r>
    </w:p>
    <w:p w14:paraId="60FAE096" w14:textId="77777777" w:rsidR="005E7A18" w:rsidRPr="00593829" w:rsidRDefault="005E7A18" w:rsidP="000E75FE">
      <w:pPr>
        <w:numPr>
          <w:ilvl w:val="0"/>
          <w:numId w:val="29"/>
        </w:numPr>
        <w:spacing w:after="0" w:line="276" w:lineRule="auto"/>
        <w:ind w:left="1276" w:hanging="283"/>
      </w:pPr>
      <w:r w:rsidRPr="00593829">
        <w:t xml:space="preserve">Entities directly or indirectly controlled by </w:t>
      </w:r>
      <w:r w:rsidR="00AF62CA">
        <w:t>the</w:t>
      </w:r>
      <w:r w:rsidR="000043F8">
        <w:t xml:space="preserve"> applicant </w:t>
      </w:r>
      <w:r w:rsidRPr="00593829">
        <w:t xml:space="preserve">(daughter companies or first-tier subsidiaries). They may also be entities controlled by an entity controlled by </w:t>
      </w:r>
      <w:r w:rsidR="00AF62CA">
        <w:t>the</w:t>
      </w:r>
      <w:r w:rsidR="000043F8">
        <w:t xml:space="preserve"> applicant </w:t>
      </w:r>
      <w:r w:rsidRPr="00593829">
        <w:t>(granddaughter companies or second-tier subsidiaries) and the same applies to further tiers of control;</w:t>
      </w:r>
    </w:p>
    <w:p w14:paraId="1386BBFA" w14:textId="77777777" w:rsidR="005E7A18" w:rsidRPr="00593829" w:rsidRDefault="005E7A18" w:rsidP="000E75FE">
      <w:pPr>
        <w:numPr>
          <w:ilvl w:val="0"/>
          <w:numId w:val="29"/>
        </w:numPr>
        <w:spacing w:after="0" w:line="276" w:lineRule="auto"/>
        <w:ind w:left="1276" w:hanging="283"/>
      </w:pPr>
      <w:r w:rsidRPr="00593829">
        <w:t xml:space="preserve">Entities directly or indirectly controlling the </w:t>
      </w:r>
      <w:r w:rsidR="00156DE6">
        <w:t>applicant</w:t>
      </w:r>
      <w:r w:rsidR="00156DE6" w:rsidRPr="00593829">
        <w:t xml:space="preserve"> </w:t>
      </w:r>
      <w:r w:rsidRPr="00593829">
        <w:t xml:space="preserve">(parent companies). Likewise, they may be entities controlling an entity controlling the </w:t>
      </w:r>
      <w:r w:rsidR="000043F8">
        <w:t>applicant</w:t>
      </w:r>
      <w:r w:rsidRPr="00593829">
        <w:t>;</w:t>
      </w:r>
    </w:p>
    <w:p w14:paraId="32E6255C" w14:textId="77777777" w:rsidR="005E7A18" w:rsidRPr="00593829" w:rsidRDefault="005E7A18" w:rsidP="000E75FE">
      <w:pPr>
        <w:numPr>
          <w:ilvl w:val="0"/>
          <w:numId w:val="29"/>
        </w:numPr>
        <w:spacing w:after="0" w:line="276" w:lineRule="auto"/>
        <w:ind w:left="1276" w:hanging="283"/>
      </w:pPr>
      <w:r w:rsidRPr="00593829">
        <w:t xml:space="preserve">Entities under the same direct or indirect control as the </w:t>
      </w:r>
      <w:r w:rsidR="000043F8">
        <w:t xml:space="preserve">applicant </w:t>
      </w:r>
      <w:r w:rsidRPr="00593829">
        <w:t>(sister companies).</w:t>
      </w:r>
    </w:p>
    <w:p w14:paraId="42341576" w14:textId="77777777" w:rsidR="005E7A18" w:rsidRPr="00593829" w:rsidRDefault="005E7A18" w:rsidP="005E7A18">
      <w:pPr>
        <w:spacing w:after="0" w:line="276" w:lineRule="auto"/>
        <w:ind w:left="720" w:hanging="578"/>
      </w:pPr>
      <w:r w:rsidRPr="00593829">
        <w:t xml:space="preserve">(ii) </w:t>
      </w:r>
      <w:r w:rsidRPr="00593829">
        <w:tab/>
        <w:t xml:space="preserve">Membership, i.e. the </w:t>
      </w:r>
      <w:r w:rsidR="000043F8">
        <w:t xml:space="preserve">applicant </w:t>
      </w:r>
      <w:r w:rsidRPr="00593829">
        <w:t xml:space="preserve">is legally defined as a e.g. network, federation, association in which the proposed affiliated entities also participate or the </w:t>
      </w:r>
      <w:r w:rsidR="000043F8">
        <w:t xml:space="preserve">applicant </w:t>
      </w:r>
      <w:r w:rsidRPr="00593829">
        <w:t>participates in the same entity (e.g. network, federation, association</w:t>
      </w:r>
      <w:r w:rsidR="00EF5564">
        <w:t>,…</w:t>
      </w:r>
      <w:r w:rsidRPr="00593829">
        <w:t>) as the proposed affiliated entities.</w:t>
      </w:r>
    </w:p>
    <w:p w14:paraId="63281DF1" w14:textId="77777777" w:rsidR="005E7A18" w:rsidRPr="00593829" w:rsidRDefault="005E7A18" w:rsidP="005E7A18">
      <w:pPr>
        <w:spacing w:after="0" w:line="276" w:lineRule="auto"/>
      </w:pPr>
    </w:p>
    <w:p w14:paraId="15118ABC" w14:textId="77777777" w:rsidR="005E7A18" w:rsidRPr="00593829" w:rsidRDefault="005E7A18" w:rsidP="005E7A18">
      <w:pPr>
        <w:spacing w:after="0" w:line="276" w:lineRule="auto"/>
      </w:pPr>
      <w:r w:rsidRPr="00593829">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5D03FC27" w14:textId="77777777" w:rsidR="005E7A18" w:rsidRPr="00593829" w:rsidRDefault="005E7A18" w:rsidP="005E7A18">
      <w:pPr>
        <w:spacing w:after="0" w:line="276" w:lineRule="auto"/>
        <w:ind w:left="720"/>
      </w:pPr>
    </w:p>
    <w:p w14:paraId="7CED444C" w14:textId="77777777" w:rsidR="005E7A18" w:rsidRPr="00593829" w:rsidRDefault="005E7A18" w:rsidP="005E7A18">
      <w:pPr>
        <w:spacing w:line="276" w:lineRule="auto"/>
      </w:pPr>
      <w:r w:rsidRPr="00593829">
        <w:t xml:space="preserve">By way of exception, an entity may be considered as affiliated to </w:t>
      </w:r>
      <w:r w:rsidR="000043F8">
        <w:t xml:space="preserve">an applicant </w:t>
      </w:r>
      <w:r w:rsidRPr="00593829">
        <w:t xml:space="preserve">even if it has a structural link specifically established for the sole purpose of the implementation of the action in the case of so-called </w:t>
      </w:r>
      <w:r w:rsidR="00D11783">
        <w:t>‘</w:t>
      </w:r>
      <w:r w:rsidRPr="00593829">
        <w:t>sole applicants</w:t>
      </w:r>
      <w:r w:rsidR="00D11783">
        <w:t>’</w:t>
      </w:r>
      <w:r w:rsidRPr="00593829">
        <w:t xml:space="preserve"> or </w:t>
      </w:r>
      <w:r w:rsidR="00D11783">
        <w:t>‘</w:t>
      </w:r>
      <w:r w:rsidRPr="00593829">
        <w:t>sole beneficiaries</w:t>
      </w:r>
      <w:r w:rsidR="00D11783">
        <w:t>’</w:t>
      </w:r>
      <w:r w:rsidRPr="00593829">
        <w:t>.  A sole applicant or a sole beneficiary is a</w:t>
      </w:r>
      <w:r w:rsidR="002A66CB">
        <w:t xml:space="preserve"> legal</w:t>
      </w:r>
      <w:r w:rsidRPr="00593829">
        <w:t xml:space="preserve"> entity formed by several entities (a group of entities) which together comply with the criteria for being awarded the grant</w:t>
      </w:r>
      <w:r w:rsidR="00FF5991" w:rsidRPr="00593829">
        <w:t>. For example, an association is formed by its members.</w:t>
      </w:r>
    </w:p>
    <w:p w14:paraId="35621989" w14:textId="77777777" w:rsidR="005E7A18" w:rsidRPr="00593829" w:rsidRDefault="005E7A18" w:rsidP="000E75FE">
      <w:pPr>
        <w:pStyle w:val="Heading5"/>
        <w:numPr>
          <w:ilvl w:val="1"/>
          <w:numId w:val="8"/>
        </w:numPr>
        <w:tabs>
          <w:tab w:val="num" w:pos="0"/>
        </w:tabs>
        <w:spacing w:line="276" w:lineRule="auto"/>
        <w:ind w:left="0" w:firstLine="0"/>
        <w:rPr>
          <w:rFonts w:ascii="Times New Roman" w:hAnsi="Times New Roman"/>
          <w:szCs w:val="22"/>
          <w:u w:val="single"/>
        </w:rPr>
      </w:pPr>
      <w:r w:rsidRPr="00593829">
        <w:rPr>
          <w:rFonts w:ascii="Times New Roman" w:hAnsi="Times New Roman"/>
          <w:szCs w:val="22"/>
          <w:u w:val="single"/>
        </w:rPr>
        <w:t xml:space="preserve">What is not an affiliated entity? </w:t>
      </w:r>
    </w:p>
    <w:p w14:paraId="0F7A756A" w14:textId="77777777" w:rsidR="005E7A18" w:rsidRPr="00593829" w:rsidRDefault="005E7A18" w:rsidP="005E7A18">
      <w:pPr>
        <w:spacing w:after="0"/>
      </w:pPr>
    </w:p>
    <w:p w14:paraId="67F71269" w14:textId="77777777" w:rsidR="005E7A18" w:rsidRPr="00593829" w:rsidRDefault="005E7A18" w:rsidP="005E7A18">
      <w:pPr>
        <w:spacing w:after="0"/>
      </w:pPr>
      <w:r w:rsidRPr="00593829">
        <w:t xml:space="preserve">The following are not </w:t>
      </w:r>
      <w:r w:rsidR="006765B7" w:rsidRPr="00593829">
        <w:t xml:space="preserve">considered </w:t>
      </w:r>
      <w:r w:rsidRPr="00593829">
        <w:t>entities affiliated to a</w:t>
      </w:r>
      <w:r w:rsidR="000043F8">
        <w:t>n applicant</w:t>
      </w:r>
      <w:r w:rsidRPr="00593829">
        <w:t>:</w:t>
      </w:r>
    </w:p>
    <w:p w14:paraId="0C8A3B1C" w14:textId="77777777" w:rsidR="005E7A18" w:rsidRPr="00593829" w:rsidRDefault="005E7A18" w:rsidP="005E7A18">
      <w:pPr>
        <w:spacing w:after="0" w:line="276" w:lineRule="auto"/>
        <w:rPr>
          <w:szCs w:val="22"/>
        </w:rPr>
      </w:pPr>
    </w:p>
    <w:p w14:paraId="2E0A6967" w14:textId="77777777" w:rsidR="005E7A18" w:rsidRPr="00593829" w:rsidRDefault="005E7A18" w:rsidP="000E75FE">
      <w:pPr>
        <w:numPr>
          <w:ilvl w:val="0"/>
          <w:numId w:val="30"/>
        </w:numPr>
        <w:spacing w:after="0" w:line="276" w:lineRule="auto"/>
      </w:pPr>
      <w:r w:rsidRPr="00593829">
        <w:t xml:space="preserve">Entities that have entered into a (procurement) contract or subcontract with </w:t>
      </w:r>
      <w:r w:rsidR="000043F8">
        <w:t>an applicant</w:t>
      </w:r>
      <w:r w:rsidRPr="00593829">
        <w:t xml:space="preserve">, act as concessionaires or </w:t>
      </w:r>
      <w:proofErr w:type="spellStart"/>
      <w:r w:rsidRPr="00593829">
        <w:t>delegatees</w:t>
      </w:r>
      <w:proofErr w:type="spellEnd"/>
      <w:r w:rsidRPr="00593829">
        <w:t xml:space="preserve"> for public services for a</w:t>
      </w:r>
      <w:r w:rsidR="000043F8">
        <w:t>n applicant</w:t>
      </w:r>
      <w:r w:rsidRPr="00593829">
        <w:t>,</w:t>
      </w:r>
    </w:p>
    <w:p w14:paraId="607A7227" w14:textId="77777777" w:rsidR="005E7A18" w:rsidRPr="00593829" w:rsidRDefault="005E7A18" w:rsidP="000E75FE">
      <w:pPr>
        <w:numPr>
          <w:ilvl w:val="0"/>
          <w:numId w:val="30"/>
        </w:numPr>
        <w:spacing w:after="0" w:line="276" w:lineRule="auto"/>
      </w:pPr>
      <w:r w:rsidRPr="00593829">
        <w:t xml:space="preserve">Entities that receive financial support from the </w:t>
      </w:r>
      <w:r w:rsidR="000043F8">
        <w:t>applicant</w:t>
      </w:r>
      <w:r w:rsidRPr="00593829">
        <w:t>,</w:t>
      </w:r>
    </w:p>
    <w:p w14:paraId="547A24EC" w14:textId="77777777" w:rsidR="005E7A18" w:rsidRPr="00593829" w:rsidRDefault="005E7A18" w:rsidP="000E75FE">
      <w:pPr>
        <w:numPr>
          <w:ilvl w:val="0"/>
          <w:numId w:val="30"/>
        </w:numPr>
        <w:spacing w:after="0" w:line="276" w:lineRule="auto"/>
      </w:pPr>
      <w:r w:rsidRPr="00593829">
        <w:t xml:space="preserve">Entities that cooperate on a regular basis with </w:t>
      </w:r>
      <w:r w:rsidR="00F72E51">
        <w:t>an applicant</w:t>
      </w:r>
      <w:r w:rsidRPr="00593829">
        <w:t xml:space="preserve"> on the basis of a memorandum of understanding or share some assets,</w:t>
      </w:r>
    </w:p>
    <w:p w14:paraId="6CE75B02" w14:textId="77777777" w:rsidR="005E7A18" w:rsidRPr="00593829" w:rsidRDefault="005E7A18" w:rsidP="000E75FE">
      <w:pPr>
        <w:numPr>
          <w:ilvl w:val="0"/>
          <w:numId w:val="30"/>
        </w:numPr>
        <w:spacing w:after="0" w:line="276" w:lineRule="auto"/>
      </w:pPr>
      <w:r w:rsidRPr="00593829">
        <w:t>Entities that have signed a consortium agreement under the grant contract</w:t>
      </w:r>
      <w:r w:rsidR="002A66CB">
        <w:t xml:space="preserve"> (unless this consortium agreement leads to the creation of a </w:t>
      </w:r>
      <w:r w:rsidR="000D7ACD">
        <w:t>‘</w:t>
      </w:r>
      <w:r w:rsidR="002A66CB">
        <w:t>sole applicant</w:t>
      </w:r>
      <w:r w:rsidR="000D7ACD">
        <w:t>’</w:t>
      </w:r>
      <w:r w:rsidR="002A66CB">
        <w:t xml:space="preserve"> as described above)</w:t>
      </w:r>
      <w:r w:rsidRPr="00593829">
        <w:t>.</w:t>
      </w:r>
    </w:p>
    <w:p w14:paraId="029B3D70" w14:textId="77777777" w:rsidR="005E7A18" w:rsidRPr="00593829" w:rsidRDefault="005E7A18" w:rsidP="005E7A18">
      <w:pPr>
        <w:spacing w:after="0" w:line="276" w:lineRule="auto"/>
      </w:pPr>
    </w:p>
    <w:p w14:paraId="18909FC5" w14:textId="77777777" w:rsidR="005E7A18" w:rsidRPr="00593829" w:rsidRDefault="005E7A18" w:rsidP="005E7A18">
      <w:pPr>
        <w:spacing w:after="0" w:line="276" w:lineRule="auto"/>
        <w:rPr>
          <w:u w:val="single"/>
        </w:rPr>
      </w:pPr>
      <w:r w:rsidRPr="00593829">
        <w:rPr>
          <w:u w:val="single"/>
        </w:rPr>
        <w:t xml:space="preserve">How to verify the existence of the required link with </w:t>
      </w:r>
      <w:r w:rsidR="000043F8">
        <w:rPr>
          <w:u w:val="single"/>
        </w:rPr>
        <w:t>an applicant</w:t>
      </w:r>
      <w:r w:rsidRPr="00593829">
        <w:rPr>
          <w:u w:val="single"/>
        </w:rPr>
        <w:t>?</w:t>
      </w:r>
    </w:p>
    <w:p w14:paraId="7F4E173D" w14:textId="77777777" w:rsidR="005E7A18" w:rsidRPr="00593829" w:rsidRDefault="005E7A18" w:rsidP="005E7A18">
      <w:pPr>
        <w:spacing w:after="0"/>
      </w:pPr>
    </w:p>
    <w:p w14:paraId="71DE8BB9" w14:textId="77777777" w:rsidR="005E7A18" w:rsidRPr="00593829" w:rsidRDefault="005E7A18" w:rsidP="005E7A18">
      <w:pPr>
        <w:spacing w:after="0" w:line="276" w:lineRule="auto"/>
        <w:ind w:left="8"/>
      </w:pPr>
      <w:r w:rsidRPr="00593829">
        <w:t xml:space="preserve">The affiliation resulting from control may </w:t>
      </w:r>
      <w:r w:rsidR="00805526" w:rsidRPr="00593829">
        <w:t xml:space="preserve">in particular </w:t>
      </w:r>
      <w:r w:rsidRPr="00593829">
        <w:t xml:space="preserve">be proved on the basis of the consolidated accounts of the group of entities the </w:t>
      </w:r>
      <w:r w:rsidR="000043F8">
        <w:t xml:space="preserve">applicant </w:t>
      </w:r>
      <w:r w:rsidRPr="00593829">
        <w:t>and its proposed affiliates belong to.</w:t>
      </w:r>
    </w:p>
    <w:p w14:paraId="01A32F1F" w14:textId="77777777" w:rsidR="005E7A18" w:rsidRPr="00593829" w:rsidRDefault="005E7A18" w:rsidP="005E7A18">
      <w:pPr>
        <w:spacing w:after="0" w:line="276" w:lineRule="auto"/>
      </w:pPr>
    </w:p>
    <w:p w14:paraId="6C5375ED" w14:textId="77777777" w:rsidR="005E7A18" w:rsidRPr="00593829" w:rsidRDefault="005E7A18" w:rsidP="005E7A18">
      <w:pPr>
        <w:spacing w:after="0" w:line="276" w:lineRule="auto"/>
      </w:pPr>
      <w:r w:rsidRPr="00593829">
        <w:t xml:space="preserve">The affiliation resulting from membership may </w:t>
      </w:r>
      <w:r w:rsidR="00805526" w:rsidRPr="00593829">
        <w:t xml:space="preserve">in particular </w:t>
      </w:r>
      <w:r w:rsidRPr="00593829">
        <w:t xml:space="preserve">be proved on the basis of the statutes or equivalent act establishing the entity (network, federation, association) which the </w:t>
      </w:r>
      <w:r w:rsidR="000043F8">
        <w:t xml:space="preserve">applicant </w:t>
      </w:r>
      <w:r w:rsidRPr="00593829">
        <w:t xml:space="preserve">constitutes or in which the </w:t>
      </w:r>
      <w:r w:rsidR="000043F8">
        <w:t xml:space="preserve">applicant </w:t>
      </w:r>
      <w:r w:rsidRPr="00593829">
        <w:t>participates.</w:t>
      </w:r>
    </w:p>
    <w:p w14:paraId="58DFF1BE" w14:textId="77777777" w:rsidR="00F012FD" w:rsidRPr="00593829" w:rsidRDefault="007261B1" w:rsidP="006B6048">
      <w:r w:rsidRPr="00593829">
        <w:t xml:space="preserve">If the applicants are awarded a </w:t>
      </w:r>
      <w:r w:rsidR="002A66CB">
        <w:t xml:space="preserve">grant </w:t>
      </w:r>
      <w:r w:rsidRPr="00593829">
        <w:t xml:space="preserve">contract, their affiliated </w:t>
      </w:r>
      <w:proofErr w:type="gramStart"/>
      <w:r w:rsidRPr="00593829">
        <w:t>entity(</w:t>
      </w:r>
      <w:proofErr w:type="spellStart"/>
      <w:proofErr w:type="gramEnd"/>
      <w:r w:rsidRPr="00593829">
        <w:t>ies</w:t>
      </w:r>
      <w:proofErr w:type="spellEnd"/>
      <w:r w:rsidRPr="00593829">
        <w:t xml:space="preserve">) will not become </w:t>
      </w:r>
      <w:r w:rsidR="00176B31">
        <w:t>b</w:t>
      </w:r>
      <w:r w:rsidRPr="00593829">
        <w:t>eneficiary(</w:t>
      </w:r>
      <w:proofErr w:type="spellStart"/>
      <w:r w:rsidRPr="00593829">
        <w:t>ies</w:t>
      </w:r>
      <w:proofErr w:type="spellEnd"/>
      <w:r w:rsidRPr="00593829">
        <w:t xml:space="preserve">) of the </w:t>
      </w:r>
      <w:r w:rsidR="00176B31">
        <w:t>a</w:t>
      </w:r>
      <w:r w:rsidRPr="00593829">
        <w:t>ction and signatory(</w:t>
      </w:r>
      <w:proofErr w:type="spellStart"/>
      <w:r w:rsidRPr="00593829">
        <w:t>ies</w:t>
      </w:r>
      <w:proofErr w:type="spellEnd"/>
      <w:r w:rsidRPr="00593829">
        <w:t xml:space="preserve">) of the </w:t>
      </w:r>
      <w:r w:rsidR="00176B31">
        <w:t>g</w:t>
      </w:r>
      <w:r w:rsidR="00A155DA" w:rsidRPr="00593829">
        <w:t xml:space="preserve">rant </w:t>
      </w:r>
      <w:r w:rsidR="00176B31">
        <w:t>c</w:t>
      </w:r>
      <w:r w:rsidRPr="00593829">
        <w:t xml:space="preserve">ontract. However, they will participate in the design and  in the implementation of the </w:t>
      </w:r>
      <w:r w:rsidR="00176B31">
        <w:t>a</w:t>
      </w:r>
      <w:r w:rsidRPr="00593829">
        <w:t xml:space="preserve">ction and the costs they incur (including those incurred for </w:t>
      </w:r>
      <w:r w:rsidR="00176B31">
        <w:t>i</w:t>
      </w:r>
      <w:r w:rsidRPr="00593829">
        <w:t xml:space="preserve">mplementation </w:t>
      </w:r>
      <w:r w:rsidR="00176B31">
        <w:t>c</w:t>
      </w:r>
      <w:r w:rsidRPr="00593829">
        <w:t xml:space="preserve">ontracts and </w:t>
      </w:r>
      <w:r w:rsidR="00176B31">
        <w:t>f</w:t>
      </w:r>
      <w:r w:rsidRPr="00593829">
        <w:t xml:space="preserve">inancial </w:t>
      </w:r>
      <w:r w:rsidR="00176B31">
        <w:t>s</w:t>
      </w:r>
      <w:r w:rsidRPr="00593829">
        <w:t>upport to third parties</w:t>
      </w:r>
      <w:r w:rsidR="00ED7CB2">
        <w:t xml:space="preserve"> and subcontractors</w:t>
      </w:r>
      <w:r w:rsidRPr="00593829">
        <w:t xml:space="preserve">) may be accepted as eligible costs, provided they comply with all the relevant rules already applicable to the </w:t>
      </w:r>
      <w:r w:rsidR="00176B31">
        <w:t>b</w:t>
      </w:r>
      <w:r w:rsidRPr="00593829">
        <w:t>eneficiary(</w:t>
      </w:r>
      <w:proofErr w:type="spellStart"/>
      <w:r w:rsidRPr="00593829">
        <w:t>ies</w:t>
      </w:r>
      <w:proofErr w:type="spellEnd"/>
      <w:r w:rsidRPr="00593829">
        <w:t xml:space="preserve">) under the </w:t>
      </w:r>
      <w:r w:rsidR="00176B31">
        <w:t>g</w:t>
      </w:r>
      <w:r w:rsidRPr="00593829">
        <w:t xml:space="preserve">rant </w:t>
      </w:r>
      <w:r w:rsidR="00176B31">
        <w:t>c</w:t>
      </w:r>
      <w:r w:rsidRPr="00593829">
        <w:t>ontract.</w:t>
      </w:r>
    </w:p>
    <w:p w14:paraId="2249F9F1" w14:textId="77777777" w:rsidR="00A33882" w:rsidRPr="00807DAF" w:rsidRDefault="00914462" w:rsidP="007261B1">
      <w:r w:rsidRPr="00593829">
        <w:t xml:space="preserve">Affiliated </w:t>
      </w:r>
      <w:proofErr w:type="gramStart"/>
      <w:r w:rsidRPr="00593829">
        <w:t>entity(</w:t>
      </w:r>
      <w:proofErr w:type="spellStart"/>
      <w:proofErr w:type="gramEnd"/>
      <w:r w:rsidRPr="00593829">
        <w:t>ies</w:t>
      </w:r>
      <w:proofErr w:type="spellEnd"/>
      <w:r w:rsidRPr="00593829">
        <w:t xml:space="preserve">) must satisfy the </w:t>
      </w:r>
      <w:r w:rsidR="00DD5D23" w:rsidRPr="00593829">
        <w:t xml:space="preserve">same </w:t>
      </w:r>
      <w:r w:rsidRPr="00593829">
        <w:t xml:space="preserve">eligibility criteria as the </w:t>
      </w:r>
      <w:r w:rsidR="00BD53D5">
        <w:t>lead a</w:t>
      </w:r>
      <w:r w:rsidRPr="00593829">
        <w:t xml:space="preserve">pplicant and the co-applicant(s). </w:t>
      </w:r>
      <w:r w:rsidR="00DD5D23" w:rsidRPr="00593829">
        <w:t xml:space="preserve"> T</w:t>
      </w:r>
      <w:r w:rsidR="007261B1" w:rsidRPr="00593829">
        <w:t>hey</w:t>
      </w:r>
      <w:r w:rsidR="00A33882" w:rsidRPr="00593829">
        <w:t xml:space="preserve"> must sign the affiliated </w:t>
      </w:r>
      <w:proofErr w:type="gramStart"/>
      <w:r w:rsidR="00A33882" w:rsidRPr="00593829">
        <w:t>entity(</w:t>
      </w:r>
      <w:proofErr w:type="spellStart"/>
      <w:proofErr w:type="gramEnd"/>
      <w:r w:rsidR="00A33882" w:rsidRPr="00593829">
        <w:t>ies</w:t>
      </w:r>
      <w:proofErr w:type="spellEnd"/>
      <w:r w:rsidR="00A33882" w:rsidRPr="00593829">
        <w:t xml:space="preserve">) statement in </w:t>
      </w:r>
      <w:r w:rsidR="00964FB0">
        <w:t>Annex A</w:t>
      </w:r>
      <w:r w:rsidR="00F43773">
        <w:t>.</w:t>
      </w:r>
      <w:r w:rsidR="00964FB0">
        <w:t>2</w:t>
      </w:r>
      <w:r w:rsidR="00A33882" w:rsidRPr="00593829">
        <w:t xml:space="preserve"> </w:t>
      </w:r>
      <w:r w:rsidR="00B01659">
        <w:t>S</w:t>
      </w:r>
      <w:r w:rsidR="00A33882" w:rsidRPr="00593829">
        <w:t>ection 5.</w:t>
      </w:r>
    </w:p>
    <w:p w14:paraId="0B0645F5" w14:textId="77777777" w:rsidR="00F06309" w:rsidRPr="00807DAF" w:rsidRDefault="00F06309" w:rsidP="000E75FE">
      <w:pPr>
        <w:pStyle w:val="Guidelines3"/>
        <w:numPr>
          <w:ilvl w:val="2"/>
          <w:numId w:val="9"/>
        </w:numPr>
      </w:pPr>
      <w:bookmarkStart w:id="9" w:name="_Toc380145061"/>
      <w:bookmarkStart w:id="10" w:name="_Toc74830950"/>
      <w:bookmarkEnd w:id="9"/>
      <w:r w:rsidRPr="00807DAF">
        <w:t xml:space="preserve">Associates and </w:t>
      </w:r>
      <w:r w:rsidR="000D7ACD">
        <w:t>c</w:t>
      </w:r>
      <w:r w:rsidRPr="00807DAF">
        <w:t>ontractors</w:t>
      </w:r>
      <w:bookmarkEnd w:id="10"/>
    </w:p>
    <w:p w14:paraId="0AB66C59" w14:textId="77777777" w:rsidR="00F06309" w:rsidRPr="00807DAF" w:rsidRDefault="00F06309" w:rsidP="00F06309">
      <w:pPr>
        <w:spacing w:before="240"/>
      </w:pPr>
      <w:r w:rsidRPr="00807DAF">
        <w:t xml:space="preserve">The following entities are not applicants nor affiliated entities and do not have to sign the </w:t>
      </w:r>
      <w:r w:rsidR="000D7ACD">
        <w:t>‘</w:t>
      </w:r>
      <w:r w:rsidR="00176B31">
        <w:t>m</w:t>
      </w:r>
      <w:r w:rsidRPr="00807DAF">
        <w:t>andate</w:t>
      </w:r>
      <w:r w:rsidR="001F6434">
        <w:t xml:space="preserve"> for </w:t>
      </w:r>
      <w:r w:rsidR="00176B31">
        <w:t>c</w:t>
      </w:r>
      <w:r w:rsidR="001F6434">
        <w:t>o-applicant(s)</w:t>
      </w:r>
      <w:r w:rsidR="000D7ACD">
        <w:t>’</w:t>
      </w:r>
      <w:r w:rsidRPr="00807DAF">
        <w:t xml:space="preserve"> or </w:t>
      </w:r>
      <w:r w:rsidR="000D7ACD">
        <w:t>‘</w:t>
      </w:r>
      <w:r w:rsidRPr="00807DAF">
        <w:t>affiliated entities' statement:</w:t>
      </w:r>
    </w:p>
    <w:p w14:paraId="1367497B" w14:textId="77777777" w:rsidR="00F06309" w:rsidRPr="00807DAF" w:rsidRDefault="00F06309" w:rsidP="000E75FE">
      <w:pPr>
        <w:numPr>
          <w:ilvl w:val="0"/>
          <w:numId w:val="14"/>
        </w:numPr>
      </w:pPr>
      <w:r w:rsidRPr="00807DAF">
        <w:t>Associates</w:t>
      </w:r>
    </w:p>
    <w:p w14:paraId="7C7AC188" w14:textId="77777777" w:rsidR="00F06309" w:rsidRPr="00807DAF" w:rsidRDefault="00F06309" w:rsidP="00F06309">
      <w:r w:rsidRPr="00807DAF">
        <w:t xml:space="preserve">Other organisations </w:t>
      </w:r>
      <w:r w:rsidR="00E61D38">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t>S</w:t>
      </w:r>
      <w:r w:rsidRPr="00807DAF">
        <w:t xml:space="preserve">ection 2.1.1. Associates must be mentioned in </w:t>
      </w:r>
      <w:r w:rsidR="00964FB0">
        <w:t>Annex A</w:t>
      </w:r>
      <w:r w:rsidR="00F43773">
        <w:t>.</w:t>
      </w:r>
      <w:r w:rsidR="00964FB0">
        <w:t>2</w:t>
      </w:r>
      <w:r w:rsidRPr="00807DAF">
        <w:t xml:space="preserve"> </w:t>
      </w:r>
      <w:r w:rsidR="00B01659">
        <w:t>S</w:t>
      </w:r>
      <w:r w:rsidRPr="00807DAF">
        <w:t xml:space="preserve">ection </w:t>
      </w:r>
      <w:r w:rsidR="00964FB0">
        <w:t>4</w:t>
      </w:r>
      <w:r w:rsidRPr="00807DAF">
        <w:t xml:space="preserve"> — ‘Associates participating in the </w:t>
      </w:r>
      <w:r w:rsidR="00176B31">
        <w:t>a</w:t>
      </w:r>
      <w:r w:rsidRPr="00807DAF">
        <w:t xml:space="preserve">ction’. </w:t>
      </w:r>
    </w:p>
    <w:p w14:paraId="0C5F740C" w14:textId="77777777" w:rsidR="00103811" w:rsidRPr="00807DAF" w:rsidRDefault="00103811" w:rsidP="000E75FE">
      <w:pPr>
        <w:numPr>
          <w:ilvl w:val="0"/>
          <w:numId w:val="14"/>
        </w:numPr>
      </w:pPr>
      <w:r w:rsidRPr="00807DAF">
        <w:t>Contractors</w:t>
      </w:r>
    </w:p>
    <w:p w14:paraId="44F3AABB" w14:textId="77777777" w:rsidR="00F06309" w:rsidRPr="00807DAF" w:rsidRDefault="00F06309" w:rsidP="00F06309">
      <w:r w:rsidRPr="00807DAF">
        <w:t xml:space="preserve">The beneficiaries and their affiliated entities are permitted to award contracts. Associates or affiliated </w:t>
      </w:r>
      <w:proofErr w:type="gramStart"/>
      <w:r w:rsidRPr="00807DAF">
        <w:t>entity(</w:t>
      </w:r>
      <w:proofErr w:type="spellStart"/>
      <w:proofErr w:type="gramEnd"/>
      <w:r w:rsidRPr="00807DAF">
        <w:t>ies</w:t>
      </w:r>
      <w:proofErr w:type="spellEnd"/>
      <w:r w:rsidRPr="00807DAF">
        <w:t>) cannot be also contractors in the project. Contractors are subject to the procurement rules set out in Annex IV to the standard grant contract.</w:t>
      </w:r>
    </w:p>
    <w:p w14:paraId="52E98E84" w14:textId="77777777" w:rsidR="0007408E" w:rsidRPr="00807DAF" w:rsidRDefault="0007408E" w:rsidP="000E75FE">
      <w:pPr>
        <w:pStyle w:val="Guidelines3"/>
        <w:numPr>
          <w:ilvl w:val="2"/>
          <w:numId w:val="9"/>
        </w:numPr>
      </w:pPr>
      <w:bookmarkStart w:id="11" w:name="_Toc380145063"/>
      <w:bookmarkStart w:id="12" w:name="_Toc380145064"/>
      <w:bookmarkStart w:id="13" w:name="_Toc74830951"/>
      <w:bookmarkEnd w:id="11"/>
      <w:bookmarkEnd w:id="12"/>
      <w:r w:rsidRPr="00807DAF">
        <w:t>Eligible actions: actions for which an application may be made</w:t>
      </w:r>
      <w:bookmarkEnd w:id="13"/>
    </w:p>
    <w:p w14:paraId="650D3BD6" w14:textId="77777777" w:rsidR="009B41E2" w:rsidRPr="00807DAF" w:rsidRDefault="002265E1" w:rsidP="006B6048">
      <w:pPr>
        <w:spacing w:before="240"/>
      </w:pPr>
      <w:r w:rsidRPr="00807DAF">
        <w:t xml:space="preserve">Definition: </w:t>
      </w:r>
    </w:p>
    <w:p w14:paraId="47BD716F" w14:textId="77777777"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14:paraId="49B5905B" w14:textId="77777777" w:rsidR="0007408E" w:rsidRPr="00807DAF" w:rsidRDefault="0007408E" w:rsidP="006B6048">
      <w:pPr>
        <w:rPr>
          <w:u w:val="single"/>
        </w:rPr>
      </w:pPr>
      <w:r w:rsidRPr="00807DAF">
        <w:rPr>
          <w:u w:val="single"/>
        </w:rPr>
        <w:t>Duration</w:t>
      </w:r>
    </w:p>
    <w:p w14:paraId="556FD583" w14:textId="485CDF3C" w:rsidR="00005DB1" w:rsidRPr="00807DAF" w:rsidRDefault="0007408E" w:rsidP="00005DB1">
      <w:r w:rsidRPr="00807DAF">
        <w:t xml:space="preserve">The </w:t>
      </w:r>
      <w:r w:rsidR="002265E1" w:rsidRPr="00807DAF">
        <w:t xml:space="preserve">initial </w:t>
      </w:r>
      <w:r w:rsidR="00C17825" w:rsidRPr="00807DAF">
        <w:t xml:space="preserve">planned </w:t>
      </w:r>
      <w:r w:rsidRPr="00807DAF">
        <w:t xml:space="preserve">duration of an action may not </w:t>
      </w:r>
      <w:r w:rsidR="00005DB1" w:rsidRPr="00807DAF">
        <w:t xml:space="preserve">be lower than </w:t>
      </w:r>
      <w:r w:rsidR="0014170B" w:rsidRPr="00262AD9">
        <w:rPr>
          <w:b/>
        </w:rPr>
        <w:t xml:space="preserve">18 </w:t>
      </w:r>
      <w:r w:rsidR="00005DB1" w:rsidRPr="00534DC6">
        <w:rPr>
          <w:b/>
        </w:rPr>
        <w:t>months</w:t>
      </w:r>
      <w:r w:rsidR="00005DB1" w:rsidRPr="00807DAF">
        <w:t xml:space="preserve"> nor exceed </w:t>
      </w:r>
      <w:r w:rsidR="00005DB1" w:rsidRPr="00534DC6">
        <w:rPr>
          <w:b/>
        </w:rPr>
        <w:t>36 months</w:t>
      </w:r>
      <w:r w:rsidR="00005DB1" w:rsidRPr="00817D73">
        <w:t>.</w:t>
      </w:r>
    </w:p>
    <w:p w14:paraId="3E5EF65B" w14:textId="77777777" w:rsidR="0007408E" w:rsidRPr="00807DAF" w:rsidRDefault="0007408E" w:rsidP="006B6048">
      <w:r w:rsidRPr="00807DAF">
        <w:t>Sectors or themes</w:t>
      </w:r>
    </w:p>
    <w:p w14:paraId="5C1DCCE2" w14:textId="77777777" w:rsidR="00005DB1" w:rsidRPr="00110E0C" w:rsidRDefault="00005DB1" w:rsidP="00005DB1">
      <w:pPr>
        <w:rPr>
          <w:szCs w:val="22"/>
        </w:rPr>
      </w:pPr>
      <w:r w:rsidRPr="00110E0C">
        <w:rPr>
          <w:szCs w:val="22"/>
        </w:rPr>
        <w:t xml:space="preserve">Please see section 1.2. </w:t>
      </w:r>
    </w:p>
    <w:p w14:paraId="7E49F368" w14:textId="77777777" w:rsidR="0007408E" w:rsidRPr="00807DAF" w:rsidRDefault="0007408E" w:rsidP="006B6048">
      <w:pPr>
        <w:rPr>
          <w:u w:val="single"/>
        </w:rPr>
      </w:pPr>
      <w:r w:rsidRPr="00807DAF">
        <w:rPr>
          <w:u w:val="single"/>
        </w:rPr>
        <w:t>Location</w:t>
      </w:r>
    </w:p>
    <w:p w14:paraId="760BDFE7" w14:textId="77777777" w:rsidR="0007408E" w:rsidRPr="00807DAF" w:rsidRDefault="0007408E" w:rsidP="006B6048">
      <w:r w:rsidRPr="00807DAF">
        <w:t xml:space="preserve">Actions must take place in </w:t>
      </w:r>
      <w:r w:rsidR="00005DB1">
        <w:t>the Republic of Moldova</w:t>
      </w:r>
      <w:r w:rsidRPr="00807DAF">
        <w:t>.</w:t>
      </w:r>
    </w:p>
    <w:p w14:paraId="40999C53" w14:textId="77777777" w:rsidR="0007408E" w:rsidRPr="00807DAF" w:rsidRDefault="0007408E" w:rsidP="006B6048">
      <w:pPr>
        <w:rPr>
          <w:szCs w:val="22"/>
          <w:u w:val="single"/>
        </w:rPr>
      </w:pPr>
      <w:r w:rsidRPr="00807DAF">
        <w:rPr>
          <w:szCs w:val="22"/>
          <w:u w:val="single"/>
        </w:rPr>
        <w:t>Type</w:t>
      </w:r>
      <w:r w:rsidR="0001485A" w:rsidRPr="00807DAF">
        <w:rPr>
          <w:szCs w:val="22"/>
          <w:u w:val="single"/>
        </w:rPr>
        <w:t>s</w:t>
      </w:r>
      <w:r w:rsidRPr="00807DAF">
        <w:rPr>
          <w:szCs w:val="22"/>
          <w:u w:val="single"/>
        </w:rPr>
        <w:t xml:space="preserve"> of action</w:t>
      </w:r>
    </w:p>
    <w:p w14:paraId="600EFC49" w14:textId="77777777" w:rsidR="00005DB1" w:rsidRDefault="00005DB1" w:rsidP="00005DB1">
      <w:pPr>
        <w:rPr>
          <w:szCs w:val="22"/>
        </w:rPr>
      </w:pPr>
      <w:r w:rsidRPr="00D26294">
        <w:rPr>
          <w:szCs w:val="22"/>
        </w:rPr>
        <w:t xml:space="preserve">To the sole purpose of providing a tentative indication and with no intention to be in any way exhaustive or prescriptive, </w:t>
      </w:r>
      <w:r>
        <w:rPr>
          <w:szCs w:val="22"/>
        </w:rPr>
        <w:t>actions</w:t>
      </w:r>
      <w:r w:rsidRPr="00D26294">
        <w:rPr>
          <w:szCs w:val="22"/>
        </w:rPr>
        <w:t xml:space="preserve"> may include, but are not limited to: </w:t>
      </w:r>
    </w:p>
    <w:p w14:paraId="39F15815" w14:textId="77777777" w:rsidR="00005DB1" w:rsidRPr="003247AD" w:rsidRDefault="00005DB1" w:rsidP="00005DB1">
      <w:pPr>
        <w:rPr>
          <w:b/>
        </w:rPr>
      </w:pPr>
      <w:r w:rsidRPr="00030066">
        <w:rPr>
          <w:b/>
        </w:rPr>
        <w:t>LOT 1</w:t>
      </w:r>
      <w:r>
        <w:rPr>
          <w:b/>
        </w:rPr>
        <w:t xml:space="preserve">: </w:t>
      </w:r>
      <w:r w:rsidRPr="003247AD">
        <w:rPr>
          <w:b/>
          <w:szCs w:val="22"/>
        </w:rPr>
        <w:t>Support for Independent and Free Media</w:t>
      </w:r>
    </w:p>
    <w:p w14:paraId="7ACCF61E" w14:textId="77777777" w:rsidR="00005DB1" w:rsidRDefault="00005DB1" w:rsidP="000E75FE">
      <w:pPr>
        <w:numPr>
          <w:ilvl w:val="0"/>
          <w:numId w:val="14"/>
        </w:numPr>
      </w:pPr>
      <w:r w:rsidRPr="00534DC6">
        <w:t xml:space="preserve">Increase awareness and understanding of </w:t>
      </w:r>
      <w:r>
        <w:t>EU affairs and EU approximation related topics</w:t>
      </w:r>
      <w:r w:rsidRPr="00534DC6">
        <w:t xml:space="preserve"> by producing media content and awareness-raising campaigns and events;</w:t>
      </w:r>
    </w:p>
    <w:p w14:paraId="240ACA98" w14:textId="4FFD5D69" w:rsidR="00005DB1" w:rsidRDefault="00005DB1" w:rsidP="000E75FE">
      <w:pPr>
        <w:numPr>
          <w:ilvl w:val="0"/>
          <w:numId w:val="14"/>
        </w:numPr>
        <w:rPr>
          <w:szCs w:val="22"/>
        </w:rPr>
      </w:pPr>
      <w:r w:rsidRPr="009D5E62">
        <w:rPr>
          <w:szCs w:val="22"/>
        </w:rPr>
        <w:t xml:space="preserve">Support </w:t>
      </w:r>
      <w:r w:rsidRPr="003247AD">
        <w:rPr>
          <w:szCs w:val="22"/>
        </w:rPr>
        <w:t>quality content production</w:t>
      </w:r>
      <w:r w:rsidRPr="009D5E62">
        <w:rPr>
          <w:szCs w:val="22"/>
        </w:rPr>
        <w:t xml:space="preserve"> for improved </w:t>
      </w:r>
      <w:r w:rsidRPr="00DB6A79">
        <w:rPr>
          <w:szCs w:val="22"/>
        </w:rPr>
        <w:t xml:space="preserve">public awareness on EU related topics, Moldova’s reforms path towards </w:t>
      </w:r>
      <w:r w:rsidR="00C52DB6">
        <w:rPr>
          <w:szCs w:val="22"/>
        </w:rPr>
        <w:t>the</w:t>
      </w:r>
      <w:r w:rsidR="00C52DB6" w:rsidRPr="00DB6A79">
        <w:rPr>
          <w:szCs w:val="22"/>
        </w:rPr>
        <w:t xml:space="preserve"> </w:t>
      </w:r>
      <w:r w:rsidRPr="00DB6A79">
        <w:rPr>
          <w:szCs w:val="22"/>
        </w:rPr>
        <w:t>EU and what this mean</w:t>
      </w:r>
      <w:r w:rsidR="00C52DB6">
        <w:rPr>
          <w:szCs w:val="22"/>
        </w:rPr>
        <w:t>s</w:t>
      </w:r>
      <w:r w:rsidRPr="00DB6A79">
        <w:rPr>
          <w:szCs w:val="22"/>
        </w:rPr>
        <w:t xml:space="preserve"> for citizens as a comple</w:t>
      </w:r>
      <w:r w:rsidRPr="00245483">
        <w:rPr>
          <w:szCs w:val="22"/>
        </w:rPr>
        <w:t>x process</w:t>
      </w:r>
      <w:r>
        <w:rPr>
          <w:szCs w:val="22"/>
        </w:rPr>
        <w:t xml:space="preserve">, as well as </w:t>
      </w:r>
      <w:r w:rsidRPr="00DB6A79">
        <w:rPr>
          <w:szCs w:val="22"/>
        </w:rPr>
        <w:t>in practical terms</w:t>
      </w:r>
      <w:r>
        <w:rPr>
          <w:szCs w:val="22"/>
        </w:rPr>
        <w:t xml:space="preserve">; </w:t>
      </w:r>
    </w:p>
    <w:p w14:paraId="4D0B000F" w14:textId="70E23FDF" w:rsidR="00005DB1" w:rsidRPr="00973A42" w:rsidRDefault="00005DB1" w:rsidP="000E75FE">
      <w:pPr>
        <w:numPr>
          <w:ilvl w:val="0"/>
          <w:numId w:val="14"/>
        </w:numPr>
        <w:spacing w:before="100" w:beforeAutospacing="1" w:after="100" w:afterAutospacing="1"/>
        <w:rPr>
          <w:szCs w:val="22"/>
        </w:rPr>
      </w:pPr>
      <w:r>
        <w:rPr>
          <w:szCs w:val="22"/>
        </w:rPr>
        <w:t>Provide support to media outlets to i</w:t>
      </w:r>
      <w:r w:rsidRPr="00973A42">
        <w:rPr>
          <w:szCs w:val="22"/>
        </w:rPr>
        <w:t>ncrease the</w:t>
      </w:r>
      <w:r>
        <w:rPr>
          <w:szCs w:val="22"/>
        </w:rPr>
        <w:t>ir</w:t>
      </w:r>
      <w:r w:rsidRPr="00973A42">
        <w:rPr>
          <w:szCs w:val="22"/>
        </w:rPr>
        <w:t xml:space="preserve"> quota of </w:t>
      </w:r>
      <w:r>
        <w:rPr>
          <w:szCs w:val="22"/>
        </w:rPr>
        <w:t xml:space="preserve">European </w:t>
      </w:r>
      <w:r w:rsidR="00C52DB6">
        <w:rPr>
          <w:szCs w:val="22"/>
        </w:rPr>
        <w:t>audio-visual</w:t>
      </w:r>
      <w:r>
        <w:rPr>
          <w:szCs w:val="22"/>
        </w:rPr>
        <w:t xml:space="preserve"> </w:t>
      </w:r>
      <w:r w:rsidR="00F97758">
        <w:rPr>
          <w:szCs w:val="22"/>
        </w:rPr>
        <w:t xml:space="preserve">content </w:t>
      </w:r>
      <w:r>
        <w:rPr>
          <w:szCs w:val="22"/>
        </w:rPr>
        <w:t xml:space="preserve">as per the </w:t>
      </w:r>
      <w:r w:rsidR="00C52DB6">
        <w:rPr>
          <w:szCs w:val="22"/>
        </w:rPr>
        <w:t>provisions</w:t>
      </w:r>
      <w:r>
        <w:rPr>
          <w:szCs w:val="22"/>
        </w:rPr>
        <w:t xml:space="preserve"> of the </w:t>
      </w:r>
      <w:r w:rsidRPr="00973A42">
        <w:rPr>
          <w:szCs w:val="22"/>
        </w:rPr>
        <w:t xml:space="preserve">Article 6 of </w:t>
      </w:r>
      <w:hyperlink r:id="rId17" w:history="1">
        <w:r w:rsidRPr="00973A42">
          <w:rPr>
            <w:szCs w:val="22"/>
          </w:rPr>
          <w:t>the Audiovisual Media Services Code (</w:t>
        </w:r>
        <w:proofErr w:type="spellStart"/>
        <w:r w:rsidRPr="00973A42">
          <w:rPr>
            <w:szCs w:val="22"/>
          </w:rPr>
          <w:t>AMSC</w:t>
        </w:r>
        <w:proofErr w:type="spellEnd"/>
        <w:r w:rsidRPr="00973A42">
          <w:rPr>
            <w:szCs w:val="22"/>
          </w:rPr>
          <w:t>)</w:t>
        </w:r>
      </w:hyperlink>
      <w:r>
        <w:rPr>
          <w:szCs w:val="22"/>
        </w:rPr>
        <w:t xml:space="preserve"> of the Republic of Moldova</w:t>
      </w:r>
      <w:r w:rsidRPr="00973A42">
        <w:rPr>
          <w:szCs w:val="22"/>
        </w:rPr>
        <w:t>;</w:t>
      </w:r>
      <w:r>
        <w:rPr>
          <w:rStyle w:val="FootnoteReference"/>
        </w:rPr>
        <w:footnoteReference w:id="11"/>
      </w:r>
    </w:p>
    <w:p w14:paraId="3A0E2D4B" w14:textId="047F8D05" w:rsidR="00005DB1" w:rsidRDefault="00005DB1" w:rsidP="000E75FE">
      <w:pPr>
        <w:numPr>
          <w:ilvl w:val="0"/>
          <w:numId w:val="14"/>
        </w:numPr>
        <w:rPr>
          <w:szCs w:val="22"/>
        </w:rPr>
      </w:pPr>
      <w:r>
        <w:rPr>
          <w:szCs w:val="22"/>
        </w:rPr>
        <w:t>Improve the capacity of journalists and media outlets to diversify the funding sources for successful business models, media management, marketing, sales and branding, as well as content production tailored to specific the needs of the audience segments (success stories and long reads, investigative journalism, entertainment etc.)</w:t>
      </w:r>
      <w:r w:rsidR="00E1647B">
        <w:rPr>
          <w:szCs w:val="22"/>
        </w:rPr>
        <w:t>;</w:t>
      </w:r>
    </w:p>
    <w:p w14:paraId="4CEC7B06" w14:textId="77777777" w:rsidR="00005DB1" w:rsidRDefault="00005DB1" w:rsidP="000E75FE">
      <w:pPr>
        <w:numPr>
          <w:ilvl w:val="0"/>
          <w:numId w:val="14"/>
        </w:numPr>
        <w:rPr>
          <w:szCs w:val="22"/>
        </w:rPr>
      </w:pPr>
      <w:r>
        <w:rPr>
          <w:szCs w:val="22"/>
        </w:rPr>
        <w:t>Build digital and physical security resilience of journalists and newsrooms of media outlet</w:t>
      </w:r>
      <w:r w:rsidR="00D847EE">
        <w:rPr>
          <w:szCs w:val="22"/>
        </w:rPr>
        <w:t>s</w:t>
      </w:r>
      <w:r>
        <w:rPr>
          <w:szCs w:val="22"/>
        </w:rPr>
        <w:t xml:space="preserve">, provide support to develop necessary security policies and facilities to cope with online security threats and cyber-attacks.  </w:t>
      </w:r>
    </w:p>
    <w:p w14:paraId="27387AC9" w14:textId="77777777" w:rsidR="00005DB1" w:rsidRPr="003C3876" w:rsidRDefault="00005DB1" w:rsidP="000E75FE">
      <w:pPr>
        <w:numPr>
          <w:ilvl w:val="0"/>
          <w:numId w:val="14"/>
        </w:numPr>
      </w:pPr>
      <w:r w:rsidRPr="003C3876">
        <w:t xml:space="preserve">To foster the collaboration of media workers </w:t>
      </w:r>
      <w:r>
        <w:t xml:space="preserve">and media outlets </w:t>
      </w:r>
      <w:r w:rsidRPr="003C3876">
        <w:t>in the Republic of Moldova including through  sub-regional and regional networks</w:t>
      </w:r>
      <w:r>
        <w:t xml:space="preserve"> for better exchange of good practices, innovations and sustainable initiatives for resilience to various crisis</w:t>
      </w:r>
      <w:r w:rsidRPr="003C3876">
        <w:t>;</w:t>
      </w:r>
    </w:p>
    <w:p w14:paraId="3CCB302F" w14:textId="1FA7A8AD" w:rsidR="00005DB1" w:rsidRPr="00534DC6" w:rsidRDefault="00005DB1" w:rsidP="000E75FE">
      <w:pPr>
        <w:numPr>
          <w:ilvl w:val="0"/>
          <w:numId w:val="14"/>
        </w:numPr>
      </w:pPr>
      <w:r w:rsidRPr="00534DC6">
        <w:t>Advocate for the revision of the existing legislation and adoption of the new ones in</w:t>
      </w:r>
      <w:r>
        <w:t xml:space="preserve"> </w:t>
      </w:r>
      <w:r w:rsidRPr="00534DC6">
        <w:t xml:space="preserve">accordance with </w:t>
      </w:r>
      <w:r w:rsidR="00183908">
        <w:t xml:space="preserve">the </w:t>
      </w:r>
      <w:r w:rsidRPr="00005DB1">
        <w:rPr>
          <w:sz w:val="24"/>
          <w:szCs w:val="24"/>
        </w:rPr>
        <w:t xml:space="preserve">EU </w:t>
      </w:r>
      <w:r w:rsidRPr="00005DB1">
        <w:rPr>
          <w:i/>
          <w:iCs/>
          <w:sz w:val="24"/>
          <w:szCs w:val="24"/>
        </w:rPr>
        <w:t>acquis</w:t>
      </w:r>
      <w:r w:rsidRPr="00005DB1">
        <w:rPr>
          <w:sz w:val="24"/>
          <w:szCs w:val="24"/>
        </w:rPr>
        <w:t xml:space="preserve"> and ILO standards</w:t>
      </w:r>
      <w:r w:rsidRPr="00005DB1">
        <w:t>;</w:t>
      </w:r>
    </w:p>
    <w:p w14:paraId="5A0459A2" w14:textId="77777777" w:rsidR="00005DB1" w:rsidRDefault="00005DB1" w:rsidP="000E75FE">
      <w:pPr>
        <w:numPr>
          <w:ilvl w:val="0"/>
          <w:numId w:val="14"/>
        </w:numPr>
      </w:pPr>
      <w:r w:rsidRPr="00534DC6">
        <w:t>Pilot innovative ideas and approaches in media sector to ensure increased coverage of</w:t>
      </w:r>
      <w:r>
        <w:t xml:space="preserve"> EU related topics</w:t>
      </w:r>
      <w:r w:rsidRPr="00534DC6">
        <w:t>;</w:t>
      </w:r>
    </w:p>
    <w:p w14:paraId="45D609B6" w14:textId="77777777" w:rsidR="00005DB1" w:rsidRDefault="00005DB1" w:rsidP="000E75FE">
      <w:pPr>
        <w:numPr>
          <w:ilvl w:val="0"/>
          <w:numId w:val="14"/>
        </w:numPr>
      </w:pPr>
      <w:r w:rsidRPr="00534DC6">
        <w:t xml:space="preserve">Foster collaboration and partnerships with stakeholders: government agencies, </w:t>
      </w:r>
      <w:proofErr w:type="spellStart"/>
      <w:r w:rsidRPr="00534DC6">
        <w:t>CSOs</w:t>
      </w:r>
      <w:proofErr w:type="spellEnd"/>
      <w:r w:rsidRPr="00534DC6">
        <w:t xml:space="preserve"> and</w:t>
      </w:r>
      <w:r>
        <w:t xml:space="preserve"> </w:t>
      </w:r>
      <w:r w:rsidRPr="00534DC6">
        <w:t>media outlets;</w:t>
      </w:r>
    </w:p>
    <w:p w14:paraId="3F3F70F2" w14:textId="234FB4AF" w:rsidR="00005DB1" w:rsidRDefault="00005DB1" w:rsidP="000E75FE">
      <w:pPr>
        <w:numPr>
          <w:ilvl w:val="0"/>
          <w:numId w:val="14"/>
        </w:numPr>
      </w:pPr>
      <w:r w:rsidRPr="003E60DA">
        <w:t>Activities to develop quality media/journalistic content following the norms and rules</w:t>
      </w:r>
      <w:r>
        <w:t xml:space="preserve"> </w:t>
      </w:r>
      <w:r w:rsidRPr="003E60DA">
        <w:t>highlighted in the Moldovan Journalists</w:t>
      </w:r>
      <w:r w:rsidR="006F7E1C">
        <w:t>’</w:t>
      </w:r>
      <w:r w:rsidRPr="003E60DA">
        <w:t xml:space="preserve"> Code of Ethics;</w:t>
      </w:r>
    </w:p>
    <w:p w14:paraId="7FDCC7FB" w14:textId="77777777" w:rsidR="00005DB1" w:rsidRPr="003E60DA" w:rsidRDefault="00005DB1" w:rsidP="000E75FE">
      <w:pPr>
        <w:numPr>
          <w:ilvl w:val="0"/>
          <w:numId w:val="14"/>
        </w:numPr>
      </w:pPr>
      <w:r>
        <w:t xml:space="preserve">Improve </w:t>
      </w:r>
      <w:r w:rsidRPr="003247AD">
        <w:t xml:space="preserve">proficiency </w:t>
      </w:r>
      <w:r>
        <w:t xml:space="preserve">in </w:t>
      </w:r>
      <w:r w:rsidRPr="003247AD">
        <w:t>deploying effective strategies for social media engagement and online monetisation</w:t>
      </w:r>
      <w:r>
        <w:t xml:space="preserve">; </w:t>
      </w:r>
    </w:p>
    <w:p w14:paraId="53F0E0BE" w14:textId="77777777" w:rsidR="00005DB1" w:rsidRPr="00973A42" w:rsidRDefault="00005DB1" w:rsidP="00005DB1">
      <w:pPr>
        <w:rPr>
          <w:b/>
          <w:szCs w:val="22"/>
        </w:rPr>
      </w:pPr>
      <w:r w:rsidRPr="00030066">
        <w:rPr>
          <w:b/>
          <w:color w:val="000000"/>
        </w:rPr>
        <w:t>LOT 2</w:t>
      </w:r>
      <w:r w:rsidRPr="00973A42">
        <w:rPr>
          <w:color w:val="000000"/>
        </w:rPr>
        <w:t xml:space="preserve">: </w:t>
      </w:r>
      <w:r w:rsidRPr="00973A42">
        <w:rPr>
          <w:b/>
          <w:szCs w:val="22"/>
        </w:rPr>
        <w:t>Support the public resilience to disinformation:</w:t>
      </w:r>
    </w:p>
    <w:p w14:paraId="5AEABCE7" w14:textId="77777777" w:rsidR="00005DB1" w:rsidRDefault="00005DB1" w:rsidP="000E75FE">
      <w:pPr>
        <w:numPr>
          <w:ilvl w:val="0"/>
          <w:numId w:val="14"/>
        </w:numPr>
      </w:pPr>
      <w:r>
        <w:t xml:space="preserve">Conduct creative ways, campaigns and activities </w:t>
      </w:r>
      <w:r w:rsidRPr="00534DC6">
        <w:t xml:space="preserve">to encourage </w:t>
      </w:r>
      <w:r>
        <w:t xml:space="preserve">identifying and </w:t>
      </w:r>
      <w:r w:rsidRPr="00534DC6">
        <w:t>report</w:t>
      </w:r>
      <w:r>
        <w:t xml:space="preserve">ing fake news and fighting </w:t>
      </w:r>
      <w:r w:rsidRPr="00534DC6">
        <w:t>disinformation</w:t>
      </w:r>
      <w:r>
        <w:t>;</w:t>
      </w:r>
    </w:p>
    <w:p w14:paraId="7A5DC8A0" w14:textId="3996CCB0" w:rsidR="00005DB1" w:rsidRDefault="00005DB1" w:rsidP="000E75FE">
      <w:pPr>
        <w:numPr>
          <w:ilvl w:val="0"/>
          <w:numId w:val="14"/>
        </w:numPr>
      </w:pPr>
      <w:r w:rsidRPr="00534DC6">
        <w:t xml:space="preserve">Develop and improve media literacy among adult and young population </w:t>
      </w:r>
      <w:r>
        <w:t xml:space="preserve">helping </w:t>
      </w:r>
      <w:r w:rsidRPr="00534DC6">
        <w:t>to distinguish</w:t>
      </w:r>
      <w:r>
        <w:t xml:space="preserve"> </w:t>
      </w:r>
      <w:r w:rsidRPr="00534DC6">
        <w:t xml:space="preserve">credible information </w:t>
      </w:r>
      <w:r>
        <w:t>from</w:t>
      </w:r>
      <w:r w:rsidRPr="00534DC6">
        <w:t xml:space="preserve"> disinformation;</w:t>
      </w:r>
    </w:p>
    <w:p w14:paraId="7AE692BD" w14:textId="5D235E54" w:rsidR="00005DB1" w:rsidRPr="00534DC6" w:rsidRDefault="00447851" w:rsidP="000E75FE">
      <w:pPr>
        <w:numPr>
          <w:ilvl w:val="0"/>
          <w:numId w:val="14"/>
        </w:numPr>
      </w:pPr>
      <w:r w:rsidRPr="003247AD">
        <w:t>Support the national and local media outlets in developing content aiming to explain and combat disinformation and fake news</w:t>
      </w:r>
      <w:r>
        <w:t xml:space="preserve">; </w:t>
      </w:r>
      <w:r w:rsidR="00005DB1" w:rsidRPr="00534DC6">
        <w:t xml:space="preserve">Enhance digital security </w:t>
      </w:r>
      <w:r w:rsidR="00005DB1">
        <w:t xml:space="preserve">and cyber hygiene </w:t>
      </w:r>
      <w:r w:rsidR="00005DB1" w:rsidRPr="00534DC6">
        <w:t>by promoting the use of secure communication tools and, avoid cyber threats and protect personal data;</w:t>
      </w:r>
    </w:p>
    <w:p w14:paraId="7A985D29" w14:textId="30E6A711" w:rsidR="00005DB1" w:rsidRDefault="00005DB1" w:rsidP="000E75FE">
      <w:pPr>
        <w:numPr>
          <w:ilvl w:val="0"/>
          <w:numId w:val="14"/>
        </w:numPr>
      </w:pPr>
      <w:r w:rsidRPr="003247AD">
        <w:t>Develop innovative tools</w:t>
      </w:r>
      <w:r>
        <w:t xml:space="preserve">, such as </w:t>
      </w:r>
      <w:r w:rsidRPr="003247AD">
        <w:t>printed/digital textbooks, online tutorials, interactive games and quizzes that could be used to combat disinformation and fake news and develop media literacy skills among the general public, including among Russian speaking target audience</w:t>
      </w:r>
      <w:r>
        <w:t xml:space="preserve">; </w:t>
      </w:r>
    </w:p>
    <w:p w14:paraId="423ADB84" w14:textId="4D7C67F3" w:rsidR="00005DB1" w:rsidRPr="004E6D39" w:rsidRDefault="00005DB1" w:rsidP="000E75FE">
      <w:pPr>
        <w:numPr>
          <w:ilvl w:val="0"/>
          <w:numId w:val="14"/>
        </w:numPr>
      </w:pPr>
      <w:r>
        <w:t xml:space="preserve">Cooperate with main state </w:t>
      </w:r>
      <w:r w:rsidRPr="004E6D39">
        <w:t>institutions, such as Audiovisual Council, Center for Strategic Communication and Combatting Disinformation and the National Regulatory Agency for Electronic Communications and Information Technology (</w:t>
      </w:r>
      <w:proofErr w:type="spellStart"/>
      <w:r w:rsidRPr="004E6D39">
        <w:t>ANRCETI</w:t>
      </w:r>
      <w:proofErr w:type="spellEnd"/>
      <w:r w:rsidRPr="004E6D39">
        <w:t xml:space="preserve">) </w:t>
      </w:r>
      <w:r w:rsidR="00D847EE">
        <w:t xml:space="preserve">to support communication activities such as campaigns and public outreach, capacity building, </w:t>
      </w:r>
      <w:r w:rsidR="00D847EE">
        <w:rPr>
          <w:szCs w:val="22"/>
        </w:rPr>
        <w:t>digital education and cyber hygiene of the general public</w:t>
      </w:r>
      <w:proofErr w:type="gramStart"/>
      <w:r w:rsidR="00D847EE">
        <w:rPr>
          <w:szCs w:val="22"/>
        </w:rPr>
        <w:t>.</w:t>
      </w:r>
      <w:r w:rsidRPr="004E6D39">
        <w:t>.</w:t>
      </w:r>
      <w:proofErr w:type="gramEnd"/>
      <w:r w:rsidRPr="004E6D39">
        <w:t xml:space="preserve"> </w:t>
      </w:r>
    </w:p>
    <w:p w14:paraId="670426E6" w14:textId="77777777" w:rsidR="00005DB1" w:rsidRPr="009F182A" w:rsidRDefault="00005DB1" w:rsidP="000E75FE">
      <w:pPr>
        <w:numPr>
          <w:ilvl w:val="0"/>
          <w:numId w:val="14"/>
        </w:numPr>
        <w:spacing w:before="100" w:beforeAutospacing="1" w:after="100" w:afterAutospacing="1"/>
      </w:pPr>
      <w:r w:rsidRPr="009F182A">
        <w:t xml:space="preserve">Educate the </w:t>
      </w:r>
      <w:r>
        <w:t xml:space="preserve">general </w:t>
      </w:r>
      <w:r w:rsidRPr="009F182A">
        <w:t>public about its rights, focusing on freedom of expression, access to information and digital security</w:t>
      </w:r>
      <w:r>
        <w:t xml:space="preserve"> and to enhance the critical thinking</w:t>
      </w:r>
      <w:r w:rsidRPr="009F182A">
        <w:t>;</w:t>
      </w:r>
    </w:p>
    <w:p w14:paraId="25553E7E" w14:textId="77777777" w:rsidR="00005DB1" w:rsidRPr="00534DC6" w:rsidRDefault="00005DB1" w:rsidP="000E75FE">
      <w:pPr>
        <w:numPr>
          <w:ilvl w:val="0"/>
          <w:numId w:val="14"/>
        </w:numPr>
      </w:pPr>
      <w:r w:rsidRPr="009F182A">
        <w:t>Motivate citizens to identify and report cases of disinformation in the media, social media, and other platforms</w:t>
      </w:r>
      <w:r>
        <w:t xml:space="preserve">. </w:t>
      </w:r>
    </w:p>
    <w:p w14:paraId="524B21B1" w14:textId="77777777" w:rsidR="00005DB1" w:rsidRPr="00807DAF" w:rsidRDefault="00005DB1" w:rsidP="00005DB1">
      <w:r w:rsidRPr="00807DAF">
        <w:t xml:space="preserve">The following types of action are </w:t>
      </w:r>
      <w:r w:rsidRPr="006432CD">
        <w:rPr>
          <w:b/>
        </w:rPr>
        <w:t>ineligible for both Lots</w:t>
      </w:r>
      <w:r w:rsidRPr="00807DAF">
        <w:t>:</w:t>
      </w:r>
    </w:p>
    <w:p w14:paraId="27586CCD" w14:textId="77777777" w:rsidR="00005DB1" w:rsidRPr="00807DAF" w:rsidRDefault="00005DB1" w:rsidP="000E75FE">
      <w:pPr>
        <w:numPr>
          <w:ilvl w:val="0"/>
          <w:numId w:val="14"/>
        </w:numPr>
      </w:pPr>
      <w:r w:rsidRPr="00807DAF">
        <w:t>actions concerned only or mainly with individual sponsorships for participation in workshops, seminars, conferences and congresses;</w:t>
      </w:r>
    </w:p>
    <w:p w14:paraId="0652C4BA" w14:textId="77777777" w:rsidR="00005DB1" w:rsidRPr="00807DAF" w:rsidRDefault="00005DB1" w:rsidP="000E75FE">
      <w:pPr>
        <w:numPr>
          <w:ilvl w:val="0"/>
          <w:numId w:val="14"/>
        </w:numPr>
      </w:pPr>
      <w:r w:rsidRPr="00807DAF">
        <w:t>actions concerned only or mainly with individual scholarships for studies or training courses;</w:t>
      </w:r>
    </w:p>
    <w:p w14:paraId="49A4A7AE" w14:textId="77777777" w:rsidR="00005DB1" w:rsidRDefault="00005DB1" w:rsidP="00E1397C"/>
    <w:p w14:paraId="76BA1A49" w14:textId="77777777" w:rsidR="004D7B57" w:rsidRPr="00807DAF" w:rsidRDefault="004D7B57" w:rsidP="006B6048">
      <w:pPr>
        <w:rPr>
          <w:szCs w:val="22"/>
          <w:u w:val="single"/>
        </w:rPr>
      </w:pPr>
      <w:r w:rsidRPr="00807DAF">
        <w:rPr>
          <w:szCs w:val="22"/>
          <w:u w:val="single"/>
        </w:rPr>
        <w:t>Types of activity</w:t>
      </w:r>
    </w:p>
    <w:p w14:paraId="5C8F53CF" w14:textId="77777777" w:rsidR="00005DB1" w:rsidRDefault="00005DB1" w:rsidP="00005DB1">
      <w:pPr>
        <w:rPr>
          <w:szCs w:val="22"/>
        </w:rPr>
      </w:pPr>
      <w:r w:rsidRPr="001B2508">
        <w:rPr>
          <w:szCs w:val="22"/>
        </w:rPr>
        <w:t xml:space="preserve">Types of activities under </w:t>
      </w:r>
      <w:r w:rsidRPr="001B2508">
        <w:rPr>
          <w:b/>
          <w:szCs w:val="22"/>
        </w:rPr>
        <w:t>both Lots</w:t>
      </w:r>
      <w:r w:rsidRPr="001B2508">
        <w:rPr>
          <w:szCs w:val="22"/>
        </w:rPr>
        <w:t>:</w:t>
      </w:r>
    </w:p>
    <w:p w14:paraId="018F1E9E" w14:textId="2FF40154" w:rsidR="00005DB1" w:rsidRPr="001B2508" w:rsidRDefault="00005DB1" w:rsidP="000E75FE">
      <w:pPr>
        <w:numPr>
          <w:ilvl w:val="0"/>
          <w:numId w:val="14"/>
        </w:numPr>
      </w:pPr>
      <w:r>
        <w:rPr>
          <w:szCs w:val="22"/>
        </w:rPr>
        <w:t xml:space="preserve">Advocacy and </w:t>
      </w:r>
      <w:r w:rsidR="006122C4">
        <w:rPr>
          <w:szCs w:val="22"/>
        </w:rPr>
        <w:t>p</w:t>
      </w:r>
      <w:r w:rsidR="006122C4" w:rsidRPr="00D26294">
        <w:rPr>
          <w:szCs w:val="22"/>
        </w:rPr>
        <w:t xml:space="preserve">romotion </w:t>
      </w:r>
      <w:r w:rsidRPr="00D26294">
        <w:rPr>
          <w:szCs w:val="22"/>
        </w:rPr>
        <w:t>and s</w:t>
      </w:r>
      <w:r>
        <w:rPr>
          <w:szCs w:val="22"/>
        </w:rPr>
        <w:t>trengthening of policy dialogue;</w:t>
      </w:r>
    </w:p>
    <w:p w14:paraId="6A9654E2" w14:textId="77777777" w:rsidR="00005DB1" w:rsidRPr="003E60DA" w:rsidRDefault="00005DB1" w:rsidP="000E75FE">
      <w:pPr>
        <w:numPr>
          <w:ilvl w:val="0"/>
          <w:numId w:val="14"/>
        </w:numPr>
      </w:pPr>
      <w:r>
        <w:t>Training and capacity building activities</w:t>
      </w:r>
      <w:r w:rsidRPr="006836C2">
        <w:t xml:space="preserve"> </w:t>
      </w:r>
      <w:r>
        <w:t xml:space="preserve">including </w:t>
      </w:r>
      <w:r w:rsidRPr="003E60DA">
        <w:t>coaching and mentoring</w:t>
      </w:r>
      <w:r>
        <w:t>;</w:t>
      </w:r>
    </w:p>
    <w:p w14:paraId="244358DE" w14:textId="77777777" w:rsidR="00005DB1" w:rsidRDefault="00005DB1" w:rsidP="000E75FE">
      <w:pPr>
        <w:numPr>
          <w:ilvl w:val="0"/>
          <w:numId w:val="14"/>
        </w:numPr>
      </w:pPr>
      <w:r>
        <w:t>Engagement in legislative and policy initiatives;</w:t>
      </w:r>
    </w:p>
    <w:p w14:paraId="46B4F7C4" w14:textId="77777777" w:rsidR="00005DB1" w:rsidRPr="003E60DA" w:rsidRDefault="00005DB1" w:rsidP="000E75FE">
      <w:pPr>
        <w:numPr>
          <w:ilvl w:val="0"/>
          <w:numId w:val="14"/>
        </w:numPr>
      </w:pPr>
      <w:r>
        <w:t>Awareness raising and information activities</w:t>
      </w:r>
      <w:r w:rsidRPr="003E60DA">
        <w:t xml:space="preserve"> </w:t>
      </w:r>
      <w:r>
        <w:t xml:space="preserve">including </w:t>
      </w:r>
      <w:r w:rsidRPr="003E60DA">
        <w:t>using n</w:t>
      </w:r>
      <w:r>
        <w:t xml:space="preserve">ew technologies/tools/platforms, </w:t>
      </w:r>
      <w:r w:rsidRPr="003E60DA">
        <w:t>disseminating</w:t>
      </w:r>
      <w:r>
        <w:t xml:space="preserve"> </w:t>
      </w:r>
      <w:r w:rsidRPr="003E60DA">
        <w:t>content and reaching new audiences;</w:t>
      </w:r>
    </w:p>
    <w:p w14:paraId="2792001B" w14:textId="77777777" w:rsidR="00005DB1" w:rsidRPr="003E60DA" w:rsidRDefault="00005DB1" w:rsidP="000E75FE">
      <w:pPr>
        <w:numPr>
          <w:ilvl w:val="0"/>
          <w:numId w:val="14"/>
        </w:numPr>
      </w:pPr>
      <w:r>
        <w:t>Monitoring a</w:t>
      </w:r>
      <w:r w:rsidRPr="003E60DA">
        <w:t xml:space="preserve">ctivities </w:t>
      </w:r>
      <w:r>
        <w:t xml:space="preserve">including at </w:t>
      </w:r>
      <w:r w:rsidRPr="003E60DA">
        <w:t>local and national</w:t>
      </w:r>
      <w:r>
        <w:t xml:space="preserve"> level</w:t>
      </w:r>
      <w:r w:rsidRPr="003E60DA">
        <w:t>;</w:t>
      </w:r>
    </w:p>
    <w:p w14:paraId="271AE6D9" w14:textId="77777777" w:rsidR="00005DB1" w:rsidRPr="003E60DA" w:rsidRDefault="00005DB1" w:rsidP="000E75FE">
      <w:pPr>
        <w:numPr>
          <w:ilvl w:val="0"/>
          <w:numId w:val="14"/>
        </w:numPr>
      </w:pPr>
      <w:r>
        <w:t>Promotion of human rights and democratic values, with the focus on EU values</w:t>
      </w:r>
      <w:r w:rsidRPr="003E60DA">
        <w:t>;</w:t>
      </w:r>
      <w:r>
        <w:t xml:space="preserve"> </w:t>
      </w:r>
    </w:p>
    <w:p w14:paraId="4E16E0E8" w14:textId="5E47E999" w:rsidR="00005DB1" w:rsidRPr="003E60DA" w:rsidRDefault="00005DB1" w:rsidP="000E75FE">
      <w:pPr>
        <w:numPr>
          <w:ilvl w:val="0"/>
          <w:numId w:val="14"/>
        </w:numPr>
      </w:pPr>
      <w:r w:rsidRPr="003E60DA">
        <w:t>Develop</w:t>
      </w:r>
      <w:r>
        <w:t xml:space="preserve">ment of </w:t>
      </w:r>
      <w:r w:rsidR="00091D71">
        <w:t xml:space="preserve">fundraising </w:t>
      </w:r>
      <w:r w:rsidRPr="003E60DA">
        <w:t>tools</w:t>
      </w:r>
      <w:r>
        <w:t>,</w:t>
      </w:r>
      <w:r w:rsidRPr="003E60DA">
        <w:t xml:space="preserve"> programmes</w:t>
      </w:r>
      <w:r>
        <w:t xml:space="preserve"> and strategies</w:t>
      </w:r>
      <w:r w:rsidR="00091D71">
        <w:t xml:space="preserve"> to support successful business models and sustainability on the market</w:t>
      </w:r>
      <w:r>
        <w:t xml:space="preserve"> (such as </w:t>
      </w:r>
      <w:r w:rsidRPr="003247AD">
        <w:t>the realm of crowdfunding, fundraising and preparing</w:t>
      </w:r>
      <w:r w:rsidR="000E6F9F">
        <w:t xml:space="preserve"> for the participation</w:t>
      </w:r>
      <w:r w:rsidR="00091D71">
        <w:t xml:space="preserve"> in grant calls</w:t>
      </w:r>
      <w:r>
        <w:t>)</w:t>
      </w:r>
      <w:r w:rsidRPr="003E60DA">
        <w:t>;</w:t>
      </w:r>
    </w:p>
    <w:p w14:paraId="5EBF0875" w14:textId="77777777" w:rsidR="00005DB1" w:rsidRDefault="00005DB1" w:rsidP="000E75FE">
      <w:pPr>
        <w:numPr>
          <w:ilvl w:val="0"/>
          <w:numId w:val="14"/>
        </w:numPr>
      </w:pPr>
      <w:r>
        <w:t>Creation/organisation and management of networks and platforms;</w:t>
      </w:r>
    </w:p>
    <w:p w14:paraId="61B46B16" w14:textId="77777777" w:rsidR="00005DB1" w:rsidRPr="003E60DA" w:rsidRDefault="00005DB1" w:rsidP="000E75FE">
      <w:pPr>
        <w:numPr>
          <w:ilvl w:val="0"/>
          <w:numId w:val="14"/>
        </w:numPr>
      </w:pPr>
      <w:r>
        <w:t xml:space="preserve">Organisation of </w:t>
      </w:r>
      <w:r w:rsidRPr="003E60DA">
        <w:t xml:space="preserve">online and physical </w:t>
      </w:r>
      <w:r>
        <w:t>events including conferences, meetings, workshops and round tables</w:t>
      </w:r>
      <w:r w:rsidRPr="003E60DA">
        <w:t>;</w:t>
      </w:r>
    </w:p>
    <w:p w14:paraId="617D0B20" w14:textId="77777777" w:rsidR="00005DB1" w:rsidRPr="003E60DA" w:rsidRDefault="00005DB1" w:rsidP="000E75FE">
      <w:pPr>
        <w:numPr>
          <w:ilvl w:val="0"/>
          <w:numId w:val="14"/>
        </w:numPr>
      </w:pPr>
      <w:r>
        <w:t>Advocacy activities and communication campaigns</w:t>
      </w:r>
      <w:r w:rsidRPr="003E60DA">
        <w:t>;</w:t>
      </w:r>
    </w:p>
    <w:p w14:paraId="1520A631" w14:textId="77777777" w:rsidR="00005DB1" w:rsidRPr="003E60DA" w:rsidRDefault="00005DB1" w:rsidP="000E75FE">
      <w:pPr>
        <w:numPr>
          <w:ilvl w:val="0"/>
          <w:numId w:val="14"/>
        </w:numPr>
      </w:pPr>
      <w:r>
        <w:t>Collection and sharing of data, such as audience measurement, monitoring of social media, web effectiveness and digital realm</w:t>
      </w:r>
      <w:r w:rsidRPr="003E60DA">
        <w:t>;</w:t>
      </w:r>
    </w:p>
    <w:p w14:paraId="209457EE" w14:textId="77777777" w:rsidR="00005DB1" w:rsidRDefault="00005DB1" w:rsidP="000E75FE">
      <w:pPr>
        <w:numPr>
          <w:ilvl w:val="0"/>
          <w:numId w:val="14"/>
        </w:numPr>
        <w:spacing w:after="360"/>
        <w:ind w:left="714" w:hanging="357"/>
      </w:pPr>
      <w:r>
        <w:t>S</w:t>
      </w:r>
      <w:r w:rsidRPr="003E60DA">
        <w:t>trengthen</w:t>
      </w:r>
      <w:r>
        <w:t>ing</w:t>
      </w:r>
      <w:r w:rsidRPr="003E60DA">
        <w:t xml:space="preserve"> </w:t>
      </w:r>
      <w:r>
        <w:t>of relevant</w:t>
      </w:r>
      <w:r w:rsidRPr="003E60DA">
        <w:t xml:space="preserve"> </w:t>
      </w:r>
      <w:r>
        <w:t>institutions, organisations and entities</w:t>
      </w:r>
      <w:r w:rsidRPr="003E60DA">
        <w:t>;</w:t>
      </w:r>
    </w:p>
    <w:p w14:paraId="2E3D9E97" w14:textId="77777777" w:rsidR="0023018A" w:rsidRPr="00807DAF" w:rsidRDefault="00266BD4" w:rsidP="006B6048">
      <w:pPr>
        <w:rPr>
          <w:szCs w:val="22"/>
          <w:u w:val="single"/>
        </w:rPr>
      </w:pPr>
      <w:r w:rsidRPr="00807DAF">
        <w:rPr>
          <w:szCs w:val="22"/>
          <w:u w:val="single"/>
        </w:rPr>
        <w:t>Financial support to third parties</w:t>
      </w:r>
      <w:r w:rsidR="00DB06F5" w:rsidRPr="00807DAF">
        <w:rPr>
          <w:rStyle w:val="FootnoteReference"/>
          <w:szCs w:val="22"/>
          <w:u w:val="single"/>
        </w:rPr>
        <w:footnoteReference w:id="12"/>
      </w:r>
      <w:r w:rsidR="0023018A" w:rsidRPr="00807DAF">
        <w:rPr>
          <w:szCs w:val="22"/>
          <w:u w:val="single"/>
        </w:rPr>
        <w:t xml:space="preserve"> </w:t>
      </w:r>
    </w:p>
    <w:p w14:paraId="0CF9CE6A" w14:textId="68B068FB" w:rsidR="007E1BE2" w:rsidRPr="00807DAF" w:rsidRDefault="003F04E9" w:rsidP="00C90F08">
      <w:r>
        <w:t>A</w:t>
      </w:r>
      <w:r w:rsidR="001D0C7B" w:rsidRPr="008503BC">
        <w:t>pplicant</w:t>
      </w:r>
      <w:r>
        <w:t>s</w:t>
      </w:r>
      <w:r w:rsidR="00AD0FA0">
        <w:t xml:space="preserve"> </w:t>
      </w:r>
      <w:r w:rsidR="00103811" w:rsidRPr="009505B1">
        <w:t>shall</w:t>
      </w:r>
      <w:r w:rsidR="00103811">
        <w:t xml:space="preserve"> </w:t>
      </w:r>
      <w:r w:rsidR="0023018A" w:rsidRPr="008503BC">
        <w:t xml:space="preserve">propose </w:t>
      </w:r>
      <w:r w:rsidR="007E1BE2" w:rsidRPr="008503BC">
        <w:t xml:space="preserve">financial support to third </w:t>
      </w:r>
      <w:r w:rsidR="00107C6D" w:rsidRPr="008503BC">
        <w:t>parties</w:t>
      </w:r>
      <w:r w:rsidR="003477DE" w:rsidRPr="008503BC">
        <w:t>.</w:t>
      </w:r>
    </w:p>
    <w:p w14:paraId="66707DE4" w14:textId="23E65950" w:rsidR="00107C6D" w:rsidRPr="00807DAF" w:rsidRDefault="003F04E9" w:rsidP="007E1BE2">
      <w:r>
        <w:t>A</w:t>
      </w:r>
      <w:r w:rsidR="00107C6D" w:rsidRPr="00807DAF">
        <w:t>pplicant</w:t>
      </w:r>
      <w:r>
        <w:t>s</w:t>
      </w:r>
      <w:r w:rsidR="00107C6D" w:rsidRPr="00807DAF">
        <w:t xml:space="preserve"> </w:t>
      </w:r>
      <w:r w:rsidR="00EE6BF6">
        <w:t>shall</w:t>
      </w:r>
      <w:r w:rsidR="00EE6BF6" w:rsidRPr="00807DAF">
        <w:t xml:space="preserve"> </w:t>
      </w:r>
      <w:r w:rsidR="00107C6D" w:rsidRPr="00807DAF">
        <w:t xml:space="preserve">propose financial support to third parties </w:t>
      </w:r>
      <w:r w:rsidR="00517ECD" w:rsidRPr="00807DAF">
        <w:t>in order</w:t>
      </w:r>
      <w:r w:rsidR="00107C6D" w:rsidRPr="00807DAF">
        <w:t xml:space="preserve"> to </w:t>
      </w:r>
      <w:r w:rsidR="0047210D" w:rsidRPr="00807DAF">
        <w:t>help achieving</w:t>
      </w:r>
      <w:r w:rsidR="00107C6D" w:rsidRPr="00807DAF">
        <w:t xml:space="preserve"> the objectives of the action.</w:t>
      </w:r>
      <w:r w:rsidR="00DB06F5" w:rsidRPr="00807DAF">
        <w:t xml:space="preserve"> </w:t>
      </w:r>
      <w:proofErr w:type="spellStart"/>
      <w:r w:rsidR="00BE2887">
        <w:t>FSTP</w:t>
      </w:r>
      <w:proofErr w:type="spellEnd"/>
      <w:r w:rsidR="00BE2887">
        <w:t xml:space="preserve"> shall represent </w:t>
      </w:r>
      <w:r w:rsidR="00F35904">
        <w:t xml:space="preserve">at least </w:t>
      </w:r>
      <w:r w:rsidR="00D21D6A">
        <w:t xml:space="preserve">20% </w:t>
      </w:r>
      <w:r w:rsidR="00BE2887">
        <w:t xml:space="preserve">of the </w:t>
      </w:r>
      <w:r w:rsidR="00F35904">
        <w:t xml:space="preserve">total </w:t>
      </w:r>
      <w:r w:rsidR="00BE2887">
        <w:t xml:space="preserve">value of the action. </w:t>
      </w:r>
    </w:p>
    <w:p w14:paraId="049A7550" w14:textId="20A31644" w:rsidR="009B6884" w:rsidRPr="00BA6979" w:rsidRDefault="00D44118" w:rsidP="009B6884">
      <w:pPr>
        <w:rPr>
          <w:szCs w:val="22"/>
        </w:rPr>
      </w:pPr>
      <w:r>
        <w:t xml:space="preserve">The minimum amount of financial support per third party is EUR </w:t>
      </w:r>
      <w:r w:rsidR="00975F60">
        <w:t>5</w:t>
      </w:r>
      <w:r w:rsidR="00B56FD4">
        <w:t xml:space="preserve"> </w:t>
      </w:r>
      <w:r>
        <w:t xml:space="preserve">000. </w:t>
      </w:r>
      <w:r w:rsidR="007E1BE2" w:rsidRPr="00ED7CB2">
        <w:t xml:space="preserve">The maximum amount of </w:t>
      </w:r>
      <w:r w:rsidR="003477DE" w:rsidRPr="00ED7CB2">
        <w:t>financial support</w:t>
      </w:r>
      <w:r w:rsidR="007E1BE2" w:rsidRPr="00ED7CB2">
        <w:t xml:space="preserve"> </w:t>
      </w:r>
      <w:r w:rsidR="00A07623" w:rsidRPr="00ED7CB2">
        <w:t xml:space="preserve">per third party </w:t>
      </w:r>
      <w:r w:rsidR="007E1BE2" w:rsidRPr="00B723AF">
        <w:t xml:space="preserve">is </w:t>
      </w:r>
      <w:r w:rsidR="0006470D" w:rsidRPr="00B723AF">
        <w:t>EUR</w:t>
      </w:r>
      <w:r w:rsidR="007E1BE2" w:rsidRPr="00B723AF">
        <w:t xml:space="preserve"> </w:t>
      </w:r>
      <w:r w:rsidR="007E1BE2" w:rsidRPr="00BA6979">
        <w:t>60 000</w:t>
      </w:r>
      <w:r w:rsidR="00916FDF">
        <w:t xml:space="preserve">. </w:t>
      </w:r>
    </w:p>
    <w:p w14:paraId="34933D9A" w14:textId="77777777" w:rsidR="00700AF2" w:rsidRPr="00BD7F0D" w:rsidRDefault="00700AF2" w:rsidP="00700AF2">
      <w:pPr>
        <w:rPr>
          <w:szCs w:val="22"/>
        </w:rPr>
      </w:pPr>
      <w:r w:rsidRPr="00807DAF">
        <w:rPr>
          <w:szCs w:val="22"/>
        </w:rPr>
        <w:t xml:space="preserve">In compliance with the present guidelines and notably of any conditions or restrictions </w:t>
      </w:r>
      <w:r w:rsidR="00F72D70" w:rsidRPr="00807DAF">
        <w:rPr>
          <w:szCs w:val="22"/>
        </w:rPr>
        <w:t xml:space="preserve">in this </w:t>
      </w:r>
      <w:r w:rsidR="00853E40">
        <w:rPr>
          <w:szCs w:val="22"/>
        </w:rPr>
        <w:t>S</w:t>
      </w:r>
      <w:r w:rsidR="00F72D70" w:rsidRPr="00807DAF">
        <w:rPr>
          <w:szCs w:val="22"/>
        </w:rPr>
        <w:t>ection</w:t>
      </w:r>
      <w:r w:rsidRPr="00807DAF">
        <w:rPr>
          <w:szCs w:val="22"/>
        </w:rPr>
        <w:t>,</w:t>
      </w:r>
      <w:r w:rsidR="00F72E51">
        <w:rPr>
          <w:szCs w:val="22"/>
        </w:rPr>
        <w:t xml:space="preserve"> the</w:t>
      </w:r>
      <w:r w:rsidRPr="00807DAF">
        <w:rPr>
          <w:szCs w:val="22"/>
        </w:rPr>
        <w:t xml:space="preserve"> </w:t>
      </w:r>
      <w:r w:rsidR="00B114D9">
        <w:rPr>
          <w:szCs w:val="22"/>
        </w:rPr>
        <w:t xml:space="preserve">lead </w:t>
      </w:r>
      <w:r w:rsidRPr="00807DAF">
        <w:rPr>
          <w:szCs w:val="22"/>
        </w:rPr>
        <w:t>applicant sh</w:t>
      </w:r>
      <w:r w:rsidR="0002374A" w:rsidRPr="00807DAF">
        <w:rPr>
          <w:szCs w:val="22"/>
        </w:rPr>
        <w:t>ould</w:t>
      </w:r>
      <w:r w:rsidRPr="00807DAF">
        <w:rPr>
          <w:szCs w:val="22"/>
        </w:rPr>
        <w:t xml:space="preserve"> define mandatorily in </w:t>
      </w:r>
      <w:r w:rsidR="000D7ACD">
        <w:rPr>
          <w:szCs w:val="22"/>
        </w:rPr>
        <w:t>S</w:t>
      </w:r>
      <w:r w:rsidRPr="00807DAF">
        <w:rPr>
          <w:szCs w:val="22"/>
        </w:rPr>
        <w:t xml:space="preserve">ection 2.1.1 of </w:t>
      </w:r>
      <w:r w:rsidR="00562215">
        <w:rPr>
          <w:szCs w:val="22"/>
        </w:rPr>
        <w:t>Annex A.</w:t>
      </w:r>
      <w:r w:rsidR="00562215" w:rsidRPr="00BD7F0D">
        <w:rPr>
          <w:szCs w:val="22"/>
        </w:rPr>
        <w:t>2</w:t>
      </w:r>
      <w:r w:rsidR="003859ED" w:rsidRPr="00BA6979">
        <w:rPr>
          <w:szCs w:val="22"/>
        </w:rPr>
        <w:t xml:space="preserve"> (Grant application form </w:t>
      </w:r>
      <w:r w:rsidR="003859ED" w:rsidRPr="00A84207">
        <w:rPr>
          <w:szCs w:val="22"/>
        </w:rPr>
        <w:t>–</w:t>
      </w:r>
      <w:r w:rsidR="003859ED" w:rsidRPr="00BA6979">
        <w:rPr>
          <w:szCs w:val="22"/>
        </w:rPr>
        <w:t xml:space="preserve"> Full application)</w:t>
      </w:r>
      <w:r w:rsidRPr="00BD7F0D">
        <w:rPr>
          <w:szCs w:val="22"/>
        </w:rPr>
        <w:t xml:space="preserve">: </w:t>
      </w:r>
    </w:p>
    <w:p w14:paraId="0FAF17FD" w14:textId="77777777" w:rsidR="00700AF2" w:rsidRPr="00807DAF" w:rsidRDefault="00700AF2" w:rsidP="000E75FE">
      <w:pPr>
        <w:numPr>
          <w:ilvl w:val="0"/>
          <w:numId w:val="27"/>
        </w:numPr>
        <w:tabs>
          <w:tab w:val="left" w:pos="851"/>
        </w:tabs>
        <w:ind w:left="851" w:hanging="425"/>
        <w:rPr>
          <w:szCs w:val="22"/>
        </w:rPr>
      </w:pPr>
      <w:r w:rsidRPr="00807DAF">
        <w:rPr>
          <w:szCs w:val="22"/>
        </w:rPr>
        <w:t xml:space="preserve">the </w:t>
      </w:r>
      <w:r w:rsidR="00247941">
        <w:rPr>
          <w:szCs w:val="22"/>
        </w:rPr>
        <w:t xml:space="preserve">overall </w:t>
      </w:r>
      <w:r w:rsidR="00247941" w:rsidRPr="00807DAF">
        <w:rPr>
          <w:szCs w:val="22"/>
        </w:rPr>
        <w:t>objectives</w:t>
      </w:r>
      <w:r w:rsidR="00247941">
        <w:rPr>
          <w:szCs w:val="22"/>
        </w:rPr>
        <w:t>, the specific objective(s) and the outputs</w:t>
      </w:r>
      <w:r w:rsidR="00247941">
        <w:rPr>
          <w:rStyle w:val="FootnoteReference"/>
          <w:szCs w:val="22"/>
        </w:rPr>
        <w:footnoteReference w:id="13"/>
      </w:r>
      <w:r w:rsidR="00247941">
        <w:rPr>
          <w:szCs w:val="22"/>
        </w:rPr>
        <w:t xml:space="preserve"> (i.e. the </w:t>
      </w:r>
      <w:r w:rsidR="00247941" w:rsidRPr="00807DAF">
        <w:rPr>
          <w:szCs w:val="22"/>
        </w:rPr>
        <w:t>results</w:t>
      </w:r>
      <w:r w:rsidR="00247941">
        <w:rPr>
          <w:szCs w:val="22"/>
        </w:rPr>
        <w:t>)</w:t>
      </w:r>
      <w:r w:rsidR="00247941" w:rsidRPr="00807DAF">
        <w:rPr>
          <w:szCs w:val="22"/>
        </w:rPr>
        <w:t xml:space="preserve"> to be </w:t>
      </w:r>
      <w:r w:rsidR="00247941">
        <w:rPr>
          <w:szCs w:val="22"/>
        </w:rPr>
        <w:t xml:space="preserve">achieved </w:t>
      </w:r>
      <w:r w:rsidRPr="00807DAF">
        <w:rPr>
          <w:szCs w:val="22"/>
        </w:rPr>
        <w:t xml:space="preserve">with the financial support </w:t>
      </w:r>
    </w:p>
    <w:p w14:paraId="4B37EC9F" w14:textId="77777777" w:rsidR="00700AF2" w:rsidRPr="00807DAF" w:rsidRDefault="00700AF2" w:rsidP="000E75FE">
      <w:pPr>
        <w:numPr>
          <w:ilvl w:val="0"/>
          <w:numId w:val="27"/>
        </w:numPr>
        <w:tabs>
          <w:tab w:val="left" w:pos="851"/>
        </w:tabs>
        <w:ind w:left="851" w:hanging="425"/>
        <w:rPr>
          <w:szCs w:val="22"/>
        </w:rPr>
      </w:pPr>
      <w:r w:rsidRPr="00807DAF">
        <w:rPr>
          <w:szCs w:val="22"/>
        </w:rPr>
        <w:t xml:space="preserve">the different types of activities eligible for financial support, on the basis of a fixed list </w:t>
      </w:r>
    </w:p>
    <w:p w14:paraId="3B7D73F1" w14:textId="77777777" w:rsidR="00700AF2" w:rsidRPr="00807DAF" w:rsidRDefault="00700AF2" w:rsidP="000E75FE">
      <w:pPr>
        <w:numPr>
          <w:ilvl w:val="0"/>
          <w:numId w:val="27"/>
        </w:numPr>
        <w:tabs>
          <w:tab w:val="left" w:pos="851"/>
        </w:tabs>
        <w:ind w:left="851" w:hanging="425"/>
        <w:rPr>
          <w:szCs w:val="22"/>
        </w:rPr>
      </w:pPr>
      <w:r w:rsidRPr="00807DAF">
        <w:rPr>
          <w:szCs w:val="22"/>
        </w:rPr>
        <w:t xml:space="preserve">the types of persons or categories of persons which may receive financial support  </w:t>
      </w:r>
    </w:p>
    <w:p w14:paraId="56D5B8C5" w14:textId="77777777" w:rsidR="00700AF2" w:rsidRPr="00807DAF" w:rsidRDefault="00700AF2" w:rsidP="004741A1">
      <w:pPr>
        <w:tabs>
          <w:tab w:val="left" w:pos="851"/>
        </w:tabs>
        <w:ind w:left="851" w:hanging="425"/>
        <w:rPr>
          <w:szCs w:val="22"/>
        </w:rPr>
      </w:pPr>
      <w:r w:rsidRPr="00807DAF">
        <w:rPr>
          <w:szCs w:val="22"/>
        </w:rPr>
        <w:t>(iv)</w:t>
      </w:r>
      <w:r w:rsidR="00D97BE7" w:rsidRPr="00807DAF">
        <w:rPr>
          <w:szCs w:val="22"/>
        </w:rPr>
        <w:tab/>
      </w:r>
      <w:proofErr w:type="gramStart"/>
      <w:r w:rsidRPr="00807DAF">
        <w:rPr>
          <w:szCs w:val="22"/>
        </w:rPr>
        <w:t>the</w:t>
      </w:r>
      <w:proofErr w:type="gramEnd"/>
      <w:r w:rsidRPr="00807DAF">
        <w:rPr>
          <w:szCs w:val="22"/>
        </w:rPr>
        <w:t xml:space="preserve"> criteria for selecting these entities and giving the financial support  </w:t>
      </w:r>
    </w:p>
    <w:p w14:paraId="601E3DB3" w14:textId="77777777" w:rsidR="00700AF2" w:rsidRPr="00807DAF" w:rsidRDefault="00700AF2" w:rsidP="000E75FE">
      <w:pPr>
        <w:numPr>
          <w:ilvl w:val="0"/>
          <w:numId w:val="28"/>
        </w:numPr>
        <w:tabs>
          <w:tab w:val="left" w:pos="851"/>
        </w:tabs>
        <w:ind w:left="851" w:hanging="425"/>
        <w:rPr>
          <w:szCs w:val="22"/>
        </w:rPr>
      </w:pPr>
      <w:r w:rsidRPr="00807DAF">
        <w:rPr>
          <w:szCs w:val="22"/>
        </w:rPr>
        <w:t xml:space="preserve">the criteria for determining the exact amount of financial support for each third entity, and </w:t>
      </w:r>
    </w:p>
    <w:p w14:paraId="0331D798" w14:textId="77777777" w:rsidR="00700AF2" w:rsidRPr="00807DAF" w:rsidRDefault="00700AF2" w:rsidP="000E75FE">
      <w:pPr>
        <w:numPr>
          <w:ilvl w:val="0"/>
          <w:numId w:val="28"/>
        </w:numPr>
        <w:tabs>
          <w:tab w:val="left" w:pos="851"/>
        </w:tabs>
        <w:ind w:left="851" w:hanging="425"/>
        <w:rPr>
          <w:szCs w:val="22"/>
        </w:rPr>
      </w:pPr>
      <w:proofErr w:type="gramStart"/>
      <w:r w:rsidRPr="00807DAF">
        <w:rPr>
          <w:szCs w:val="22"/>
        </w:rPr>
        <w:t>the</w:t>
      </w:r>
      <w:proofErr w:type="gramEnd"/>
      <w:r w:rsidRPr="00807DAF">
        <w:rPr>
          <w:szCs w:val="22"/>
        </w:rPr>
        <w:t xml:space="preserve"> maximum amount which may be given.</w:t>
      </w:r>
    </w:p>
    <w:p w14:paraId="2A289459" w14:textId="77777777" w:rsidR="00517ECD" w:rsidRPr="00807DAF" w:rsidRDefault="00700AF2" w:rsidP="00517ECD">
      <w:pPr>
        <w:rPr>
          <w:szCs w:val="22"/>
          <w:u w:val="single"/>
        </w:rPr>
      </w:pPr>
      <w:r w:rsidRPr="00807DAF">
        <w:rPr>
          <w:szCs w:val="22"/>
          <w:u w:val="single"/>
        </w:rPr>
        <w:t>In all events, the mandatory conditions set above for giving financial support (points (i) to (vi)) have to be strictly defined in the</w:t>
      </w:r>
      <w:r w:rsidR="00A155DA">
        <w:rPr>
          <w:szCs w:val="22"/>
          <w:u w:val="single"/>
        </w:rPr>
        <w:t xml:space="preserve"> </w:t>
      </w:r>
      <w:r w:rsidR="003B254C">
        <w:rPr>
          <w:szCs w:val="22"/>
          <w:u w:val="single"/>
        </w:rPr>
        <w:t>g</w:t>
      </w:r>
      <w:r w:rsidR="00A155DA">
        <w:rPr>
          <w:szCs w:val="22"/>
          <w:u w:val="single"/>
        </w:rPr>
        <w:t xml:space="preserve">rant </w:t>
      </w:r>
      <w:r w:rsidR="003B254C">
        <w:rPr>
          <w:szCs w:val="22"/>
          <w:u w:val="single"/>
        </w:rPr>
        <w:t>c</w:t>
      </w:r>
      <w:r w:rsidRPr="00807DAF">
        <w:rPr>
          <w:szCs w:val="22"/>
          <w:u w:val="single"/>
        </w:rPr>
        <w:t xml:space="preserve">ontract as to avoid any exercise </w:t>
      </w:r>
      <w:r w:rsidRPr="0061511C">
        <w:rPr>
          <w:szCs w:val="22"/>
          <w:u w:val="single"/>
        </w:rPr>
        <w:t>of discretion.</w:t>
      </w:r>
    </w:p>
    <w:p w14:paraId="30220036" w14:textId="59894A9D" w:rsidR="00997BBD" w:rsidRDefault="00997BBD" w:rsidP="001E2002">
      <w:pPr>
        <w:autoSpaceDE w:val="0"/>
        <w:autoSpaceDN w:val="0"/>
        <w:adjustRightInd w:val="0"/>
        <w:spacing w:after="0"/>
        <w:rPr>
          <w:szCs w:val="22"/>
        </w:rPr>
      </w:pPr>
      <w:r w:rsidRPr="001E2002">
        <w:rPr>
          <w:szCs w:val="22"/>
        </w:rPr>
        <w:t xml:space="preserve">The following organizations and persons are eligible for financial support: </w:t>
      </w:r>
    </w:p>
    <w:p w14:paraId="1DB97871" w14:textId="53063B48" w:rsidR="00997BBD" w:rsidRPr="00997BBD" w:rsidRDefault="00997BBD" w:rsidP="001E2002">
      <w:pPr>
        <w:pStyle w:val="ListParagraph"/>
        <w:numPr>
          <w:ilvl w:val="0"/>
          <w:numId w:val="39"/>
        </w:numPr>
        <w:autoSpaceDE w:val="0"/>
        <w:autoSpaceDN w:val="0"/>
        <w:adjustRightInd w:val="0"/>
        <w:spacing w:after="0"/>
        <w:rPr>
          <w:szCs w:val="22"/>
        </w:rPr>
      </w:pPr>
      <w:r w:rsidRPr="00997BBD">
        <w:rPr>
          <w:szCs w:val="22"/>
        </w:rPr>
        <w:t xml:space="preserve">Civil society organizations </w:t>
      </w:r>
      <w:r>
        <w:rPr>
          <w:szCs w:val="22"/>
        </w:rPr>
        <w:t xml:space="preserve">and professional associations </w:t>
      </w:r>
      <w:r w:rsidRPr="00997BBD">
        <w:rPr>
          <w:szCs w:val="22"/>
        </w:rPr>
        <w:t xml:space="preserve">working in media and public resilience to disinformation </w:t>
      </w:r>
    </w:p>
    <w:p w14:paraId="030059BB" w14:textId="7DFAE894" w:rsidR="00997BBD" w:rsidRPr="000C764B" w:rsidRDefault="00997BBD" w:rsidP="001E2002">
      <w:pPr>
        <w:pStyle w:val="ListParagraph"/>
        <w:numPr>
          <w:ilvl w:val="0"/>
          <w:numId w:val="39"/>
        </w:numPr>
        <w:autoSpaceDE w:val="0"/>
        <w:autoSpaceDN w:val="0"/>
        <w:adjustRightInd w:val="0"/>
        <w:spacing w:after="0"/>
        <w:rPr>
          <w:szCs w:val="22"/>
        </w:rPr>
      </w:pPr>
      <w:r w:rsidRPr="000C764B">
        <w:rPr>
          <w:szCs w:val="22"/>
        </w:rPr>
        <w:t>Independent media outlets</w:t>
      </w:r>
    </w:p>
    <w:p w14:paraId="11337EA9" w14:textId="3F6E5265" w:rsidR="00997BBD" w:rsidRDefault="00997BBD" w:rsidP="00423382">
      <w:pPr>
        <w:pStyle w:val="ListParagraph"/>
        <w:numPr>
          <w:ilvl w:val="0"/>
          <w:numId w:val="39"/>
        </w:numPr>
        <w:autoSpaceDE w:val="0"/>
        <w:autoSpaceDN w:val="0"/>
        <w:adjustRightInd w:val="0"/>
        <w:spacing w:after="0"/>
        <w:rPr>
          <w:szCs w:val="22"/>
        </w:rPr>
      </w:pPr>
      <w:r w:rsidRPr="00423382">
        <w:rPr>
          <w:szCs w:val="22"/>
        </w:rPr>
        <w:t>Individual online</w:t>
      </w:r>
      <w:r w:rsidR="00F8455E" w:rsidRPr="00423382">
        <w:rPr>
          <w:szCs w:val="22"/>
        </w:rPr>
        <w:t xml:space="preserve"> activists</w:t>
      </w:r>
      <w:r w:rsidRPr="00423382">
        <w:rPr>
          <w:szCs w:val="22"/>
        </w:rPr>
        <w:t xml:space="preserve"> </w:t>
      </w:r>
      <w:r w:rsidR="00F8455E" w:rsidRPr="00423382">
        <w:rPr>
          <w:szCs w:val="22"/>
        </w:rPr>
        <w:t xml:space="preserve">such as </w:t>
      </w:r>
      <w:r w:rsidR="005E2F9F" w:rsidRPr="00423382">
        <w:rPr>
          <w:szCs w:val="22"/>
        </w:rPr>
        <w:t>b</w:t>
      </w:r>
      <w:r w:rsidRPr="00423382">
        <w:rPr>
          <w:szCs w:val="22"/>
        </w:rPr>
        <w:t>loggers, vloggers</w:t>
      </w:r>
      <w:r w:rsidR="00077F2E" w:rsidRPr="00423382">
        <w:rPr>
          <w:szCs w:val="22"/>
        </w:rPr>
        <w:t xml:space="preserve"> </w:t>
      </w:r>
      <w:r w:rsidR="00C579F9" w:rsidRPr="00423382">
        <w:rPr>
          <w:szCs w:val="22"/>
        </w:rPr>
        <w:t>with high public influence</w:t>
      </w:r>
      <w:r w:rsidR="00D61A16" w:rsidRPr="00423382">
        <w:rPr>
          <w:szCs w:val="22"/>
        </w:rPr>
        <w:t>, non-politically affiliated and developing content and messages in line with EU fundamental values</w:t>
      </w:r>
    </w:p>
    <w:p w14:paraId="73A4BFB7" w14:textId="77777777" w:rsidR="00423382" w:rsidRPr="00423382" w:rsidRDefault="00423382" w:rsidP="00423382">
      <w:pPr>
        <w:pStyle w:val="ListParagraph"/>
        <w:autoSpaceDE w:val="0"/>
        <w:autoSpaceDN w:val="0"/>
        <w:adjustRightInd w:val="0"/>
        <w:spacing w:after="0"/>
        <w:ind w:left="720"/>
        <w:rPr>
          <w:szCs w:val="22"/>
        </w:rPr>
      </w:pPr>
    </w:p>
    <w:p w14:paraId="70550ED9" w14:textId="1115911C" w:rsidR="00997BBD" w:rsidRDefault="00997BBD" w:rsidP="001E2002">
      <w:pPr>
        <w:autoSpaceDE w:val="0"/>
        <w:autoSpaceDN w:val="0"/>
        <w:adjustRightInd w:val="0"/>
        <w:spacing w:after="0"/>
        <w:rPr>
          <w:szCs w:val="22"/>
        </w:rPr>
      </w:pPr>
      <w:r>
        <w:rPr>
          <w:szCs w:val="22"/>
        </w:rPr>
        <w:t xml:space="preserve">The following criteria have to be </w:t>
      </w:r>
      <w:r w:rsidR="00975F60">
        <w:rPr>
          <w:szCs w:val="22"/>
        </w:rPr>
        <w:t>met by the organizations an</w:t>
      </w:r>
      <w:r w:rsidR="00D61A16">
        <w:rPr>
          <w:szCs w:val="22"/>
        </w:rPr>
        <w:t>d</w:t>
      </w:r>
      <w:r w:rsidR="00975F60">
        <w:rPr>
          <w:szCs w:val="22"/>
        </w:rPr>
        <w:t xml:space="preserve"> persons complying with the requirements listed above</w:t>
      </w:r>
      <w:r>
        <w:rPr>
          <w:szCs w:val="22"/>
        </w:rPr>
        <w:t xml:space="preserve">: </w:t>
      </w:r>
    </w:p>
    <w:p w14:paraId="002C7B82" w14:textId="7C8FFD23" w:rsidR="00997BBD" w:rsidRDefault="00997BBD" w:rsidP="001E2002">
      <w:pPr>
        <w:pStyle w:val="ListParagraph"/>
        <w:numPr>
          <w:ilvl w:val="0"/>
          <w:numId w:val="40"/>
        </w:numPr>
        <w:autoSpaceDE w:val="0"/>
        <w:autoSpaceDN w:val="0"/>
        <w:adjustRightInd w:val="0"/>
        <w:spacing w:after="0"/>
        <w:rPr>
          <w:szCs w:val="22"/>
        </w:rPr>
      </w:pPr>
      <w:r>
        <w:rPr>
          <w:szCs w:val="22"/>
        </w:rPr>
        <w:t xml:space="preserve">Independent editorial policies </w:t>
      </w:r>
      <w:r w:rsidR="00656576" w:rsidRPr="00656576">
        <w:rPr>
          <w:szCs w:val="22"/>
        </w:rPr>
        <w:t>pr</w:t>
      </w:r>
      <w:r w:rsidR="00656576">
        <w:rPr>
          <w:szCs w:val="22"/>
        </w:rPr>
        <w:t>oven</w:t>
      </w:r>
      <w:r>
        <w:rPr>
          <w:szCs w:val="22"/>
        </w:rPr>
        <w:t xml:space="preserve"> by constant media monitoring tools </w:t>
      </w:r>
      <w:r w:rsidR="008477F8">
        <w:rPr>
          <w:szCs w:val="22"/>
        </w:rPr>
        <w:t>available on the public platforms for the last 3 years</w:t>
      </w:r>
    </w:p>
    <w:p w14:paraId="0B5DE916" w14:textId="658031F3" w:rsidR="008477F8" w:rsidRDefault="008477F8" w:rsidP="001E2002">
      <w:pPr>
        <w:pStyle w:val="ListParagraph"/>
        <w:numPr>
          <w:ilvl w:val="0"/>
          <w:numId w:val="40"/>
        </w:numPr>
        <w:autoSpaceDE w:val="0"/>
        <w:autoSpaceDN w:val="0"/>
        <w:adjustRightInd w:val="0"/>
        <w:spacing w:after="0"/>
        <w:rPr>
          <w:szCs w:val="22"/>
        </w:rPr>
      </w:pPr>
      <w:r>
        <w:rPr>
          <w:szCs w:val="22"/>
        </w:rPr>
        <w:t>At least one year of active presence on the media market</w:t>
      </w:r>
    </w:p>
    <w:p w14:paraId="02092ECB" w14:textId="107FFD37" w:rsidR="00C579F9" w:rsidRDefault="00C579F9" w:rsidP="001E2002">
      <w:pPr>
        <w:pStyle w:val="ListParagraph"/>
        <w:numPr>
          <w:ilvl w:val="0"/>
          <w:numId w:val="40"/>
        </w:numPr>
        <w:autoSpaceDE w:val="0"/>
        <w:autoSpaceDN w:val="0"/>
        <w:adjustRightInd w:val="0"/>
        <w:spacing w:after="0"/>
        <w:rPr>
          <w:szCs w:val="22"/>
        </w:rPr>
      </w:pPr>
      <w:r>
        <w:rPr>
          <w:szCs w:val="22"/>
        </w:rPr>
        <w:t xml:space="preserve">Non-politically affiliated </w:t>
      </w:r>
    </w:p>
    <w:p w14:paraId="1921D6F0" w14:textId="7493F35A" w:rsidR="00C579F9" w:rsidRPr="001E2002" w:rsidRDefault="00C579F9" w:rsidP="001E2002">
      <w:pPr>
        <w:pStyle w:val="ListParagraph"/>
        <w:numPr>
          <w:ilvl w:val="0"/>
          <w:numId w:val="40"/>
        </w:numPr>
        <w:autoSpaceDE w:val="0"/>
        <w:autoSpaceDN w:val="0"/>
        <w:adjustRightInd w:val="0"/>
        <w:spacing w:after="0"/>
        <w:rPr>
          <w:szCs w:val="22"/>
        </w:rPr>
      </w:pPr>
      <w:r>
        <w:rPr>
          <w:szCs w:val="22"/>
        </w:rPr>
        <w:t>Promoting EU fundamental values</w:t>
      </w:r>
      <w:r w:rsidR="00D61A16">
        <w:rPr>
          <w:szCs w:val="22"/>
        </w:rPr>
        <w:t xml:space="preserve"> through its content and editorial policies</w:t>
      </w:r>
    </w:p>
    <w:p w14:paraId="7DB2E36B" w14:textId="77777777" w:rsidR="00997BBD" w:rsidRPr="001E2002" w:rsidRDefault="00997BBD" w:rsidP="001E2002">
      <w:pPr>
        <w:autoSpaceDE w:val="0"/>
        <w:autoSpaceDN w:val="0"/>
        <w:adjustRightInd w:val="0"/>
        <w:spacing w:after="0"/>
        <w:rPr>
          <w:szCs w:val="22"/>
        </w:rPr>
      </w:pPr>
    </w:p>
    <w:p w14:paraId="71CFE1AA" w14:textId="55D60624" w:rsidR="00107C6D" w:rsidRPr="00807DAF" w:rsidRDefault="00107C6D" w:rsidP="004B7BC2">
      <w:pPr>
        <w:keepNext/>
        <w:rPr>
          <w:szCs w:val="22"/>
          <w:u w:val="single"/>
        </w:rPr>
      </w:pPr>
      <w:r w:rsidRPr="00807DAF">
        <w:rPr>
          <w:szCs w:val="22"/>
          <w:u w:val="single"/>
        </w:rPr>
        <w:t>Visibility</w:t>
      </w:r>
    </w:p>
    <w:p w14:paraId="4F11249A" w14:textId="5D3DBD44" w:rsidR="00B46930" w:rsidRDefault="00622160" w:rsidP="00B46930">
      <w:pPr>
        <w:rPr>
          <w:lang w:val="en-IE"/>
        </w:rPr>
      </w:pPr>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 xml:space="preserve">ction. </w:t>
      </w:r>
      <w:r w:rsidR="00B46930" w:rsidRPr="00FA0527">
        <w:rPr>
          <w:lang w:val="en-IE"/>
        </w:rPr>
        <w:t xml:space="preserve">Unless the European Commission agrees otherwise, actions that are wholly or partially funded by the European Union must ensure the visibility of EU financing by displaying the EU emblem in accordance with the guidelines set out in the Operational guidelines for recipients of EU funding, published by the European Commission. </w:t>
      </w:r>
      <w:r w:rsidR="00B46930" w:rsidRPr="00AB22E1">
        <w:t xml:space="preserve"> </w:t>
      </w:r>
      <w:r w:rsidR="00B46930" w:rsidRPr="00AB22E1">
        <w:rPr>
          <w:lang w:val="en-IE"/>
        </w:rPr>
        <w:t xml:space="preserve">If applicable, communication activities may be undertaken to raise the awareness of specific or general audiences of the reasons for the action and the EU support for the action in the country or region concerned, as well as the results and the impact of this support. </w:t>
      </w:r>
    </w:p>
    <w:p w14:paraId="5FB60CDF" w14:textId="77777777" w:rsidR="00B46930" w:rsidRDefault="00B46930" w:rsidP="00B46930">
      <w:pPr>
        <w:rPr>
          <w:color w:val="1F497D"/>
          <w:lang w:val="en-IE"/>
        </w:rPr>
      </w:pPr>
      <w:r w:rsidRPr="00FA0527">
        <w:rPr>
          <w:lang w:val="en-IE"/>
        </w:rPr>
        <w:t xml:space="preserve">All measures and activities relating to visibility and, if applicable, communication, must </w:t>
      </w:r>
      <w:r>
        <w:rPr>
          <w:lang w:val="en-IE"/>
        </w:rPr>
        <w:t>comply</w:t>
      </w:r>
      <w:r w:rsidRPr="00FA0527">
        <w:rPr>
          <w:lang w:val="en-IE"/>
        </w:rPr>
        <w:t xml:space="preserve"> with the latest Communication and Visibility Requirements </w:t>
      </w:r>
      <w:r w:rsidR="0057624E">
        <w:rPr>
          <w:lang w:val="en-IE"/>
        </w:rPr>
        <w:t xml:space="preserve">for EU-funded external action, </w:t>
      </w:r>
      <w:r w:rsidRPr="00FA0527">
        <w:rPr>
          <w:lang w:val="en-IE"/>
        </w:rPr>
        <w:t xml:space="preserve">laid down and published by the European Commission  </w:t>
      </w:r>
      <w:hyperlink r:id="rId18" w:history="1">
        <w:r w:rsidR="0057624E">
          <w:rPr>
            <w:rStyle w:val="Hyperlink"/>
          </w:rPr>
          <w:t>Communication and Visibility Requirements for EU External Actions | International Partnerships (europa.eu)</w:t>
        </w:r>
      </w:hyperlink>
      <w:r w:rsidRPr="00FA0527">
        <w:rPr>
          <w:lang w:val="en-IE"/>
        </w:rPr>
        <w:t>.</w:t>
      </w:r>
    </w:p>
    <w:p w14:paraId="6618BA8D" w14:textId="77777777" w:rsidR="003E52C8" w:rsidRDefault="003E52C8" w:rsidP="00B46930">
      <w:pPr>
        <w:rPr>
          <w:color w:val="1F497D"/>
          <w:lang w:val="en-IE"/>
        </w:rPr>
      </w:pPr>
    </w:p>
    <w:p w14:paraId="5DB99082" w14:textId="77777777" w:rsidR="0007408E" w:rsidRPr="00807DAF" w:rsidRDefault="0007408E" w:rsidP="006B6048">
      <w:pPr>
        <w:rPr>
          <w:u w:val="single"/>
        </w:rPr>
      </w:pPr>
      <w:r w:rsidRPr="00807DAF">
        <w:rPr>
          <w:u w:val="single"/>
        </w:rPr>
        <w:t xml:space="preserve">Number of </w:t>
      </w:r>
      <w:r w:rsidR="006459C5" w:rsidRPr="00807DAF">
        <w:rPr>
          <w:u w:val="single"/>
        </w:rPr>
        <w:t>application</w:t>
      </w:r>
      <w:r w:rsidRPr="00807DAF">
        <w:rPr>
          <w:u w:val="single"/>
        </w:rPr>
        <w:t>s and grants per applicant</w:t>
      </w:r>
      <w:r w:rsidR="00FA2479" w:rsidRPr="00807DAF">
        <w:rPr>
          <w:u w:val="single"/>
        </w:rPr>
        <w:t>s</w:t>
      </w:r>
      <w:r w:rsidR="00646638">
        <w:rPr>
          <w:u w:val="single"/>
        </w:rPr>
        <w:t xml:space="preserve"> / affiliated entities</w:t>
      </w:r>
    </w:p>
    <w:p w14:paraId="32E9AA89" w14:textId="77777777" w:rsidR="002B7F59" w:rsidRPr="004F6FD1" w:rsidRDefault="002B7F59" w:rsidP="002B7F59">
      <w:r w:rsidRPr="00807DAF">
        <w:t xml:space="preserve">The </w:t>
      </w:r>
      <w:r>
        <w:t>lead a</w:t>
      </w:r>
      <w:r w:rsidRPr="00807DAF">
        <w:t xml:space="preserve">pplicant may </w:t>
      </w:r>
      <w:r w:rsidRPr="004F6FD1">
        <w:t>not submit more than 1 application per lot under this call for proposals.</w:t>
      </w:r>
    </w:p>
    <w:p w14:paraId="49402568" w14:textId="77777777" w:rsidR="002B7F59" w:rsidRPr="004F6FD1" w:rsidRDefault="002B7F59" w:rsidP="002B7F59">
      <w:r w:rsidRPr="004F6FD1">
        <w:t>The lead applicant may not be awarded more than 1 grant per lot under this call for proposals.</w:t>
      </w:r>
    </w:p>
    <w:p w14:paraId="3CE7E63E" w14:textId="77777777" w:rsidR="002B7F59" w:rsidRPr="004F6FD1" w:rsidRDefault="002B7F59" w:rsidP="002B7F59">
      <w:r w:rsidRPr="004F6FD1">
        <w:t>The lead applicant may not be a co-applicant or an affiliated entity in another application of the same lot at the same time.</w:t>
      </w:r>
    </w:p>
    <w:p w14:paraId="27789BBC" w14:textId="77777777" w:rsidR="002B7F59" w:rsidRPr="004F6FD1" w:rsidRDefault="002B7F59" w:rsidP="002B7F59">
      <w:r w:rsidRPr="004F6FD1">
        <w:t>A co-applicant/affiliated entity may not be the co-applicant or affiliated entity in more than 1 application per lot under this call for proposals.</w:t>
      </w:r>
    </w:p>
    <w:p w14:paraId="58FB5283" w14:textId="77777777" w:rsidR="002B7F59" w:rsidRPr="00807DAF" w:rsidRDefault="002B7F59" w:rsidP="002B7F59">
      <w:pPr>
        <w:spacing w:after="360"/>
      </w:pPr>
      <w:r w:rsidRPr="004F6FD1">
        <w:t>A co-applicant/affiliated entity may not be awarded more than 1 grant per lot under this call for proposals.</w:t>
      </w:r>
    </w:p>
    <w:p w14:paraId="3C9955EA" w14:textId="77777777" w:rsidR="0007408E" w:rsidRPr="00807DAF" w:rsidRDefault="0007408E" w:rsidP="000E75FE">
      <w:pPr>
        <w:pStyle w:val="Guidelines3"/>
        <w:numPr>
          <w:ilvl w:val="2"/>
          <w:numId w:val="9"/>
        </w:numPr>
      </w:pPr>
      <w:bookmarkStart w:id="14" w:name="_Toc74830952"/>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14"/>
      <w:r w:rsidR="00A575A2" w:rsidRPr="00807DAF">
        <w:t xml:space="preserve"> </w:t>
      </w:r>
    </w:p>
    <w:p w14:paraId="6181C22E" w14:textId="77777777" w:rsidR="004C5057" w:rsidRDefault="004C5057" w:rsidP="006B6048"/>
    <w:p w14:paraId="4A034630" w14:textId="77777777" w:rsidR="00B17D2F" w:rsidRDefault="00ED7CB2" w:rsidP="006B6048">
      <w:r>
        <w:t xml:space="preserve">Union contribution </w:t>
      </w:r>
      <w:r w:rsidR="006224E4">
        <w:t>under this call for proposals</w:t>
      </w:r>
      <w:r>
        <w:t xml:space="preserve"> take </w:t>
      </w:r>
      <w:r w:rsidR="00B17D2F" w:rsidRPr="00807DAF">
        <w:t>the following form</w:t>
      </w:r>
      <w:r w:rsidR="006224E4">
        <w:t>(</w:t>
      </w:r>
      <w:r w:rsidR="00B17D2F" w:rsidRPr="00807DAF">
        <w:t>s</w:t>
      </w:r>
      <w:r w:rsidR="006224E4">
        <w:t>)</w:t>
      </w:r>
      <w:r w:rsidR="00B17D2F" w:rsidRPr="00807DAF">
        <w:t>:</w:t>
      </w:r>
    </w:p>
    <w:p w14:paraId="1F3231D7" w14:textId="77777777" w:rsidR="00BF7E1C" w:rsidRPr="00ED7CB2" w:rsidRDefault="00BF7E1C" w:rsidP="000E75FE">
      <w:pPr>
        <w:numPr>
          <w:ilvl w:val="0"/>
          <w:numId w:val="30"/>
        </w:numPr>
      </w:pPr>
      <w:r>
        <w:t>Reimbursement of eligible costs that may be based on any or a combination of the following forms:</w:t>
      </w:r>
    </w:p>
    <w:p w14:paraId="63AED667" w14:textId="77777777" w:rsidR="00463413" w:rsidRPr="00B723AF" w:rsidRDefault="00680EB5" w:rsidP="00BA6979">
      <w:pPr>
        <w:ind w:firstLine="720"/>
      </w:pPr>
      <w:r>
        <w:t xml:space="preserve">(i) </w:t>
      </w:r>
      <w:proofErr w:type="gramStart"/>
      <w:r w:rsidR="00463413" w:rsidRPr="00B723AF">
        <w:t>actual</w:t>
      </w:r>
      <w:proofErr w:type="gramEnd"/>
      <w:r w:rsidR="00463413" w:rsidRPr="00B723AF">
        <w:t xml:space="preserve"> costs incurred</w:t>
      </w:r>
      <w:r w:rsidR="001C71F8" w:rsidRPr="00B723AF">
        <w:t xml:space="preserve"> by the </w:t>
      </w:r>
      <w:r w:rsidR="00466C25" w:rsidRPr="00B723AF">
        <w:t>b</w:t>
      </w:r>
      <w:r w:rsidR="001C71F8" w:rsidRPr="00B723AF">
        <w:t>eneficiary(</w:t>
      </w:r>
      <w:proofErr w:type="spellStart"/>
      <w:r w:rsidR="001C71F8" w:rsidRPr="00B723AF">
        <w:t>ies</w:t>
      </w:r>
      <w:proofErr w:type="spellEnd"/>
      <w:r w:rsidR="001C71F8" w:rsidRPr="00B723AF">
        <w:t>) and affiliated entity(</w:t>
      </w:r>
      <w:proofErr w:type="spellStart"/>
      <w:r w:rsidR="001C71F8" w:rsidRPr="00B723AF">
        <w:t>ies</w:t>
      </w:r>
      <w:proofErr w:type="spellEnd"/>
      <w:r w:rsidR="001C71F8" w:rsidRPr="00B723AF">
        <w:t>)</w:t>
      </w:r>
      <w:r w:rsidR="00F12EEA" w:rsidRPr="00B723AF">
        <w:t>;</w:t>
      </w:r>
    </w:p>
    <w:p w14:paraId="45640A54" w14:textId="77777777" w:rsidR="00BF7060" w:rsidRDefault="00680EB5" w:rsidP="00BA6979">
      <w:pPr>
        <w:ind w:firstLine="720"/>
      </w:pPr>
      <w:r>
        <w:t xml:space="preserve">(ii) </w:t>
      </w:r>
      <w:proofErr w:type="gramStart"/>
      <w:r w:rsidR="00463413" w:rsidRPr="00BA6979">
        <w:t>one</w:t>
      </w:r>
      <w:proofErr w:type="gramEnd"/>
      <w:r w:rsidR="00463413" w:rsidRPr="00BA6979">
        <w:t xml:space="preserve"> or more simplified cost options</w:t>
      </w:r>
      <w:r w:rsidR="00BF7E1C">
        <w:t xml:space="preserve"> (see below)</w:t>
      </w:r>
      <w:r w:rsidR="00B17D2F" w:rsidRPr="00BA6979">
        <w:t>.</w:t>
      </w:r>
    </w:p>
    <w:p w14:paraId="29ED1B59" w14:textId="77777777" w:rsidR="006224E4" w:rsidRPr="00BA6979" w:rsidRDefault="006224E4" w:rsidP="00BA6979">
      <w:pPr>
        <w:spacing w:before="240"/>
      </w:pPr>
      <w:r w:rsidRPr="00807DAF">
        <w:t xml:space="preserve">Only ‘eligible costs’ can be covered by a grant. The categories of costs that are eligible and non-eligible are indicated below. The budget is both a cost estimate and an overall ceiling for ‘eligible costs’. </w:t>
      </w:r>
    </w:p>
    <w:p w14:paraId="083EEF37" w14:textId="77777777" w:rsidR="00BF7060" w:rsidRPr="00BA6979" w:rsidRDefault="00BF7060" w:rsidP="00BF7060">
      <w:pPr>
        <w:rPr>
          <w:b/>
        </w:rPr>
      </w:pPr>
      <w:r w:rsidRPr="00BA6979">
        <w:t>Simplified cost options may take the form of:</w:t>
      </w:r>
    </w:p>
    <w:p w14:paraId="716BC833" w14:textId="77777777" w:rsidR="00BF7060" w:rsidRPr="00BA6979" w:rsidRDefault="00BF7060" w:rsidP="000E75FE">
      <w:pPr>
        <w:numPr>
          <w:ilvl w:val="0"/>
          <w:numId w:val="16"/>
        </w:numPr>
      </w:pPr>
      <w:proofErr w:type="gramStart"/>
      <w:r w:rsidRPr="00BA6979">
        <w:rPr>
          <w:b/>
        </w:rPr>
        <w:t>unit</w:t>
      </w:r>
      <w:proofErr w:type="gramEnd"/>
      <w:r w:rsidRPr="00BA6979">
        <w:rPr>
          <w:b/>
        </w:rPr>
        <w:t xml:space="preserve"> costs:</w:t>
      </w:r>
      <w:r w:rsidRPr="00BA6979">
        <w:t xml:space="preserve"> covering all or certain specific categories of eligible costs which are clearly identified in advance by reference to an </w:t>
      </w:r>
      <w:r w:rsidRPr="00BA6979">
        <w:rPr>
          <w:u w:val="single"/>
        </w:rPr>
        <w:t>amount per unit</w:t>
      </w:r>
      <w:r w:rsidRPr="00BA6979">
        <w:t>.</w:t>
      </w:r>
    </w:p>
    <w:p w14:paraId="4EEC47B5" w14:textId="77777777" w:rsidR="00BF7060" w:rsidRPr="00BA6979" w:rsidRDefault="00BF7060" w:rsidP="000E75FE">
      <w:pPr>
        <w:numPr>
          <w:ilvl w:val="0"/>
          <w:numId w:val="16"/>
        </w:numPr>
      </w:pPr>
      <w:proofErr w:type="gramStart"/>
      <w:r w:rsidRPr="00BA6979">
        <w:rPr>
          <w:b/>
        </w:rPr>
        <w:t>lump</w:t>
      </w:r>
      <w:proofErr w:type="gramEnd"/>
      <w:r w:rsidRPr="00BA6979">
        <w:rPr>
          <w:b/>
        </w:rPr>
        <w:t xml:space="preserve"> sums: </w:t>
      </w:r>
      <w:r w:rsidRPr="00BA6979">
        <w:t xml:space="preserve">covering in </w:t>
      </w:r>
      <w:r w:rsidRPr="00BA6979">
        <w:rPr>
          <w:u w:val="single"/>
        </w:rPr>
        <w:t>global terms</w:t>
      </w:r>
      <w:r w:rsidRPr="00BA6979">
        <w:t xml:space="preserve"> all or certain specific categories of eligible costs which are clearly identified in advance.</w:t>
      </w:r>
    </w:p>
    <w:p w14:paraId="5987DC45" w14:textId="77777777" w:rsidR="006A3B4C" w:rsidRPr="00BA6979" w:rsidRDefault="00BF7060" w:rsidP="000E75FE">
      <w:pPr>
        <w:numPr>
          <w:ilvl w:val="0"/>
          <w:numId w:val="16"/>
        </w:numPr>
      </w:pPr>
      <w:proofErr w:type="gramStart"/>
      <w:r w:rsidRPr="00BA6979">
        <w:rPr>
          <w:b/>
        </w:rPr>
        <w:t>flat-rate</w:t>
      </w:r>
      <w:proofErr w:type="gramEnd"/>
      <w:r w:rsidRPr="00BA6979">
        <w:rPr>
          <w:b/>
        </w:rPr>
        <w:t xml:space="preserve"> financing: </w:t>
      </w:r>
      <w:r w:rsidRPr="00BA6979">
        <w:t xml:space="preserve">covering specific categories of eligible costs which are clearly identified in advance by </w:t>
      </w:r>
      <w:r w:rsidRPr="00BA6979">
        <w:rPr>
          <w:u w:val="single"/>
        </w:rPr>
        <w:t>applying a percentage</w:t>
      </w:r>
      <w:r w:rsidRPr="00BA6979">
        <w:t xml:space="preserve"> fixed ex ante.</w:t>
      </w:r>
    </w:p>
    <w:p w14:paraId="21E4D5AB" w14:textId="38A25898" w:rsidR="00BF7060" w:rsidRPr="00772CBC" w:rsidRDefault="00BF7060" w:rsidP="00F53E16">
      <w:r w:rsidRPr="00BA6979">
        <w:t>Simplified costs options (</w:t>
      </w:r>
      <w:proofErr w:type="spellStart"/>
      <w:r w:rsidRPr="00BA6979">
        <w:t>SCOs</w:t>
      </w:r>
      <w:proofErr w:type="spellEnd"/>
      <w:r w:rsidRPr="00BA6979">
        <w:t xml:space="preserve">) </w:t>
      </w:r>
      <w:r w:rsidR="00D27707">
        <w:t xml:space="preserve">which can be proposed </w:t>
      </w:r>
      <w:r w:rsidRPr="00BA6979">
        <w:t>are</w:t>
      </w:r>
      <w:r w:rsidR="00D27707">
        <w:t xml:space="preserve"> the following</w:t>
      </w:r>
      <w:r w:rsidRPr="00BA6979">
        <w:t>:</w:t>
      </w:r>
    </w:p>
    <w:p w14:paraId="62E5D2A4" w14:textId="77777777" w:rsidR="00BF7060" w:rsidRPr="00BA6979" w:rsidRDefault="00BF7060" w:rsidP="00BF7060">
      <w:r w:rsidRPr="00BA6979">
        <w:t>"</w:t>
      </w:r>
      <w:proofErr w:type="gramStart"/>
      <w:r w:rsidRPr="00BA6979">
        <w:t>output</w:t>
      </w:r>
      <w:proofErr w:type="gramEnd"/>
      <w:r w:rsidRPr="00BA6979">
        <w:t xml:space="preserve"> or result based </w:t>
      </w:r>
      <w:proofErr w:type="spellStart"/>
      <w:r w:rsidRPr="00BA6979">
        <w:t>SCOs</w:t>
      </w:r>
      <w:proofErr w:type="spellEnd"/>
      <w:r w:rsidRPr="00BA6979">
        <w:t xml:space="preserve">": </w:t>
      </w:r>
      <w:r w:rsidR="00D27707">
        <w:t>they include</w:t>
      </w:r>
      <w:r w:rsidR="00D27707" w:rsidRPr="00BA6979" w:rsidDel="00D27707">
        <w:t xml:space="preserve"> </w:t>
      </w:r>
      <w:r w:rsidRPr="00BA6979">
        <w:t>costs linked to outputs, results, activities, deliverables in the framework of a specific project (for example the determination of a lump sum for the organization of a conference, or for the realisation of a determined output/activity). Where possible and appropriate, lump sums</w:t>
      </w:r>
      <w:r w:rsidR="00D27707">
        <w:t xml:space="preserve"> or</w:t>
      </w:r>
      <w:r w:rsidRPr="00BA6979">
        <w:t xml:space="preserve"> unit costs shall be determined in such a way to allow their payment upon achievement of concrete outputs and/or results. This type of </w:t>
      </w:r>
      <w:proofErr w:type="spellStart"/>
      <w:r w:rsidRPr="00BA6979">
        <w:t>SCO</w:t>
      </w:r>
      <w:proofErr w:type="spellEnd"/>
      <w:r w:rsidRPr="00BA6979">
        <w:t xml:space="preserve"> can be proposed by the </w:t>
      </w:r>
      <w:r w:rsidR="00561FCF">
        <w:t>b</w:t>
      </w:r>
      <w:r w:rsidRPr="00BA6979">
        <w:t>eneficiary (no threshold is applicable) at proposal's stage</w:t>
      </w:r>
      <w:r w:rsidR="00561FCF">
        <w:t xml:space="preserve"> (in </w:t>
      </w:r>
      <w:r w:rsidR="00561FCF" w:rsidRPr="00B37A33">
        <w:rPr>
          <w:szCs w:val="22"/>
        </w:rPr>
        <w:t>Annex A.2 – Grant application form – Full application</w:t>
      </w:r>
      <w:r w:rsidR="00561FCF">
        <w:rPr>
          <w:szCs w:val="22"/>
        </w:rPr>
        <w:t>)</w:t>
      </w:r>
      <w:r w:rsidRPr="00BA6979">
        <w:t>. In case the e</w:t>
      </w:r>
      <w:r w:rsidR="00C14F69" w:rsidRPr="00BA6979">
        <w:t xml:space="preserve">valuation committee </w:t>
      </w:r>
      <w:r w:rsidR="00561FCF">
        <w:t>is</w:t>
      </w:r>
      <w:r w:rsidRPr="00BA6979">
        <w:t xml:space="preserve"> not satisfied with the quality of the justification provided reimbursement on the basis of actually incurred costs is always possible.</w:t>
      </w:r>
    </w:p>
    <w:p w14:paraId="25CECF65" w14:textId="77777777" w:rsidR="00633C06" w:rsidRPr="00ED7CB2" w:rsidRDefault="00A02946" w:rsidP="0068216F">
      <w:r w:rsidRPr="00BA6979">
        <w:t xml:space="preserve">Refer to </w:t>
      </w:r>
      <w:r w:rsidR="007E5576" w:rsidRPr="00BA6979">
        <w:t xml:space="preserve">Annex </w:t>
      </w:r>
      <w:r w:rsidR="00826F51">
        <w:t>K</w:t>
      </w:r>
      <w:r w:rsidR="007E5576" w:rsidRPr="00BA6979">
        <w:t xml:space="preserve"> </w:t>
      </w:r>
      <w:r w:rsidRPr="00BA6979">
        <w:t>for</w:t>
      </w:r>
      <w:r w:rsidR="007E5576" w:rsidRPr="00BA6979">
        <w:t xml:space="preserve"> </w:t>
      </w:r>
      <w:r w:rsidR="00286739" w:rsidRPr="00BA6979">
        <w:t xml:space="preserve">the details of the procedure to be followed depending on the type and amount of the costs to be declared as </w:t>
      </w:r>
      <w:proofErr w:type="spellStart"/>
      <w:r w:rsidR="00286739" w:rsidRPr="00BA6979">
        <w:t>SCO</w:t>
      </w:r>
      <w:proofErr w:type="spellEnd"/>
      <w:r w:rsidR="00286739" w:rsidRPr="00BA6979">
        <w:t>.</w:t>
      </w:r>
    </w:p>
    <w:p w14:paraId="09F72C2A" w14:textId="77777777" w:rsidR="0080592F" w:rsidRPr="00BA6979" w:rsidRDefault="00466C25" w:rsidP="0068216F">
      <w:r w:rsidRPr="00BA6979">
        <w:t>A</w:t>
      </w:r>
      <w:r w:rsidR="0080592F" w:rsidRPr="00BA6979">
        <w:t>pplicant</w:t>
      </w:r>
      <w:r w:rsidRPr="00BA6979">
        <w:t>s</w:t>
      </w:r>
      <w:r w:rsidR="0080592F" w:rsidRPr="00BA6979">
        <w:t xml:space="preserve"> proposing this form of reimbursement, must clearly indicate in worksheet no.1 of Annex B, each heading/item  of eligible costs concerned by this type of financing, i.e. add the reference in capital letters to </w:t>
      </w:r>
      <w:r w:rsidR="000D7ACD" w:rsidRPr="000275A9">
        <w:t>‘</w:t>
      </w:r>
      <w:r w:rsidR="0080592F" w:rsidRPr="00BA6979">
        <w:t xml:space="preserve">UNIT </w:t>
      </w:r>
      <w:r w:rsidR="007D1451" w:rsidRPr="00BA6979">
        <w:t>COST</w:t>
      </w:r>
      <w:r w:rsidR="000D7ACD" w:rsidRPr="000275A9">
        <w:t>’</w:t>
      </w:r>
      <w:r w:rsidR="0080592F" w:rsidRPr="00BA6979">
        <w:t xml:space="preserve">, </w:t>
      </w:r>
      <w:r w:rsidR="000D7ACD" w:rsidRPr="000275A9">
        <w:t>‘</w:t>
      </w:r>
      <w:proofErr w:type="spellStart"/>
      <w:r w:rsidR="0080592F" w:rsidRPr="00BA6979">
        <w:t>LUMPSUM</w:t>
      </w:r>
      <w:proofErr w:type="spellEnd"/>
      <w:r w:rsidR="000D7ACD" w:rsidRPr="000275A9">
        <w:t>’</w:t>
      </w:r>
      <w:r w:rsidR="00D27707">
        <w:t xml:space="preserve"> </w:t>
      </w:r>
      <w:r w:rsidR="0080592F" w:rsidRPr="00BA6979">
        <w:t xml:space="preserve">in the Unit column (see example in Annex </w:t>
      </w:r>
      <w:r w:rsidR="00826F51">
        <w:t>K</w:t>
      </w:r>
      <w:r w:rsidR="0080592F" w:rsidRPr="00BA6979">
        <w:t>)</w:t>
      </w:r>
      <w:r w:rsidR="004E2364" w:rsidRPr="00BA6979">
        <w:t>.</w:t>
      </w:r>
      <w:r w:rsidR="00C14F69" w:rsidRPr="00BA6979">
        <w:t xml:space="preserve"> </w:t>
      </w:r>
    </w:p>
    <w:p w14:paraId="6A65EBE5" w14:textId="77777777" w:rsidR="00E47803" w:rsidRPr="00BA6979" w:rsidRDefault="00E47803" w:rsidP="0068216F">
      <w:r w:rsidRPr="00BA6979">
        <w:t xml:space="preserve">Additionally in Annex </w:t>
      </w:r>
      <w:r w:rsidR="001C71F8" w:rsidRPr="00BA6979">
        <w:t>B</w:t>
      </w:r>
      <w:r w:rsidRPr="00BA6979">
        <w:t xml:space="preserve">, in the second column of worksheet no.2, </w:t>
      </w:r>
      <w:r w:rsidR="000D7ACD" w:rsidRPr="000275A9">
        <w:t>‘</w:t>
      </w:r>
      <w:r w:rsidRPr="00BA6979">
        <w:t>Justification of the estimated costs</w:t>
      </w:r>
      <w:r w:rsidR="000D7ACD" w:rsidRPr="000275A9">
        <w:t>’</w:t>
      </w:r>
      <w:r w:rsidRPr="00BA6979">
        <w:t xml:space="preserve"> per each of the corresponding budget item or heading applicant</w:t>
      </w:r>
      <w:r w:rsidR="00466C25" w:rsidRPr="00BA6979">
        <w:t>s</w:t>
      </w:r>
      <w:r w:rsidRPr="00BA6979">
        <w:t xml:space="preserve"> must:</w:t>
      </w:r>
    </w:p>
    <w:p w14:paraId="6317A993" w14:textId="77777777" w:rsidR="00E47803" w:rsidRPr="00BA6979" w:rsidRDefault="00E47803" w:rsidP="000E75FE">
      <w:pPr>
        <w:numPr>
          <w:ilvl w:val="0"/>
          <w:numId w:val="17"/>
        </w:numPr>
      </w:pPr>
      <w:r w:rsidRPr="00BA6979">
        <w:t>describe the information and methods used to establish the amounts of unit costs</w:t>
      </w:r>
      <w:r w:rsidR="00D27707">
        <w:t xml:space="preserve"> and/or</w:t>
      </w:r>
      <w:r w:rsidR="00D27707" w:rsidRPr="00BA6979">
        <w:t xml:space="preserve"> </w:t>
      </w:r>
      <w:r w:rsidRPr="00BA6979">
        <w:t>lump sums, to which costs they refer</w:t>
      </w:r>
      <w:r w:rsidR="0090351E" w:rsidRPr="00BA6979">
        <w:t xml:space="preserve">, </w:t>
      </w:r>
      <w:proofErr w:type="spellStart"/>
      <w:r w:rsidR="0090351E" w:rsidRPr="00BA6979">
        <w:t>etc</w:t>
      </w:r>
      <w:proofErr w:type="spellEnd"/>
      <w:r w:rsidR="006A3B4C" w:rsidRPr="00BA6979">
        <w:t xml:space="preserve"> for output or result based </w:t>
      </w:r>
      <w:proofErr w:type="spellStart"/>
      <w:r w:rsidR="006A3B4C" w:rsidRPr="00BA6979">
        <w:t>SCO</w:t>
      </w:r>
      <w:proofErr w:type="spellEnd"/>
      <w:r w:rsidR="00AD295A">
        <w:t>;</w:t>
      </w:r>
    </w:p>
    <w:p w14:paraId="1DD15022" w14:textId="77777777" w:rsidR="00765310" w:rsidRPr="00BA6979" w:rsidRDefault="00E47803" w:rsidP="000E75FE">
      <w:pPr>
        <w:numPr>
          <w:ilvl w:val="0"/>
          <w:numId w:val="17"/>
        </w:numPr>
      </w:pPr>
      <w:proofErr w:type="gramStart"/>
      <w:r w:rsidRPr="00BA6979">
        <w:t>clearly</w:t>
      </w:r>
      <w:proofErr w:type="gramEnd"/>
      <w:r w:rsidRPr="00BA6979">
        <w:t xml:space="preserve"> explain the formulas for calculation of the final eligible amount</w:t>
      </w:r>
      <w:r w:rsidR="00B9110E" w:rsidRPr="00BA6979">
        <w:t xml:space="preserve"> for output or result based </w:t>
      </w:r>
      <w:proofErr w:type="spellStart"/>
      <w:r w:rsidR="00B9110E" w:rsidRPr="00BA6979">
        <w:t>SCO</w:t>
      </w:r>
      <w:proofErr w:type="spellEnd"/>
      <w:r w:rsidR="00765310" w:rsidRPr="00BA6979">
        <w:t>.</w:t>
      </w:r>
    </w:p>
    <w:p w14:paraId="01FBF921" w14:textId="77777777" w:rsidR="006A7D36" w:rsidRPr="00BA6979" w:rsidRDefault="00C14F69" w:rsidP="0068216F">
      <w:r w:rsidRPr="00BA6979">
        <w:t xml:space="preserve">In case of output or result based </w:t>
      </w:r>
      <w:proofErr w:type="spellStart"/>
      <w:r w:rsidRPr="00BA6979">
        <w:t>SCOs</w:t>
      </w:r>
      <w:proofErr w:type="spellEnd"/>
      <w:r w:rsidRPr="00BA6979">
        <w:t xml:space="preserve"> the evaluation committee </w:t>
      </w:r>
      <w:r w:rsidR="006A7D36" w:rsidRPr="00BA6979">
        <w:t>decide</w:t>
      </w:r>
      <w:r w:rsidR="00920123">
        <w:t>s</w:t>
      </w:r>
      <w:r w:rsidR="006A7D36" w:rsidRPr="00BA6979">
        <w:t xml:space="preserve"> whether to accept the proposed amounts or rates on the basis of the provisional budget submitted by the applicant</w:t>
      </w:r>
      <w:r w:rsidR="002C706C" w:rsidRPr="00BA6979">
        <w:t>s</w:t>
      </w:r>
      <w:r w:rsidR="006A7D36" w:rsidRPr="00BA6979">
        <w:t>, by analysing factual data of grants carried out by the applicant</w:t>
      </w:r>
      <w:r w:rsidR="002C706C" w:rsidRPr="00BA6979">
        <w:t>s</w:t>
      </w:r>
      <w:r w:rsidR="006A7D36" w:rsidRPr="00BA6979">
        <w:t xml:space="preserve"> or of similar actions</w:t>
      </w:r>
      <w:r w:rsidR="00BC4203" w:rsidRPr="00BA6979">
        <w:t>.</w:t>
      </w:r>
      <w:r w:rsidRPr="00BA6979">
        <w:t xml:space="preserve"> In case the evaluation committee </w:t>
      </w:r>
      <w:r w:rsidR="00261596">
        <w:t>is</w:t>
      </w:r>
      <w:r w:rsidRPr="00BA6979">
        <w:t xml:space="preserve"> not satisfied with the quality of the justification provided reimbursement on the basis of actually incurred costs is always possible.</w:t>
      </w:r>
    </w:p>
    <w:p w14:paraId="3A91131F" w14:textId="77777777" w:rsidR="0069482E" w:rsidRDefault="00C14F69" w:rsidP="0068216F">
      <w:r w:rsidRPr="00BA6979">
        <w:t>No threshold is set ex-ante for t</w:t>
      </w:r>
      <w:r w:rsidR="006A7D36" w:rsidRPr="00BA6979">
        <w:t xml:space="preserve">he total amount of financing that can be authorised by the </w:t>
      </w:r>
      <w:r w:rsidR="000D7ACD" w:rsidRPr="00BA6979">
        <w:t>c</w:t>
      </w:r>
      <w:r w:rsidR="006A7D36" w:rsidRPr="00BA6979">
        <w:t xml:space="preserve">ontracting </w:t>
      </w:r>
      <w:r w:rsidR="000D7ACD" w:rsidRPr="00BA6979">
        <w:t>a</w:t>
      </w:r>
      <w:r w:rsidR="006A7D36" w:rsidRPr="00BA6979">
        <w:t>uthority</w:t>
      </w:r>
      <w:r w:rsidRPr="00BA6979">
        <w:t xml:space="preserve"> on the basis of simplified cost options.</w:t>
      </w:r>
      <w:r w:rsidR="006A7D36" w:rsidRPr="00BA6979">
        <w:t xml:space="preserve"> </w:t>
      </w:r>
    </w:p>
    <w:p w14:paraId="6A976594" w14:textId="77777777" w:rsidR="0007408E" w:rsidRPr="00BA6979" w:rsidRDefault="0007408E" w:rsidP="0068216F">
      <w:r w:rsidRPr="00BA6979">
        <w:t>Recommendations to award a grant are always subject to the condition that the check</w:t>
      </w:r>
      <w:r w:rsidR="002E38E4" w:rsidRPr="00BA6979">
        <w:t>s</w:t>
      </w:r>
      <w:r w:rsidRPr="00BA6979">
        <w:t xml:space="preserve"> preced</w:t>
      </w:r>
      <w:r w:rsidR="002E38E4" w:rsidRPr="00BA6979">
        <w:t>ing</w:t>
      </w:r>
      <w:r w:rsidRPr="00BA6979">
        <w:t xml:space="preserve"> the signing of the </w:t>
      </w:r>
      <w:r w:rsidR="00466C25" w:rsidRPr="00BA6979">
        <w:t>g</w:t>
      </w:r>
      <w:r w:rsidR="004F6678" w:rsidRPr="00BA6979">
        <w:t xml:space="preserve">rant </w:t>
      </w:r>
      <w:r w:rsidR="00466C25" w:rsidRPr="00BA6979">
        <w:t>c</w:t>
      </w:r>
      <w:r w:rsidRPr="00BA6979">
        <w:t>ontract do not reveal problems requiring changes to the budget</w:t>
      </w:r>
      <w:r w:rsidR="00A52D95" w:rsidRPr="00BA6979">
        <w:t xml:space="preserve"> (</w:t>
      </w:r>
      <w:r w:rsidR="002E38E4" w:rsidRPr="00BA6979">
        <w:t>such as</w:t>
      </w:r>
      <w:r w:rsidR="00A52D95" w:rsidRPr="00BA6979">
        <w:t xml:space="preserve"> arithmetical errors, inaccuracies</w:t>
      </w:r>
      <w:r w:rsidR="000B1032" w:rsidRPr="00BA6979">
        <w:t>,</w:t>
      </w:r>
      <w:r w:rsidR="00A52D95" w:rsidRPr="00BA6979">
        <w:t xml:space="preserve"> unrealistic c</w:t>
      </w:r>
      <w:r w:rsidR="00D7610D" w:rsidRPr="00BA6979">
        <w:t>osts and ineligible costs</w:t>
      </w:r>
      <w:r w:rsidR="00A52D95" w:rsidRPr="00BA6979">
        <w:t>)</w:t>
      </w:r>
      <w:r w:rsidRPr="00BA6979">
        <w:t xml:space="preserve">. The checks may give rise to requests for clarification and may lead the </w:t>
      </w:r>
      <w:r w:rsidR="000D7ACD" w:rsidRPr="00BA6979">
        <w:t>c</w:t>
      </w:r>
      <w:r w:rsidRPr="00BA6979">
        <w:t xml:space="preserve">ontracting </w:t>
      </w:r>
      <w:r w:rsidR="000D7ACD" w:rsidRPr="00BA6979">
        <w:t>a</w:t>
      </w:r>
      <w:r w:rsidRPr="00BA6979">
        <w:t xml:space="preserve">uthority to impose </w:t>
      </w:r>
      <w:r w:rsidR="00CE18C9" w:rsidRPr="00BA6979">
        <w:t xml:space="preserve">modifications or </w:t>
      </w:r>
      <w:r w:rsidRPr="00BA6979">
        <w:t>reductions</w:t>
      </w:r>
      <w:r w:rsidR="00A52D95" w:rsidRPr="00BA6979">
        <w:t xml:space="preserve"> to address such mistakes or inaccuracies</w:t>
      </w:r>
      <w:r w:rsidRPr="00BA6979">
        <w:t>.</w:t>
      </w:r>
      <w:r w:rsidR="001870D3" w:rsidRPr="00BA6979">
        <w:t xml:space="preserve"> </w:t>
      </w:r>
      <w:r w:rsidR="000B1032" w:rsidRPr="00BA6979">
        <w:t xml:space="preserve">It is not possible to increase </w:t>
      </w:r>
      <w:r w:rsidR="00CE18C9" w:rsidRPr="00BA6979">
        <w:t xml:space="preserve">the </w:t>
      </w:r>
      <w:r w:rsidR="001870D3" w:rsidRPr="00BA6979">
        <w:t xml:space="preserve">grant </w:t>
      </w:r>
      <w:r w:rsidR="000B1032" w:rsidRPr="00BA6979">
        <w:t xml:space="preserve">or </w:t>
      </w:r>
      <w:r w:rsidR="00F278A6" w:rsidRPr="00BA6979">
        <w:t xml:space="preserve">the percentage of </w:t>
      </w:r>
      <w:r w:rsidR="006B5799" w:rsidRPr="00BA6979">
        <w:t xml:space="preserve">EU </w:t>
      </w:r>
      <w:r w:rsidR="00F278A6" w:rsidRPr="00BA6979">
        <w:t>co-financing as a result of these corrections</w:t>
      </w:r>
      <w:r w:rsidR="00FB2666" w:rsidRPr="00BA6979">
        <w:t>.</w:t>
      </w:r>
    </w:p>
    <w:p w14:paraId="4D20BD06" w14:textId="77777777" w:rsidR="0007408E" w:rsidRPr="00BA6979" w:rsidRDefault="0007408E" w:rsidP="0068216F">
      <w:r w:rsidRPr="00BA6979">
        <w:t>It is therefore in the applicants</w:t>
      </w:r>
      <w:r w:rsidR="00466C25" w:rsidRPr="00BA6979">
        <w:t>'</w:t>
      </w:r>
      <w:r w:rsidRPr="00BA6979">
        <w:t xml:space="preserve"> interest to provide a </w:t>
      </w:r>
      <w:r w:rsidRPr="00BA6979">
        <w:rPr>
          <w:b/>
        </w:rPr>
        <w:t>realistic and cost-effective budget</w:t>
      </w:r>
      <w:r w:rsidRPr="00BA6979">
        <w:t>.</w:t>
      </w:r>
    </w:p>
    <w:p w14:paraId="7C007C59" w14:textId="77777777" w:rsidR="003639B6" w:rsidRPr="00BA6979" w:rsidRDefault="003639B6" w:rsidP="003639B6">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BA6979" w14:paraId="14524880" w14:textId="77777777" w:rsidTr="00946650">
        <w:tc>
          <w:tcPr>
            <w:tcW w:w="9854" w:type="dxa"/>
          </w:tcPr>
          <w:p w14:paraId="39AF551F" w14:textId="77777777" w:rsidR="00946650" w:rsidRPr="00BA6979" w:rsidRDefault="00946650" w:rsidP="00946650">
            <w:pPr>
              <w:tabs>
                <w:tab w:val="left" w:pos="993"/>
              </w:tabs>
            </w:pPr>
            <w:r w:rsidRPr="00BA6979">
              <w:t>The grant may take the form of a single lump-sum covering the entire eligible costs of an action or a work programme.</w:t>
            </w:r>
          </w:p>
          <w:p w14:paraId="16616A98" w14:textId="77777777" w:rsidR="00946650" w:rsidRPr="00BA6979" w:rsidRDefault="00946650" w:rsidP="00BA6979">
            <w:pPr>
              <w:tabs>
                <w:tab w:val="left" w:pos="993"/>
              </w:tabs>
            </w:pPr>
            <w:r w:rsidRPr="00BA6979">
              <w:t>Single lump sums may be determined on the basis of the estimated budget, which should comply with the principles of economy, efficiency and effectiveness. Compliance with these principles shall be verified ex ante at the time of evaluation of the grant application.</w:t>
            </w:r>
          </w:p>
          <w:p w14:paraId="32430503" w14:textId="77777777" w:rsidR="00946650" w:rsidRPr="00BA6979" w:rsidRDefault="00946650" w:rsidP="00BA6979">
            <w:pPr>
              <w:tabs>
                <w:tab w:val="left" w:pos="993"/>
              </w:tabs>
            </w:pPr>
            <w:r w:rsidRPr="00BA6979">
              <w:t xml:space="preserve">When authorising single lump sums the authorising officer responsible shall comply with the conditions applicable to </w:t>
            </w:r>
            <w:r w:rsidR="00C14F69" w:rsidRPr="00BA6979">
              <w:t xml:space="preserve">output or result based </w:t>
            </w:r>
            <w:proofErr w:type="spellStart"/>
            <w:r w:rsidR="00C14F69" w:rsidRPr="00BA6979">
              <w:t>SCOs</w:t>
            </w:r>
            <w:proofErr w:type="spellEnd"/>
            <w:r w:rsidR="00C14F69" w:rsidRPr="00BA6979">
              <w:t xml:space="preserve">. </w:t>
            </w:r>
          </w:p>
          <w:p w14:paraId="50241BFB" w14:textId="77777777" w:rsidR="00946650" w:rsidRPr="00BA6979" w:rsidRDefault="00946650" w:rsidP="00BA6979">
            <w:pPr>
              <w:tabs>
                <w:tab w:val="left" w:pos="993"/>
              </w:tabs>
              <w:rPr>
                <w:b/>
              </w:rPr>
            </w:pPr>
            <w:r w:rsidRPr="00BA6979">
              <w:t xml:space="preserve">When using this form of financing, the </w:t>
            </w:r>
            <w:r w:rsidR="000D7ACD" w:rsidRPr="00BA6979">
              <w:t>d</w:t>
            </w:r>
            <w:r w:rsidRPr="00BA6979">
              <w:t xml:space="preserve">escription of the </w:t>
            </w:r>
            <w:r w:rsidR="000D7ACD" w:rsidRPr="00BA6979">
              <w:t>a</w:t>
            </w:r>
            <w:r w:rsidRPr="00BA6979">
              <w:t xml:space="preserve">ction shall include detailed information on the essential conditions triggering the payment, including, where applicable, the achievement of outputs and/or results. </w:t>
            </w:r>
          </w:p>
        </w:tc>
      </w:tr>
    </w:tbl>
    <w:p w14:paraId="33B40196" w14:textId="77777777" w:rsidR="00946650" w:rsidRPr="00F53E16" w:rsidRDefault="00946650" w:rsidP="00946650">
      <w:pPr>
        <w:rPr>
          <w:u w:val="single"/>
        </w:rPr>
      </w:pPr>
    </w:p>
    <w:p w14:paraId="6E45A068" w14:textId="77777777" w:rsidR="0007408E" w:rsidRPr="00807DAF" w:rsidRDefault="0007408E" w:rsidP="0068216F">
      <w:pPr>
        <w:rPr>
          <w:u w:val="single"/>
        </w:rPr>
      </w:pPr>
      <w:r w:rsidRPr="00807DAF">
        <w:rPr>
          <w:u w:val="single"/>
        </w:rPr>
        <w:t>Eligible direct costs</w:t>
      </w:r>
    </w:p>
    <w:p w14:paraId="0027A6C7" w14:textId="77777777" w:rsidR="0007408E" w:rsidRPr="00807DAF" w:rsidRDefault="0007408E" w:rsidP="0068216F">
      <w:r w:rsidRPr="00807DAF">
        <w:t>To be eligible under th</w:t>
      </w:r>
      <w:r w:rsidR="002C706C">
        <w:t>is</w:t>
      </w:r>
      <w:r w:rsidRPr="00807DAF">
        <w:t xml:space="preserve"> </w:t>
      </w:r>
      <w:r w:rsidR="00466C25">
        <w:t>c</w:t>
      </w:r>
      <w:r w:rsidRPr="00807DAF">
        <w:t xml:space="preserve">all for </w:t>
      </w:r>
      <w:r w:rsidR="00466C25">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w:t>
      </w:r>
      <w:r w:rsidR="000D7ACD">
        <w:t>g</w:t>
      </w:r>
      <w:r w:rsidR="001870D3" w:rsidRPr="00807DAF">
        <w:t xml:space="preserve">eneral </w:t>
      </w:r>
      <w:r w:rsidR="000D7ACD">
        <w:t>c</w:t>
      </w:r>
      <w:r w:rsidR="001870D3" w:rsidRPr="00807DAF">
        <w:t xml:space="preserve">onditions to the </w:t>
      </w:r>
      <w:r w:rsidR="00466C25">
        <w:t>standard g</w:t>
      </w:r>
      <w:r w:rsidR="001870D3" w:rsidRPr="00807DAF">
        <w:t xml:space="preserve">rant </w:t>
      </w:r>
      <w:r w:rsidR="00466C25">
        <w:t>c</w:t>
      </w:r>
      <w:r w:rsidR="001870D3" w:rsidRPr="00807DAF">
        <w:t xml:space="preserve">ontract </w:t>
      </w:r>
      <w:r w:rsidR="00F06CB4" w:rsidRPr="00807DAF">
        <w:t xml:space="preserve">(see Annex </w:t>
      </w:r>
      <w:r w:rsidR="00826F51">
        <w:t>G</w:t>
      </w:r>
      <w:r w:rsidR="00AD295A">
        <w:t xml:space="preserve"> </w:t>
      </w:r>
      <w:r w:rsidR="004A51E9" w:rsidRPr="00807DAF">
        <w:t xml:space="preserve">of the </w:t>
      </w:r>
      <w:r w:rsidR="00466C25">
        <w:t>g</w:t>
      </w:r>
      <w:r w:rsidR="004A51E9" w:rsidRPr="00807DAF">
        <w:t>uidelines</w:t>
      </w:r>
      <w:r w:rsidR="00CE18C9" w:rsidRPr="00807DAF">
        <w:t>).</w:t>
      </w:r>
    </w:p>
    <w:p w14:paraId="16FC0F14" w14:textId="77777777" w:rsidR="007034C6" w:rsidRPr="00807DAF" w:rsidRDefault="007034C6" w:rsidP="0068216F">
      <w:pPr>
        <w:rPr>
          <w:u w:val="single"/>
        </w:rPr>
      </w:pPr>
      <w:r w:rsidRPr="00807DAF">
        <w:rPr>
          <w:u w:val="single"/>
        </w:rPr>
        <w:t>Contingency reserve</w:t>
      </w:r>
    </w:p>
    <w:p w14:paraId="5EDB2763" w14:textId="77777777" w:rsidR="007034C6" w:rsidRPr="00807DAF"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can only be used with the </w:t>
      </w:r>
      <w:r w:rsidR="007034C6" w:rsidRPr="00807DAF">
        <w:rPr>
          <w:b/>
        </w:rPr>
        <w:t>prior written</w:t>
      </w:r>
      <w:r w:rsidR="007034C6" w:rsidRPr="00807DAF">
        <w:t xml:space="preserve"> </w:t>
      </w:r>
      <w:r w:rsidR="007034C6" w:rsidRPr="00807DAF">
        <w:rPr>
          <w:b/>
        </w:rPr>
        <w:t>authorisation</w:t>
      </w:r>
      <w:r w:rsidR="007034C6" w:rsidRPr="00807DAF">
        <w:t xml:space="preserve"> of the </w:t>
      </w:r>
      <w:r w:rsidR="000D7ACD">
        <w:t>c</w:t>
      </w:r>
      <w:r w:rsidR="007034C6" w:rsidRPr="00807DAF">
        <w:t xml:space="preserve">ontracting </w:t>
      </w:r>
      <w:r w:rsidR="000D7ACD">
        <w:t>a</w:t>
      </w:r>
      <w:r w:rsidR="007034C6" w:rsidRPr="00807DAF">
        <w:t>uthority.</w:t>
      </w:r>
    </w:p>
    <w:p w14:paraId="1882F8DA" w14:textId="77777777" w:rsidR="0007408E" w:rsidRPr="00807DAF" w:rsidRDefault="0007408E" w:rsidP="0068216F">
      <w:pPr>
        <w:rPr>
          <w:u w:val="single"/>
        </w:rPr>
      </w:pPr>
      <w:r w:rsidRPr="00807DAF">
        <w:rPr>
          <w:u w:val="single"/>
        </w:rPr>
        <w:t>Eligible indirect costs</w:t>
      </w:r>
    </w:p>
    <w:p w14:paraId="73918EA5" w14:textId="77777777" w:rsidR="00460729" w:rsidRPr="00807DAF" w:rsidRDefault="00460729" w:rsidP="0068216F">
      <w:pPr>
        <w:rPr>
          <w:lang w:eastAsia="en-GB" w:bidi="kn-IN"/>
        </w:rPr>
      </w:pPr>
      <w:r w:rsidRPr="00807DAF">
        <w:rPr>
          <w:lang w:eastAsia="en-GB" w:bidi="kn-IN"/>
        </w:rPr>
        <w:t>The indirect costs incurred in carrying out the action may be eligible for flat-rate funding</w:t>
      </w:r>
      <w:r w:rsidR="00466510" w:rsidRPr="00807DAF">
        <w:rPr>
          <w:lang w:eastAsia="en-GB" w:bidi="kn-IN"/>
        </w:rPr>
        <w:t>,</w:t>
      </w:r>
      <w:r w:rsidRPr="00807DAF">
        <w:rPr>
          <w:lang w:eastAsia="en-GB" w:bidi="kn-IN"/>
        </w:rPr>
        <w:t xml:space="preserve"> </w:t>
      </w:r>
      <w:r w:rsidR="00B1674B" w:rsidRPr="00807DAF">
        <w:rPr>
          <w:lang w:eastAsia="en-GB" w:bidi="kn-IN"/>
        </w:rPr>
        <w:t>but the total must not exceed</w:t>
      </w:r>
      <w:r w:rsidRPr="00807DAF">
        <w:rPr>
          <w:lang w:eastAsia="en-GB" w:bidi="kn-IN"/>
        </w:rPr>
        <w:t xml:space="preserve"> 7</w:t>
      </w:r>
      <w:r w:rsidR="00A016F9" w:rsidRPr="00807DAF">
        <w:rPr>
          <w:w w:val="50"/>
          <w:lang w:eastAsia="en-GB" w:bidi="kn-IN"/>
        </w:rPr>
        <w:t> </w:t>
      </w:r>
      <w:r w:rsidRPr="00807DAF">
        <w:rPr>
          <w:lang w:eastAsia="en-GB" w:bidi="kn-IN"/>
        </w:rPr>
        <w:t>%</w:t>
      </w:r>
      <w:r w:rsidR="00EB3DA4" w:rsidRPr="00807DAF">
        <w:rPr>
          <w:lang w:eastAsia="en-GB" w:bidi="kn-IN"/>
        </w:rPr>
        <w:t xml:space="preserve"> </w:t>
      </w:r>
      <w:r w:rsidRPr="00807DAF">
        <w:rPr>
          <w:lang w:eastAsia="en-GB" w:bidi="kn-IN"/>
        </w:rPr>
        <w:t xml:space="preserve">of the </w:t>
      </w:r>
      <w:r w:rsidR="00584247" w:rsidRPr="00807DAF">
        <w:rPr>
          <w:lang w:eastAsia="en-GB" w:bidi="kn-IN"/>
        </w:rPr>
        <w:t xml:space="preserve">estimated </w:t>
      </w:r>
      <w:r w:rsidRPr="00807DAF">
        <w:rPr>
          <w:lang w:eastAsia="en-GB" w:bidi="kn-IN"/>
        </w:rPr>
        <w:t>total eligible direct costs</w:t>
      </w:r>
      <w:r w:rsidRPr="00807DAF">
        <w:rPr>
          <w:sz w:val="20"/>
          <w:lang w:eastAsia="en-GB" w:bidi="kn-IN"/>
        </w:rPr>
        <w:t>.</w:t>
      </w:r>
      <w:r w:rsidR="00E2380E" w:rsidRPr="00807DAF">
        <w:rPr>
          <w:sz w:val="20"/>
          <w:lang w:eastAsia="en-GB" w:bidi="kn-IN"/>
        </w:rPr>
        <w:t xml:space="preserve"> </w:t>
      </w:r>
      <w:r w:rsidR="00E2380E" w:rsidRPr="00807DAF">
        <w:rPr>
          <w:lang w:eastAsia="en-GB" w:bidi="kn-IN"/>
        </w:rPr>
        <w:t>Indirect costs are eligible provided that they do not include costs assigned to another</w:t>
      </w:r>
      <w:r w:rsidR="00B1674B" w:rsidRPr="00807DAF">
        <w:rPr>
          <w:lang w:eastAsia="en-GB" w:bidi="kn-IN"/>
        </w:rPr>
        <w:t xml:space="preserve"> budget</w:t>
      </w:r>
      <w:r w:rsidR="00E2380E" w:rsidRPr="00807DAF">
        <w:rPr>
          <w:lang w:eastAsia="en-GB" w:bidi="kn-IN"/>
        </w:rPr>
        <w:t xml:space="preserve"> heading </w:t>
      </w:r>
      <w:r w:rsidR="00B1674B" w:rsidRPr="00807DAF">
        <w:rPr>
          <w:lang w:eastAsia="en-GB" w:bidi="kn-IN"/>
        </w:rPr>
        <w:t>in</w:t>
      </w:r>
      <w:r w:rsidR="00450369" w:rsidRPr="00807DAF">
        <w:rPr>
          <w:lang w:eastAsia="en-GB" w:bidi="kn-IN"/>
        </w:rPr>
        <w:t xml:space="preserve"> the standard grant c</w:t>
      </w:r>
      <w:r w:rsidR="00E2380E" w:rsidRPr="00807DAF">
        <w:rPr>
          <w:lang w:eastAsia="en-GB" w:bidi="kn-IN"/>
        </w:rPr>
        <w:t xml:space="preserve">ontract. The </w:t>
      </w:r>
      <w:r w:rsidR="00B114D9">
        <w:rPr>
          <w:lang w:eastAsia="en-GB" w:bidi="kn-IN"/>
        </w:rPr>
        <w:t>lead a</w:t>
      </w:r>
      <w:r w:rsidR="00E2380E" w:rsidRPr="00807DAF">
        <w:rPr>
          <w:lang w:eastAsia="en-GB" w:bidi="kn-IN"/>
        </w:rPr>
        <w:t xml:space="preserve">pplicant may be asked to justify the percentage </w:t>
      </w:r>
      <w:r w:rsidR="00B1674B" w:rsidRPr="00807DAF">
        <w:rPr>
          <w:lang w:eastAsia="en-GB" w:bidi="kn-IN"/>
        </w:rPr>
        <w:t xml:space="preserve">requested </w:t>
      </w:r>
      <w:r w:rsidR="00E2380E" w:rsidRPr="00807DAF">
        <w:rPr>
          <w:lang w:eastAsia="en-GB" w:bidi="kn-IN"/>
        </w:rPr>
        <w:t xml:space="preserve">before </w:t>
      </w:r>
      <w:r w:rsidR="00B1674B" w:rsidRPr="00807DAF">
        <w:rPr>
          <w:lang w:eastAsia="en-GB" w:bidi="kn-IN"/>
        </w:rPr>
        <w:t xml:space="preserve">the </w:t>
      </w:r>
      <w:r w:rsidR="00466C25">
        <w:rPr>
          <w:lang w:eastAsia="en-GB" w:bidi="kn-IN"/>
        </w:rPr>
        <w:t>g</w:t>
      </w:r>
      <w:r w:rsidR="004F6678">
        <w:rPr>
          <w:lang w:eastAsia="en-GB" w:bidi="kn-IN"/>
        </w:rPr>
        <w:t xml:space="preserve">rant </w:t>
      </w:r>
      <w:r w:rsidR="00466C25">
        <w:rPr>
          <w:lang w:eastAsia="en-GB" w:bidi="kn-IN"/>
        </w:rPr>
        <w:t>c</w:t>
      </w:r>
      <w:r w:rsidR="00E2380E" w:rsidRPr="00807DAF">
        <w:rPr>
          <w:lang w:eastAsia="en-GB" w:bidi="kn-IN"/>
        </w:rPr>
        <w:t>ontract</w:t>
      </w:r>
      <w:r w:rsidR="00B1674B" w:rsidRPr="00807DAF">
        <w:rPr>
          <w:lang w:eastAsia="en-GB" w:bidi="kn-IN"/>
        </w:rPr>
        <w:t xml:space="preserve"> is signed</w:t>
      </w:r>
      <w:r w:rsidR="00E2380E" w:rsidRPr="00807DAF">
        <w:rPr>
          <w:lang w:eastAsia="en-GB" w:bidi="kn-IN"/>
        </w:rPr>
        <w:t>. However, once the flat</w:t>
      </w:r>
      <w:r w:rsidR="00B1674B" w:rsidRPr="00807DAF">
        <w:rPr>
          <w:lang w:eastAsia="en-GB" w:bidi="kn-IN"/>
        </w:rPr>
        <w:t xml:space="preserve"> </w:t>
      </w:r>
      <w:r w:rsidR="00E2380E" w:rsidRPr="00807DAF">
        <w:rPr>
          <w:lang w:eastAsia="en-GB" w:bidi="kn-IN"/>
        </w:rPr>
        <w:t>rate has been fixed in the</w:t>
      </w:r>
      <w:r w:rsidR="00450369" w:rsidRPr="00807DAF">
        <w:rPr>
          <w:lang w:eastAsia="en-GB" w:bidi="kn-IN"/>
        </w:rPr>
        <w:t xml:space="preserve"> </w:t>
      </w:r>
      <w:r w:rsidR="000D7ACD">
        <w:rPr>
          <w:lang w:eastAsia="en-GB" w:bidi="kn-IN"/>
        </w:rPr>
        <w:t>s</w:t>
      </w:r>
      <w:r w:rsidR="00450369" w:rsidRPr="00807DAF">
        <w:rPr>
          <w:lang w:eastAsia="en-GB" w:bidi="kn-IN"/>
        </w:rPr>
        <w:t xml:space="preserve">pecial </w:t>
      </w:r>
      <w:r w:rsidR="000D7ACD">
        <w:rPr>
          <w:lang w:eastAsia="en-GB" w:bidi="kn-IN"/>
        </w:rPr>
        <w:t>c</w:t>
      </w:r>
      <w:r w:rsidR="00450369" w:rsidRPr="00807DAF">
        <w:rPr>
          <w:lang w:eastAsia="en-GB" w:bidi="kn-IN"/>
        </w:rPr>
        <w:t xml:space="preserve">onditions of the </w:t>
      </w:r>
      <w:r w:rsidR="00466C25">
        <w:rPr>
          <w:lang w:eastAsia="en-GB" w:bidi="kn-IN"/>
        </w:rPr>
        <w:t>g</w:t>
      </w:r>
      <w:r w:rsidR="00450369" w:rsidRPr="00807DAF">
        <w:rPr>
          <w:lang w:eastAsia="en-GB" w:bidi="kn-IN"/>
        </w:rPr>
        <w:t>rant</w:t>
      </w:r>
      <w:r w:rsidR="00E2380E" w:rsidRPr="00807DAF">
        <w:rPr>
          <w:lang w:eastAsia="en-GB" w:bidi="kn-IN"/>
        </w:rPr>
        <w:t xml:space="preserve"> </w:t>
      </w:r>
      <w:r w:rsidR="00466C25">
        <w:rPr>
          <w:lang w:eastAsia="en-GB" w:bidi="kn-IN"/>
        </w:rPr>
        <w:t>c</w:t>
      </w:r>
      <w:r w:rsidR="00E2380E" w:rsidRPr="00807DAF">
        <w:rPr>
          <w:lang w:eastAsia="en-GB" w:bidi="kn-IN"/>
        </w:rPr>
        <w:t>ontract, no supporting documents need to be provided.</w:t>
      </w:r>
    </w:p>
    <w:p w14:paraId="321A4CC6" w14:textId="77777777" w:rsidR="00460729" w:rsidRPr="00807DAF" w:rsidRDefault="00460729" w:rsidP="0068216F">
      <w:pPr>
        <w:rPr>
          <w:lang w:eastAsia="en-GB" w:bidi="kn-IN"/>
        </w:rPr>
      </w:pPr>
      <w:r w:rsidRPr="00807DAF">
        <w:rPr>
          <w:lang w:eastAsia="en-GB" w:bidi="kn-IN"/>
        </w:rPr>
        <w:t xml:space="preserve">If </w:t>
      </w:r>
      <w:r w:rsidR="00A703F1" w:rsidRPr="00807DAF">
        <w:rPr>
          <w:lang w:eastAsia="en-GB" w:bidi="kn-IN"/>
        </w:rPr>
        <w:t>any of the</w:t>
      </w:r>
      <w:r w:rsidR="00705C17" w:rsidRPr="00807DAF">
        <w:rPr>
          <w:lang w:eastAsia="en-GB" w:bidi="kn-IN"/>
        </w:rPr>
        <w:t xml:space="preserve"> </w:t>
      </w:r>
      <w:r w:rsidRPr="00807DAF">
        <w:rPr>
          <w:lang w:eastAsia="en-GB" w:bidi="kn-IN"/>
        </w:rPr>
        <w:t>applicant</w:t>
      </w:r>
      <w:r w:rsidR="00A703F1" w:rsidRPr="00807DAF">
        <w:rPr>
          <w:lang w:eastAsia="en-GB" w:bidi="kn-IN"/>
        </w:rPr>
        <w:t>s</w:t>
      </w:r>
      <w:r w:rsidRPr="00807DAF">
        <w:rPr>
          <w:lang w:eastAsia="en-GB" w:bidi="kn-IN"/>
        </w:rPr>
        <w:t xml:space="preserve"> </w:t>
      </w:r>
      <w:r w:rsidR="00A703F1" w:rsidRPr="00807DAF">
        <w:rPr>
          <w:lang w:eastAsia="en-GB" w:bidi="kn-IN"/>
        </w:rPr>
        <w:t xml:space="preserve">or affiliated </w:t>
      </w:r>
      <w:proofErr w:type="gramStart"/>
      <w:r w:rsidR="00A703F1" w:rsidRPr="00807DAF">
        <w:rPr>
          <w:lang w:eastAsia="en-GB" w:bidi="kn-IN"/>
        </w:rPr>
        <w:t>entity(</w:t>
      </w:r>
      <w:proofErr w:type="spellStart"/>
      <w:proofErr w:type="gramEnd"/>
      <w:r w:rsidR="00A703F1" w:rsidRPr="00807DAF">
        <w:rPr>
          <w:lang w:eastAsia="en-GB" w:bidi="kn-IN"/>
        </w:rPr>
        <w:t>ies</w:t>
      </w:r>
      <w:proofErr w:type="spellEnd"/>
      <w:r w:rsidR="00A703F1" w:rsidRPr="00807DAF">
        <w:rPr>
          <w:lang w:eastAsia="en-GB" w:bidi="kn-IN"/>
        </w:rPr>
        <w:t xml:space="preserve">) </w:t>
      </w:r>
      <w:r w:rsidRPr="00807DAF">
        <w:rPr>
          <w:lang w:eastAsia="en-GB" w:bidi="kn-IN"/>
        </w:rPr>
        <w:t xml:space="preserve">is in receipt of an operating grant financed </w:t>
      </w:r>
      <w:r w:rsidR="00705C17" w:rsidRPr="00807DAF">
        <w:rPr>
          <w:lang w:eastAsia="en-GB" w:bidi="kn-IN"/>
        </w:rPr>
        <w:t xml:space="preserve">by </w:t>
      </w:r>
      <w:r w:rsidRPr="00807DAF">
        <w:rPr>
          <w:lang w:eastAsia="en-GB" w:bidi="kn-IN"/>
        </w:rPr>
        <w:t xml:space="preserve">the </w:t>
      </w:r>
      <w:r w:rsidR="00D65E10" w:rsidRPr="00807DAF">
        <w:rPr>
          <w:lang w:eastAsia="en-GB" w:bidi="kn-IN"/>
        </w:rPr>
        <w:t>EU</w:t>
      </w:r>
      <w:r w:rsidR="00601848" w:rsidRPr="00807DAF">
        <w:rPr>
          <w:lang w:eastAsia="en-GB" w:bidi="kn-IN"/>
        </w:rPr>
        <w:t xml:space="preserve">, </w:t>
      </w:r>
      <w:r w:rsidR="00705C17" w:rsidRPr="00807DAF">
        <w:rPr>
          <w:lang w:eastAsia="en-GB" w:bidi="kn-IN"/>
        </w:rPr>
        <w:t>it may not claim</w:t>
      </w:r>
      <w:r w:rsidRPr="00807DAF">
        <w:rPr>
          <w:lang w:eastAsia="en-GB" w:bidi="kn-IN"/>
        </w:rPr>
        <w:t xml:space="preserve"> indirect costs</w:t>
      </w:r>
      <w:r w:rsidR="00705C17" w:rsidRPr="00807DAF">
        <w:rPr>
          <w:lang w:eastAsia="en-GB" w:bidi="kn-IN"/>
        </w:rPr>
        <w:t xml:space="preserve"> on its incurred costs</w:t>
      </w:r>
      <w:r w:rsidR="00705C17" w:rsidRPr="00807DAF">
        <w:rPr>
          <w:color w:val="0000FF"/>
          <w:sz w:val="20"/>
          <w:lang w:eastAsia="en-GB" w:bidi="kn-IN"/>
        </w:rPr>
        <w:t xml:space="preserve"> </w:t>
      </w:r>
      <w:r w:rsidRPr="00807DAF">
        <w:rPr>
          <w:lang w:eastAsia="en-GB" w:bidi="kn-IN"/>
        </w:rPr>
        <w:t>within the proposed budget for the action.</w:t>
      </w:r>
    </w:p>
    <w:p w14:paraId="36001315" w14:textId="77777777" w:rsidR="0007408E" w:rsidRPr="00807DAF" w:rsidRDefault="0007408E" w:rsidP="0068216F">
      <w:pPr>
        <w:rPr>
          <w:u w:val="single"/>
        </w:rPr>
      </w:pPr>
      <w:r w:rsidRPr="00807DAF">
        <w:rPr>
          <w:u w:val="single"/>
        </w:rPr>
        <w:t>Contributions in kind</w:t>
      </w:r>
    </w:p>
    <w:p w14:paraId="3BE8ED96" w14:textId="77777777" w:rsidR="00844680" w:rsidRDefault="008A62F6" w:rsidP="0068216F">
      <w:r w:rsidRPr="00807DAF">
        <w:t xml:space="preserve">Contributions in kind mean the provision of goods or services to </w:t>
      </w:r>
      <w:r w:rsidR="000D61C6">
        <w:t>b</w:t>
      </w:r>
      <w:r w:rsidRPr="00807DAF">
        <w:t>eneficiar</w:t>
      </w:r>
      <w:r w:rsidR="00101AEE" w:rsidRPr="00807DAF">
        <w:t>ies</w:t>
      </w:r>
      <w:r w:rsidR="00A703F1" w:rsidRPr="00807DAF">
        <w:t xml:space="preserve"> or </w:t>
      </w:r>
      <w:r w:rsidR="00A703F1" w:rsidRPr="00807DAF">
        <w:rPr>
          <w:lang w:eastAsia="en-GB" w:bidi="kn-IN"/>
        </w:rPr>
        <w:t xml:space="preserve">affiliated entities </w:t>
      </w:r>
      <w:r w:rsidRPr="00807DAF">
        <w:t xml:space="preserve">free of charge by a third party. As contributions in kind do not involve any expenditure for </w:t>
      </w:r>
      <w:r w:rsidR="000D61C6">
        <w:t>b</w:t>
      </w:r>
      <w:r w:rsidRPr="00807DAF">
        <w:t>eneficiar</w:t>
      </w:r>
      <w:r w:rsidR="00101AEE" w:rsidRPr="00807DAF">
        <w:t>ies</w:t>
      </w:r>
      <w:r w:rsidR="00A703F1" w:rsidRPr="00807DAF">
        <w:t xml:space="preserve"> </w:t>
      </w:r>
      <w:r w:rsidR="00A703F1" w:rsidRPr="00807DAF">
        <w:rPr>
          <w:lang w:eastAsia="en-GB" w:bidi="kn-IN"/>
        </w:rPr>
        <w:t>or affiliated entities</w:t>
      </w:r>
      <w:r w:rsidRPr="00807DAF">
        <w:t>, they are not eligible costs</w:t>
      </w:r>
      <w:r w:rsidR="009531D0">
        <w:t xml:space="preserve"> (</w:t>
      </w:r>
      <w:r w:rsidR="009531D0" w:rsidRPr="009531D0">
        <w:t xml:space="preserve">except for personnel costs for the work carried out by volunteers under an action or </w:t>
      </w:r>
      <w:r w:rsidR="00B44EF3">
        <w:t>operating grant</w:t>
      </w:r>
      <w:r w:rsidR="009531D0">
        <w:t xml:space="preserve"> if so authorised</w:t>
      </w:r>
      <w:r w:rsidR="009531D0" w:rsidRPr="009531D0">
        <w:t>)</w:t>
      </w:r>
      <w:r w:rsidRPr="00807DAF">
        <w:t>.</w:t>
      </w:r>
      <w:r w:rsidR="006507EF" w:rsidRPr="00807DAF">
        <w:t xml:space="preserve"> </w:t>
      </w:r>
    </w:p>
    <w:p w14:paraId="098164B6" w14:textId="26988777" w:rsidR="00F52B38" w:rsidRPr="00807DAF" w:rsidRDefault="00BC7EE3" w:rsidP="0068216F">
      <w:r w:rsidRPr="00807DAF">
        <w:t>C</w:t>
      </w:r>
      <w:r w:rsidR="00F52B38" w:rsidRPr="00807DAF">
        <w:t>ontributions in kind may not be treated as co-financing</w:t>
      </w:r>
    </w:p>
    <w:p w14:paraId="44013F35" w14:textId="551282AE" w:rsidR="00F52B38" w:rsidRDefault="00BC7EE3" w:rsidP="0068216F">
      <w:r w:rsidRPr="00807DAF">
        <w:t>However</w:t>
      </w:r>
      <w:r w:rsidR="00F52B38" w:rsidRPr="00807DAF">
        <w:t xml:space="preserve">, if the description of the action as proposed </w:t>
      </w:r>
      <w:r w:rsidRPr="00807DAF">
        <w:t>includes</w:t>
      </w:r>
      <w:r w:rsidR="00F52B38" w:rsidRPr="00807DAF">
        <w:t xml:space="preserve"> contributions in kind, </w:t>
      </w:r>
      <w:r w:rsidRPr="00807DAF">
        <w:t xml:space="preserve">the </w:t>
      </w:r>
      <w:r w:rsidR="00F52B38" w:rsidRPr="00807DAF">
        <w:t>contributions have to be</w:t>
      </w:r>
      <w:r w:rsidR="005D2AC6" w:rsidRPr="00807DAF">
        <w:t xml:space="preserve"> </w:t>
      </w:r>
      <w:r w:rsidRPr="00807DAF">
        <w:t>made</w:t>
      </w:r>
      <w:r w:rsidR="00F52B38" w:rsidRPr="00807DAF">
        <w:t>.</w:t>
      </w:r>
    </w:p>
    <w:p w14:paraId="21E343FA" w14:textId="77777777" w:rsidR="005C4541" w:rsidRDefault="00EB11B8" w:rsidP="0068216F">
      <w:r>
        <w:t>Other co-financing shall be based on estimates provided by the applicant.</w:t>
      </w:r>
    </w:p>
    <w:p w14:paraId="26B3A198" w14:textId="77777777" w:rsidR="00511112" w:rsidRPr="00807DAF" w:rsidRDefault="00511112" w:rsidP="0068216F">
      <w:pPr>
        <w:rPr>
          <w:u w:val="single"/>
        </w:rPr>
      </w:pPr>
      <w:r w:rsidRPr="00807DAF">
        <w:rPr>
          <w:u w:val="single"/>
        </w:rPr>
        <w:t>Ineligible costs</w:t>
      </w:r>
    </w:p>
    <w:p w14:paraId="544AFA8A" w14:textId="77777777" w:rsidR="00511112" w:rsidRPr="00807DAF" w:rsidRDefault="00511112" w:rsidP="0068216F">
      <w:r w:rsidRPr="00807DAF">
        <w:t>The following costs are not eligible:</w:t>
      </w:r>
    </w:p>
    <w:p w14:paraId="5B7A746C" w14:textId="77777777" w:rsidR="00AC1803" w:rsidRPr="00807DAF" w:rsidRDefault="00511112" w:rsidP="000E75FE">
      <w:pPr>
        <w:numPr>
          <w:ilvl w:val="0"/>
          <w:numId w:val="19"/>
        </w:numPr>
      </w:pPr>
      <w:r w:rsidRPr="00807DAF">
        <w:t>debts and debt</w:t>
      </w:r>
      <w:r w:rsidR="00AC1803" w:rsidRPr="00807DAF">
        <w:t xml:space="preserve"> service charges</w:t>
      </w:r>
      <w:r w:rsidR="00516FC2" w:rsidRPr="00807DAF">
        <w:t xml:space="preserve"> (interest);</w:t>
      </w:r>
    </w:p>
    <w:p w14:paraId="03D1297B" w14:textId="77777777" w:rsidR="00511112" w:rsidRPr="00807DAF" w:rsidRDefault="00AC1803" w:rsidP="000E75FE">
      <w:pPr>
        <w:numPr>
          <w:ilvl w:val="0"/>
          <w:numId w:val="19"/>
        </w:numPr>
      </w:pPr>
      <w:r w:rsidRPr="00807DAF">
        <w:t>provisions for losses or potential future liabilities</w:t>
      </w:r>
      <w:r w:rsidR="00511112" w:rsidRPr="00807DAF">
        <w:t>;</w:t>
      </w:r>
    </w:p>
    <w:p w14:paraId="0A3109C9" w14:textId="77777777" w:rsidR="00511112" w:rsidRPr="00807DAF" w:rsidRDefault="00AC1803" w:rsidP="000E75FE">
      <w:pPr>
        <w:numPr>
          <w:ilvl w:val="0"/>
          <w:numId w:val="19"/>
        </w:numPr>
      </w:pPr>
      <w:r w:rsidRPr="00807DAF">
        <w:t xml:space="preserve">costs declared by the </w:t>
      </w:r>
      <w:r w:rsidR="000D61C6">
        <w:t>b</w:t>
      </w:r>
      <w:r w:rsidR="00516FC2" w:rsidRPr="00807DAF">
        <w:t>eneficiary(</w:t>
      </w:r>
      <w:proofErr w:type="spellStart"/>
      <w:r w:rsidR="00516FC2" w:rsidRPr="00807DAF">
        <w:t>ies</w:t>
      </w:r>
      <w:proofErr w:type="spellEnd"/>
      <w:r w:rsidR="00516FC2" w:rsidRPr="00807DAF">
        <w:t xml:space="preserve">) and financed by another action or work programme receiving a </w:t>
      </w:r>
      <w:r w:rsidR="004F6678">
        <w:t xml:space="preserve">European </w:t>
      </w:r>
      <w:r w:rsidR="00516FC2" w:rsidRPr="00807DAF">
        <w:t>Union (including through EDF) grant</w:t>
      </w:r>
      <w:r w:rsidR="00511112" w:rsidRPr="00807DAF">
        <w:t>;</w:t>
      </w:r>
    </w:p>
    <w:p w14:paraId="16511D0B" w14:textId="77777777" w:rsidR="00511112" w:rsidRPr="00807DAF" w:rsidRDefault="00511112" w:rsidP="000E75FE">
      <w:pPr>
        <w:numPr>
          <w:ilvl w:val="0"/>
          <w:numId w:val="19"/>
        </w:numPr>
      </w:pPr>
      <w:r w:rsidRPr="00807DAF">
        <w:t xml:space="preserve">purchases of land or buildings, except where necessary for the direct implementation of the action, in which case ownership must be transferred </w:t>
      </w:r>
      <w:r w:rsidR="0029143C">
        <w:t xml:space="preserve">in accordance with Article 7.5 of the </w:t>
      </w:r>
      <w:r w:rsidR="000D7ACD">
        <w:t>g</w:t>
      </w:r>
      <w:r w:rsidR="0029143C">
        <w:t xml:space="preserve">eneral </w:t>
      </w:r>
      <w:r w:rsidR="000D7ACD">
        <w:t>c</w:t>
      </w:r>
      <w:r w:rsidR="0029143C">
        <w:t>onditions of the standard grant contract</w:t>
      </w:r>
      <w:r w:rsidR="002265E1" w:rsidRPr="00807DAF">
        <w:t xml:space="preserve">, at the latest </w:t>
      </w:r>
      <w:r w:rsidR="00516FC2" w:rsidRPr="00807DAF">
        <w:t>at</w:t>
      </w:r>
      <w:r w:rsidRPr="00807DAF">
        <w:t xml:space="preserve"> the end of the action;</w:t>
      </w:r>
    </w:p>
    <w:p w14:paraId="40D3EB3D" w14:textId="77777777" w:rsidR="00511112" w:rsidRDefault="00511112" w:rsidP="000E75FE">
      <w:pPr>
        <w:numPr>
          <w:ilvl w:val="0"/>
          <w:numId w:val="19"/>
        </w:numPr>
      </w:pPr>
      <w:r w:rsidRPr="00807DAF">
        <w:t>currency exchange losses;</w:t>
      </w:r>
    </w:p>
    <w:p w14:paraId="1CF45E80" w14:textId="77777777" w:rsidR="00006069" w:rsidRDefault="00006069" w:rsidP="000E75FE">
      <w:pPr>
        <w:numPr>
          <w:ilvl w:val="0"/>
          <w:numId w:val="19"/>
        </w:numPr>
      </w:pPr>
      <w:r>
        <w:t>in kind contributions (except for volunteers' work);</w:t>
      </w:r>
    </w:p>
    <w:p w14:paraId="65DA1815" w14:textId="77777777" w:rsidR="00006069" w:rsidRDefault="00006069" w:rsidP="000E75FE">
      <w:pPr>
        <w:numPr>
          <w:ilvl w:val="0"/>
          <w:numId w:val="19"/>
        </w:numPr>
      </w:pPr>
      <w:r>
        <w:t xml:space="preserve">bonuses included in costs of staff; </w:t>
      </w:r>
    </w:p>
    <w:p w14:paraId="7ADAD7AF" w14:textId="77777777" w:rsidR="00006069" w:rsidRPr="00807DAF" w:rsidRDefault="00006069" w:rsidP="000E75FE">
      <w:pPr>
        <w:numPr>
          <w:ilvl w:val="0"/>
          <w:numId w:val="19"/>
        </w:numPr>
      </w:pPr>
      <w:r>
        <w:t>negative interest charged by banks or other financial institutions;</w:t>
      </w:r>
    </w:p>
    <w:p w14:paraId="389150A8" w14:textId="69B254EC" w:rsidR="0061511C" w:rsidRPr="00876E0B" w:rsidRDefault="00C9081A" w:rsidP="000E75FE">
      <w:pPr>
        <w:numPr>
          <w:ilvl w:val="0"/>
          <w:numId w:val="19"/>
        </w:numPr>
      </w:pPr>
      <w:r w:rsidRPr="0061511C">
        <w:t>credit to third parties</w:t>
      </w:r>
      <w:r w:rsidR="006264EC">
        <w:t>;</w:t>
      </w:r>
    </w:p>
    <w:p w14:paraId="39D00F14" w14:textId="160D9680" w:rsidR="00622E2A" w:rsidRPr="00F53E16" w:rsidRDefault="00AE481D" w:rsidP="000E75FE">
      <w:pPr>
        <w:numPr>
          <w:ilvl w:val="0"/>
          <w:numId w:val="19"/>
        </w:numPr>
      </w:pPr>
      <w:proofErr w:type="gramStart"/>
      <w:r w:rsidRPr="0061511C">
        <w:t>s</w:t>
      </w:r>
      <w:r w:rsidR="00622E2A" w:rsidRPr="0061511C">
        <w:t>alary</w:t>
      </w:r>
      <w:proofErr w:type="gramEnd"/>
      <w:r w:rsidR="00622E2A" w:rsidRPr="0061511C">
        <w:t xml:space="preserve"> </w:t>
      </w:r>
      <w:r w:rsidR="00622E2A" w:rsidRPr="00807DAF">
        <w:t>costs of the personnel of national administrations</w:t>
      </w:r>
      <w:r w:rsidR="006264EC">
        <w:t>.</w:t>
      </w:r>
      <w:r w:rsidR="00694DF8" w:rsidDel="00694DF8">
        <w:t xml:space="preserve"> </w:t>
      </w:r>
    </w:p>
    <w:p w14:paraId="79DF2055" w14:textId="77777777" w:rsidR="00B723AF" w:rsidRPr="00807DAF" w:rsidRDefault="00B723AF" w:rsidP="000E75FE">
      <w:pPr>
        <w:pStyle w:val="Guidelines3"/>
        <w:numPr>
          <w:ilvl w:val="2"/>
          <w:numId w:val="9"/>
        </w:numPr>
      </w:pPr>
      <w:bookmarkStart w:id="15" w:name="_Toc74830953"/>
      <w:r>
        <w:t>Ethics clauses and Code of Conduct</w:t>
      </w:r>
      <w:bookmarkEnd w:id="15"/>
      <w:r w:rsidRPr="00807DAF">
        <w:t xml:space="preserve"> </w:t>
      </w:r>
    </w:p>
    <w:p w14:paraId="7FE850F0" w14:textId="77777777" w:rsidR="00A80223" w:rsidRPr="00417585" w:rsidRDefault="00A80223" w:rsidP="00A80223">
      <w:pPr>
        <w:keepNext/>
        <w:spacing w:before="120" w:after="120"/>
        <w:ind w:left="420"/>
        <w:rPr>
          <w:szCs w:val="22"/>
          <w:u w:val="single"/>
        </w:rPr>
      </w:pPr>
      <w:r w:rsidRPr="00417585">
        <w:rPr>
          <w:szCs w:val="22"/>
          <w:u w:val="single"/>
        </w:rPr>
        <w:t>a) Absence of conflict of interest</w:t>
      </w:r>
    </w:p>
    <w:p w14:paraId="0E761554" w14:textId="77777777" w:rsidR="00A80223" w:rsidRDefault="00A80223" w:rsidP="00A80223">
      <w:pPr>
        <w:keepNext/>
        <w:spacing w:before="120" w:after="120"/>
        <w:ind w:left="420"/>
        <w:rPr>
          <w:szCs w:val="22"/>
        </w:rPr>
      </w:pPr>
      <w:r>
        <w:rPr>
          <w:szCs w:val="22"/>
        </w:rPr>
        <w:t>The applicant</w:t>
      </w:r>
      <w:r w:rsidRPr="002B370E">
        <w:rPr>
          <w:szCs w:val="22"/>
        </w:rPr>
        <w:t xml:space="preserve"> must not be affected by any conflict of interest and </w:t>
      </w:r>
      <w:r>
        <w:rPr>
          <w:szCs w:val="22"/>
        </w:rPr>
        <w:t>must</w:t>
      </w:r>
      <w:r w:rsidRPr="002B370E">
        <w:rPr>
          <w:szCs w:val="22"/>
        </w:rPr>
        <w:t xml:space="preserve"> have no equivalent relation in t</w:t>
      </w:r>
      <w:r>
        <w:rPr>
          <w:szCs w:val="22"/>
        </w:rPr>
        <w:t>hat respect with other applicants</w:t>
      </w:r>
      <w:r w:rsidRPr="002B370E">
        <w:rPr>
          <w:szCs w:val="22"/>
        </w:rPr>
        <w:t xml:space="preserve"> or</w:t>
      </w:r>
      <w:r>
        <w:rPr>
          <w:szCs w:val="22"/>
        </w:rPr>
        <w:t xml:space="preserve"> parties involved in the actions</w:t>
      </w:r>
      <w:r w:rsidRPr="002B370E">
        <w:rPr>
          <w:szCs w:val="22"/>
        </w:rPr>
        <w:t>.</w:t>
      </w:r>
      <w:r>
        <w:rPr>
          <w:szCs w:val="22"/>
        </w:rPr>
        <w:t xml:space="preserve"> </w:t>
      </w:r>
      <w:r w:rsidRPr="005C7F3E">
        <w:rPr>
          <w:szCs w:val="22"/>
        </w:rPr>
        <w:t xml:space="preserve">Any attempt </w:t>
      </w:r>
      <w:r>
        <w:rPr>
          <w:szCs w:val="22"/>
        </w:rPr>
        <w:t>by an applicant</w:t>
      </w:r>
      <w:r w:rsidRPr="005C7F3E">
        <w:rPr>
          <w:szCs w:val="22"/>
        </w:rPr>
        <w:t xml:space="preserve"> to obtain confidential information, enter into unlawful agreements with competitors or influence the evaluation committee or the contracting authority during the process of examining, clarifying, </w:t>
      </w:r>
      <w:r>
        <w:rPr>
          <w:szCs w:val="22"/>
        </w:rPr>
        <w:t>evaluating and comparing applications</w:t>
      </w:r>
      <w:r w:rsidRPr="005C7F3E">
        <w:rPr>
          <w:szCs w:val="22"/>
        </w:rPr>
        <w:t xml:space="preserve"> will lead to </w:t>
      </w:r>
      <w:r>
        <w:rPr>
          <w:szCs w:val="22"/>
        </w:rPr>
        <w:t>the rejection of its application</w:t>
      </w:r>
      <w:r w:rsidRPr="005C7F3E">
        <w:rPr>
          <w:szCs w:val="22"/>
        </w:rPr>
        <w:t xml:space="preserve"> and may result in administrative penalties</w:t>
      </w:r>
      <w:r>
        <w:rPr>
          <w:szCs w:val="22"/>
        </w:rPr>
        <w:t xml:space="preserve"> according to the Financial Regulation in force. </w:t>
      </w:r>
    </w:p>
    <w:p w14:paraId="631D0105" w14:textId="77777777" w:rsidR="00A80223" w:rsidRDefault="00A80223" w:rsidP="00A80223">
      <w:pPr>
        <w:keepNext/>
        <w:spacing w:before="120" w:after="120"/>
        <w:ind w:left="420"/>
        <w:rPr>
          <w:szCs w:val="22"/>
        </w:rPr>
      </w:pPr>
      <w:r>
        <w:rPr>
          <w:szCs w:val="22"/>
        </w:rPr>
        <w:t xml:space="preserve">b) </w:t>
      </w:r>
      <w:r w:rsidRPr="00417585">
        <w:rPr>
          <w:szCs w:val="22"/>
          <w:u w:val="single"/>
        </w:rPr>
        <w:t>Respect for human rights as well as environmental legislation and core labour standards</w:t>
      </w:r>
      <w:r w:rsidRPr="00417585">
        <w:rPr>
          <w:szCs w:val="22"/>
        </w:rPr>
        <w:t xml:space="preserve"> </w:t>
      </w:r>
    </w:p>
    <w:p w14:paraId="6ABCFDEC" w14:textId="77777777" w:rsidR="00A80223" w:rsidRDefault="00A80223" w:rsidP="00A80223">
      <w:pPr>
        <w:keepNext/>
        <w:spacing w:before="120" w:after="120"/>
        <w:ind w:left="420"/>
        <w:rPr>
          <w:szCs w:val="22"/>
        </w:rPr>
      </w:pPr>
      <w:r>
        <w:rPr>
          <w:szCs w:val="22"/>
        </w:rPr>
        <w:t>The applicant</w:t>
      </w:r>
      <w:r w:rsidRPr="005C7F3E">
        <w:rPr>
          <w:szCs w:val="22"/>
        </w:rPr>
        <w:t xml:space="preserve"> and its staff must comply with human rights. In particular and in accordance with the applicable </w:t>
      </w:r>
      <w:r w:rsidR="00876E0B" w:rsidRPr="005C7F3E">
        <w:rPr>
          <w:szCs w:val="22"/>
        </w:rPr>
        <w:t xml:space="preserve">act, applicants </w:t>
      </w:r>
      <w:r w:rsidRPr="005C7F3E">
        <w:rPr>
          <w:szCs w:val="22"/>
        </w:rPr>
        <w:t>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6F663028" w14:textId="77777777"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417585">
        <w:rPr>
          <w:b/>
          <w:szCs w:val="22"/>
        </w:rPr>
        <w:t>Zero tolerance for sexual exploitation</w:t>
      </w:r>
      <w:r w:rsidR="000A486E">
        <w:rPr>
          <w:b/>
          <w:szCs w:val="22"/>
        </w:rPr>
        <w:t>,</w:t>
      </w:r>
      <w:r w:rsidR="000A486E" w:rsidRPr="00417585">
        <w:rPr>
          <w:b/>
          <w:szCs w:val="22"/>
        </w:rPr>
        <w:t xml:space="preserve"> abuse</w:t>
      </w:r>
      <w:r w:rsidR="00A20C55">
        <w:rPr>
          <w:b/>
          <w:szCs w:val="22"/>
        </w:rPr>
        <w:t xml:space="preserve"> and harassment</w:t>
      </w:r>
      <w:r w:rsidRPr="00417585">
        <w:rPr>
          <w:b/>
          <w:szCs w:val="22"/>
        </w:rPr>
        <w:t>:</w:t>
      </w:r>
    </w:p>
    <w:p w14:paraId="3E525E2D" w14:textId="77777777"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The European Commission applies a policy of 'zero tolerance' in relation to all wrongful conduct which has an impact on the profession</w:t>
      </w:r>
      <w:r>
        <w:rPr>
          <w:szCs w:val="22"/>
        </w:rPr>
        <w:t xml:space="preserve">al credibility of the </w:t>
      </w:r>
      <w:r w:rsidR="00876E0B">
        <w:rPr>
          <w:szCs w:val="22"/>
        </w:rPr>
        <w:t>applicant</w:t>
      </w:r>
      <w:r w:rsidR="00876E0B" w:rsidRPr="005C7F3E">
        <w:rPr>
          <w:szCs w:val="22"/>
        </w:rPr>
        <w:t xml:space="preserve">. </w:t>
      </w:r>
      <w:r w:rsidRPr="005C7F3E">
        <w:rPr>
          <w:szCs w:val="22"/>
        </w:rPr>
        <w:t xml:space="preserve"> </w:t>
      </w:r>
    </w:p>
    <w:p w14:paraId="78F3B0B2" w14:textId="77777777" w:rsidR="00A80223"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14:paraId="37CEA064" w14:textId="77777777" w:rsidR="000D46D7" w:rsidRDefault="00420D0B"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Pr>
          <w:szCs w:val="22"/>
        </w:rPr>
        <w:t>A</w:t>
      </w:r>
      <w:r w:rsidR="000D46D7" w:rsidRPr="00BA6979">
        <w:rPr>
          <w:szCs w:val="22"/>
        </w:rPr>
        <w:t>pplicants</w:t>
      </w:r>
      <w:r w:rsidR="00E14E59">
        <w:rPr>
          <w:szCs w:val="22"/>
        </w:rPr>
        <w:t xml:space="preserve"> </w:t>
      </w:r>
      <w:r w:rsidR="00686F88">
        <w:rPr>
          <w:szCs w:val="22"/>
        </w:rPr>
        <w:t>(</w:t>
      </w:r>
      <w:r w:rsidR="000D46D7" w:rsidRPr="00BA6979">
        <w:rPr>
          <w:szCs w:val="22"/>
        </w:rPr>
        <w:t>and affiliated entities</w:t>
      </w:r>
      <w:r w:rsidR="00686F88">
        <w:rPr>
          <w:szCs w:val="22"/>
        </w:rPr>
        <w:t>)</w:t>
      </w:r>
      <w:r w:rsidR="000D46D7" w:rsidRPr="00BA6979">
        <w:rPr>
          <w:szCs w:val="22"/>
        </w:rPr>
        <w:t xml:space="preserve"> other than (i) natural persons (ii) pillar-assessed entities and (iii) governments and other publi</w:t>
      </w:r>
      <w:r w:rsidRPr="00E14E59">
        <w:rPr>
          <w:szCs w:val="22"/>
        </w:rPr>
        <w:t>c bodies whose application has been pre-selected or placed i</w:t>
      </w:r>
      <w:r>
        <w:rPr>
          <w:szCs w:val="22"/>
        </w:rPr>
        <w:t xml:space="preserve">n a reserve list, </w:t>
      </w:r>
      <w:r w:rsidR="000D46D7" w:rsidRPr="00BA6979">
        <w:rPr>
          <w:szCs w:val="22"/>
        </w:rPr>
        <w:t xml:space="preserve">shall assess their internal policy </w:t>
      </w:r>
      <w:r w:rsidR="00E33C5B">
        <w:rPr>
          <w:szCs w:val="22"/>
        </w:rPr>
        <w:t>against</w:t>
      </w:r>
      <w:r w:rsidR="000D46D7" w:rsidRPr="00BA6979">
        <w:rPr>
          <w:szCs w:val="22"/>
        </w:rPr>
        <w:t xml:space="preserve"> sexual exploitation, abuse and harassment (SEA-H) through a self-ev</w:t>
      </w:r>
      <w:r w:rsidR="00826F51" w:rsidRPr="00826F51">
        <w:rPr>
          <w:szCs w:val="22"/>
        </w:rPr>
        <w:t>aluation questionnaire</w:t>
      </w:r>
      <w:r w:rsidR="00FF4778">
        <w:rPr>
          <w:szCs w:val="22"/>
        </w:rPr>
        <w:t xml:space="preserve"> (Annex L)</w:t>
      </w:r>
      <w:r>
        <w:rPr>
          <w:szCs w:val="22"/>
        </w:rPr>
        <w:t>.</w:t>
      </w:r>
      <w:r w:rsidR="000D46D7" w:rsidRPr="00BA6979">
        <w:rPr>
          <w:szCs w:val="22"/>
        </w:rPr>
        <w:t xml:space="preserve"> For grants of EUR 60 000 or less no self-evaluation is required. Such self-evaluation questionnaire is not part of the evaluation of the full application by the contracting authority, but is an administrative requirement. See section 2.5.6 of the </w:t>
      </w:r>
      <w:proofErr w:type="spellStart"/>
      <w:r w:rsidR="000D46D7" w:rsidRPr="00BA6979">
        <w:rPr>
          <w:szCs w:val="22"/>
        </w:rPr>
        <w:t>PRAG</w:t>
      </w:r>
      <w:proofErr w:type="spellEnd"/>
      <w:r w:rsidR="000D46D7" w:rsidRPr="00BA6979">
        <w:rPr>
          <w:szCs w:val="22"/>
        </w:rPr>
        <w:t>.</w:t>
      </w:r>
    </w:p>
    <w:p w14:paraId="0CEBDC65" w14:textId="77777777" w:rsidR="00A80223" w:rsidRDefault="00A80223" w:rsidP="00ED623A">
      <w:pPr>
        <w:ind w:left="420"/>
        <w:rPr>
          <w:szCs w:val="22"/>
        </w:rPr>
      </w:pPr>
      <w:r w:rsidRPr="00725462">
        <w:rPr>
          <w:szCs w:val="22"/>
          <w:u w:val="single"/>
        </w:rPr>
        <w:t xml:space="preserve">c) </w:t>
      </w:r>
      <w:r>
        <w:rPr>
          <w:szCs w:val="22"/>
          <w:u w:val="single"/>
        </w:rPr>
        <w:t>A</w:t>
      </w:r>
      <w:r w:rsidRPr="00725462">
        <w:rPr>
          <w:szCs w:val="22"/>
          <w:u w:val="single"/>
        </w:rPr>
        <w:t>nti-corruption and anti-bribery</w:t>
      </w:r>
      <w:r w:rsidRPr="00725462">
        <w:rPr>
          <w:szCs w:val="22"/>
        </w:rPr>
        <w:t xml:space="preserve"> </w:t>
      </w:r>
    </w:p>
    <w:p w14:paraId="4F72CDC8" w14:textId="77777777" w:rsidR="00A80223" w:rsidRDefault="00A80223" w:rsidP="00ED623A">
      <w:pPr>
        <w:ind w:left="420"/>
        <w:rPr>
          <w:szCs w:val="22"/>
        </w:rPr>
      </w:pPr>
      <w:r>
        <w:rPr>
          <w:szCs w:val="22"/>
        </w:rPr>
        <w:t>The applicant</w:t>
      </w:r>
      <w:r w:rsidRPr="00417585">
        <w:rPr>
          <w:szCs w:val="22"/>
        </w:rPr>
        <w:t xml:space="preserve"> shall comply with all applicable laws and regulations and codes relating to anti-bribery and anti-corruption</w:t>
      </w:r>
      <w:r>
        <w:rPr>
          <w:szCs w:val="22"/>
        </w:rPr>
        <w:t xml:space="preserve">. </w:t>
      </w:r>
      <w:r w:rsidRPr="00417585">
        <w:rPr>
          <w:szCs w:val="22"/>
        </w:rPr>
        <w:t xml:space="preserve">The </w:t>
      </w:r>
      <w:r w:rsidR="00B723AF">
        <w:rPr>
          <w:szCs w:val="22"/>
        </w:rPr>
        <w:t>contracting authority</w:t>
      </w:r>
      <w:r w:rsidRPr="00417585">
        <w:rPr>
          <w:szCs w:val="22"/>
        </w:rPr>
        <w:t xml:space="preserve">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024D4940" w14:textId="77777777" w:rsidR="00A80223" w:rsidRDefault="00A80223" w:rsidP="00A80223">
      <w:pPr>
        <w:spacing w:before="120" w:after="120"/>
        <w:ind w:left="567" w:hanging="567"/>
        <w:rPr>
          <w:szCs w:val="22"/>
        </w:rPr>
      </w:pPr>
      <w:r>
        <w:rPr>
          <w:szCs w:val="22"/>
        </w:rPr>
        <w:t xml:space="preserve">      d)  </w:t>
      </w:r>
      <w:r>
        <w:rPr>
          <w:szCs w:val="22"/>
          <w:u w:val="single"/>
        </w:rPr>
        <w:t>U</w:t>
      </w:r>
      <w:r w:rsidRPr="00725462">
        <w:rPr>
          <w:szCs w:val="22"/>
          <w:u w:val="single"/>
        </w:rPr>
        <w:t>nusual commercial expenses</w:t>
      </w:r>
      <w:r w:rsidRPr="00725462">
        <w:rPr>
          <w:szCs w:val="22"/>
        </w:rPr>
        <w:t xml:space="preserve"> </w:t>
      </w:r>
    </w:p>
    <w:p w14:paraId="69FFDCB0" w14:textId="77777777" w:rsidR="00A80223" w:rsidRPr="002B370E" w:rsidRDefault="00A80223" w:rsidP="00A80223">
      <w:pPr>
        <w:spacing w:before="120" w:after="120"/>
        <w:ind w:left="397"/>
        <w:rPr>
          <w:szCs w:val="22"/>
        </w:rPr>
      </w:pPr>
      <w:r>
        <w:rPr>
          <w:szCs w:val="22"/>
        </w:rPr>
        <w:t>Applications</w:t>
      </w:r>
      <w:r w:rsidRPr="002B370E">
        <w:rPr>
          <w:szCs w:val="22"/>
        </w:rPr>
        <w:t xml:space="preserve">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17C22DE0" w14:textId="77777777" w:rsidR="00A80223" w:rsidRDefault="00876E0B" w:rsidP="00A80223">
      <w:pPr>
        <w:spacing w:before="120" w:after="120"/>
        <w:ind w:left="397"/>
        <w:rPr>
          <w:szCs w:val="22"/>
        </w:rPr>
      </w:pPr>
      <w:r>
        <w:rPr>
          <w:szCs w:val="22"/>
        </w:rPr>
        <w:t>Grant beneficiaries</w:t>
      </w:r>
      <w:r w:rsidRPr="002B370E">
        <w:rPr>
          <w:szCs w:val="22"/>
        </w:rPr>
        <w:t xml:space="preserve"> </w:t>
      </w:r>
      <w:r w:rsidR="00A80223" w:rsidRPr="002B370E">
        <w:rPr>
          <w:szCs w:val="22"/>
        </w:rPr>
        <w:t>found to have paid unusual commercial expenses on projects funded by the European Union are liable, depending on the seriousness of the facts observed, to have their contracts terminated or to be permanently excluded from receiving EU</w:t>
      </w:r>
      <w:r>
        <w:rPr>
          <w:szCs w:val="22"/>
        </w:rPr>
        <w:t>/EDF</w:t>
      </w:r>
      <w:r w:rsidR="00A80223" w:rsidRPr="002B370E">
        <w:rPr>
          <w:szCs w:val="22"/>
        </w:rPr>
        <w:t xml:space="preserve"> funds.</w:t>
      </w:r>
    </w:p>
    <w:p w14:paraId="0F669E01" w14:textId="77777777" w:rsidR="00A80223" w:rsidRPr="00082D09" w:rsidRDefault="00876E0B" w:rsidP="00A80223">
      <w:pPr>
        <w:spacing w:before="120" w:after="120"/>
        <w:ind w:left="397"/>
        <w:rPr>
          <w:szCs w:val="22"/>
          <w:u w:val="single"/>
        </w:rPr>
      </w:pPr>
      <w:r>
        <w:rPr>
          <w:szCs w:val="22"/>
        </w:rPr>
        <w:t>e</w:t>
      </w:r>
      <w:r w:rsidR="00A80223">
        <w:rPr>
          <w:szCs w:val="22"/>
        </w:rPr>
        <w:t xml:space="preserve">) </w:t>
      </w:r>
      <w:r w:rsidR="000C3776" w:rsidRPr="00BA6979">
        <w:rPr>
          <w:szCs w:val="22"/>
          <w:u w:val="single"/>
        </w:rPr>
        <w:t>Breach of obligations</w:t>
      </w:r>
      <w:r w:rsidR="00A80223" w:rsidRPr="005659B6">
        <w:rPr>
          <w:szCs w:val="22"/>
          <w:u w:val="single"/>
        </w:rPr>
        <w:t>, irregularities</w:t>
      </w:r>
      <w:r w:rsidR="00A80223" w:rsidRPr="00082D09">
        <w:rPr>
          <w:szCs w:val="22"/>
          <w:u w:val="single"/>
        </w:rPr>
        <w:t xml:space="preserve"> or fraud</w:t>
      </w:r>
    </w:p>
    <w:p w14:paraId="6EC8459B" w14:textId="77777777" w:rsidR="00A80223" w:rsidRPr="00ED623A" w:rsidRDefault="00A80223" w:rsidP="00ED623A">
      <w:pPr>
        <w:spacing w:before="120" w:after="120"/>
        <w:ind w:left="397"/>
        <w:rPr>
          <w:szCs w:val="22"/>
        </w:rPr>
      </w:pPr>
      <w:r w:rsidRPr="00725462">
        <w:rPr>
          <w:szCs w:val="22"/>
        </w:rPr>
        <w:t xml:space="preserve">The contracting authority reserves the right to suspend or cancel the procedure, where the award procedure proves to have been subject to substantial </w:t>
      </w:r>
      <w:r w:rsidR="000C3776">
        <w:rPr>
          <w:szCs w:val="22"/>
        </w:rPr>
        <w:t>breach of obligations</w:t>
      </w:r>
      <w:r w:rsidRPr="00725462">
        <w:rPr>
          <w:szCs w:val="22"/>
        </w:rPr>
        <w:t xml:space="preserve">, irregularities or fraud. If substantial </w:t>
      </w:r>
      <w:r w:rsidR="000C3776">
        <w:rPr>
          <w:szCs w:val="22"/>
        </w:rPr>
        <w:t>breach of obligations</w:t>
      </w:r>
      <w:r w:rsidRPr="00725462">
        <w:rPr>
          <w:szCs w:val="22"/>
        </w:rPr>
        <w:t>, irregularities or fraud are discovered after the award of the contract, the contracting authority may refrain from concluding the contract.</w:t>
      </w:r>
    </w:p>
    <w:p w14:paraId="142342D2" w14:textId="77777777" w:rsidR="00357CC0" w:rsidRDefault="0009588C" w:rsidP="000E75FE">
      <w:pPr>
        <w:pStyle w:val="Guidelines2"/>
        <w:numPr>
          <w:ilvl w:val="1"/>
          <w:numId w:val="9"/>
        </w:numPr>
      </w:pPr>
      <w:bookmarkStart w:id="16" w:name="_Toc74830954"/>
      <w:r w:rsidRPr="00807DAF">
        <w:t>H</w:t>
      </w:r>
      <w:r w:rsidR="00357CC0" w:rsidRPr="00807DAF">
        <w:t>ow to apply and the procedures to follow</w:t>
      </w:r>
      <w:bookmarkEnd w:id="16"/>
    </w:p>
    <w:p w14:paraId="27C74157" w14:textId="77777777" w:rsidR="00F657C9" w:rsidRDefault="00F657C9" w:rsidP="00F657C9">
      <w:r>
        <w:t>To apply for this call for proposals the lead applicants need to:</w:t>
      </w:r>
    </w:p>
    <w:p w14:paraId="22227249" w14:textId="77777777" w:rsidR="00F657C9" w:rsidRDefault="00F657C9" w:rsidP="000E75FE">
      <w:pPr>
        <w:numPr>
          <w:ilvl w:val="0"/>
          <w:numId w:val="31"/>
        </w:numPr>
        <w:spacing w:before="120" w:after="120"/>
      </w:pPr>
      <w:r>
        <w:t xml:space="preserve">Provide information about the organisations involved in the action. </w:t>
      </w:r>
      <w:r w:rsidR="00FD39C8">
        <w:t>To this end, lead applicants, co-applicant</w:t>
      </w:r>
      <w:r w:rsidR="004D4EF0">
        <w:t>s and affiliated entities must</w:t>
      </w:r>
      <w:r w:rsidR="00FD39C8">
        <w:t xml:space="preserve"> register in </w:t>
      </w:r>
      <w:proofErr w:type="spellStart"/>
      <w:r w:rsidR="00FD39C8">
        <w:t>PADOR</w:t>
      </w:r>
      <w:proofErr w:type="spellEnd"/>
      <w:r w:rsidR="00FD39C8">
        <w:t xml:space="preserve">. </w:t>
      </w:r>
      <w:r w:rsidR="004D4EF0">
        <w:t>L</w:t>
      </w:r>
      <w:r w:rsidR="00643B20">
        <w:t xml:space="preserve">ead applicants </w:t>
      </w:r>
      <w:r w:rsidR="00FD39C8">
        <w:t xml:space="preserve">must register at the concept note step. </w:t>
      </w:r>
      <w:r w:rsidR="00643B20">
        <w:t xml:space="preserve">Co-applicants and affiliated entities must register at the full application step; lead applicants must make sure that their </w:t>
      </w:r>
      <w:proofErr w:type="spellStart"/>
      <w:r w:rsidR="00643B20">
        <w:t>PADOR</w:t>
      </w:r>
      <w:proofErr w:type="spellEnd"/>
      <w:r w:rsidR="00643B20">
        <w:t xml:space="preserve"> profile is up to date</w:t>
      </w:r>
      <w:r w:rsidR="00FD39C8">
        <w:t>.</w:t>
      </w:r>
      <w:r w:rsidR="00FD39C8" w:rsidDel="00FD39C8">
        <w:t xml:space="preserve"> </w:t>
      </w:r>
      <w:r>
        <w:t>Please note that the r</w:t>
      </w:r>
      <w:r w:rsidRPr="00807DAF">
        <w:t>egistration</w:t>
      </w:r>
      <w:r>
        <w:t xml:space="preserve"> of this data in </w:t>
      </w:r>
      <w:proofErr w:type="spellStart"/>
      <w:r w:rsidRPr="00743599">
        <w:rPr>
          <w:b/>
        </w:rPr>
        <w:t>PADOR</w:t>
      </w:r>
      <w:proofErr w:type="spellEnd"/>
      <w:r w:rsidRPr="00743599">
        <w:rPr>
          <w:b/>
        </w:rPr>
        <w:t xml:space="preserve"> is obligatory</w:t>
      </w:r>
      <w:r w:rsidRPr="00807DAF">
        <w:t xml:space="preserve"> for this </w:t>
      </w:r>
      <w:r>
        <w:t>c</w:t>
      </w:r>
      <w:r w:rsidRPr="00807DAF">
        <w:t xml:space="preserve">all for </w:t>
      </w:r>
      <w:r>
        <w:t>p</w:t>
      </w:r>
      <w:r w:rsidRPr="00807DAF">
        <w:t>roposals</w:t>
      </w:r>
      <w:r>
        <w:t>:</w:t>
      </w:r>
    </w:p>
    <w:p w14:paraId="1E871F88" w14:textId="77777777" w:rsidR="00B516DD" w:rsidRDefault="00B516DD" w:rsidP="00B516DD">
      <w:pPr>
        <w:rPr>
          <w:color w:val="000000"/>
        </w:rPr>
      </w:pPr>
      <w:proofErr w:type="spellStart"/>
      <w:r w:rsidRPr="00807DAF">
        <w:rPr>
          <w:color w:val="000000"/>
        </w:rPr>
        <w:t>PADOR</w:t>
      </w:r>
      <w:proofErr w:type="spellEnd"/>
      <w:r w:rsidRPr="00807DAF">
        <w:rPr>
          <w:color w:val="000000"/>
        </w:rPr>
        <w:t xml:space="preserve"> is an on-line database in which organis</w:t>
      </w:r>
      <w:r>
        <w:rPr>
          <w:color w:val="000000"/>
        </w:rPr>
        <w:t>ations register and update</w:t>
      </w:r>
      <w:r w:rsidRPr="00807DAF">
        <w:rPr>
          <w:color w:val="000000"/>
        </w:rPr>
        <w:t xml:space="preserve"> </w:t>
      </w:r>
      <w:r>
        <w:rPr>
          <w:color w:val="000000"/>
        </w:rPr>
        <w:t xml:space="preserve">information concerning their entity. Organisations registered in </w:t>
      </w:r>
      <w:proofErr w:type="spellStart"/>
      <w:r>
        <w:rPr>
          <w:color w:val="000000"/>
        </w:rPr>
        <w:t>PADOR</w:t>
      </w:r>
      <w:proofErr w:type="spellEnd"/>
      <w:r>
        <w:rPr>
          <w:color w:val="000000"/>
        </w:rPr>
        <w:t xml:space="preserve"> get a unique ID (</w:t>
      </w:r>
      <w:proofErr w:type="spellStart"/>
      <w:r>
        <w:rPr>
          <w:color w:val="000000"/>
        </w:rPr>
        <w:t>EuropeAid</w:t>
      </w:r>
      <w:proofErr w:type="spellEnd"/>
      <w:r>
        <w:rPr>
          <w:color w:val="000000"/>
        </w:rPr>
        <w:t xml:space="preserve"> ID) which they </w:t>
      </w:r>
      <w:r w:rsidRPr="001606C0">
        <w:rPr>
          <w:b/>
          <w:color w:val="000000"/>
        </w:rPr>
        <w:t>must mention</w:t>
      </w:r>
      <w:r>
        <w:rPr>
          <w:color w:val="000000"/>
        </w:rPr>
        <w:t xml:space="preserve"> in their application. </w:t>
      </w:r>
      <w:proofErr w:type="spellStart"/>
      <w:r>
        <w:rPr>
          <w:color w:val="000000"/>
        </w:rPr>
        <w:t>PADOR</w:t>
      </w:r>
      <w:proofErr w:type="spellEnd"/>
      <w:r>
        <w:rPr>
          <w:color w:val="000000"/>
        </w:rPr>
        <w:t xml:space="preserve"> is accessible</w:t>
      </w:r>
      <w:r w:rsidRPr="00807DAF">
        <w:rPr>
          <w:color w:val="000000"/>
        </w:rPr>
        <w:t xml:space="preserve"> </w:t>
      </w:r>
      <w:r>
        <w:rPr>
          <w:color w:val="000000"/>
        </w:rPr>
        <w:t>via</w:t>
      </w:r>
      <w:r w:rsidRPr="00807DAF">
        <w:rPr>
          <w:color w:val="000000"/>
        </w:rPr>
        <w:t xml:space="preserve"> the website:</w:t>
      </w:r>
      <w:r>
        <w:rPr>
          <w:color w:val="000000"/>
        </w:rPr>
        <w:t xml:space="preserve"> </w:t>
      </w:r>
      <w:hyperlink r:id="rId19" w:history="1">
        <w:r w:rsidR="007D41AA" w:rsidRPr="000408E7">
          <w:rPr>
            <w:rStyle w:val="Hyperlink"/>
          </w:rPr>
          <w:t>https://webgate.ec.europa.eu/pador</w:t>
        </w:r>
      </w:hyperlink>
      <w:r w:rsidR="007D41AA">
        <w:rPr>
          <w:color w:val="000000"/>
        </w:rPr>
        <w:t xml:space="preserve"> </w:t>
      </w:r>
      <w:r w:rsidR="00F874BB">
        <w:rPr>
          <w:color w:val="000000"/>
        </w:rPr>
        <w:t xml:space="preserve"> </w:t>
      </w:r>
    </w:p>
    <w:p w14:paraId="40D1630C" w14:textId="77777777" w:rsidR="00B516DD" w:rsidRDefault="00643B20" w:rsidP="00B516DD">
      <w:pPr>
        <w:rPr>
          <w:color w:val="000000"/>
          <w:lang w:eastAsia="en-GB"/>
        </w:rPr>
      </w:pPr>
      <w:r>
        <w:rPr>
          <w:color w:val="000000"/>
        </w:rPr>
        <w:t xml:space="preserve"> </w:t>
      </w:r>
      <w:r w:rsidR="00B516DD">
        <w:rPr>
          <w:color w:val="000000"/>
        </w:rPr>
        <w:t>I</w:t>
      </w:r>
      <w:r w:rsidR="00B516DD" w:rsidRPr="00807DAF">
        <w:rPr>
          <w:color w:val="000000"/>
        </w:rPr>
        <w:t xml:space="preserve">f it is impossible to register </w:t>
      </w:r>
      <w:r w:rsidR="00B516DD">
        <w:rPr>
          <w:color w:val="000000"/>
        </w:rPr>
        <w:t xml:space="preserve">online </w:t>
      </w:r>
      <w:r w:rsidR="00B516DD" w:rsidRPr="00807DAF">
        <w:rPr>
          <w:color w:val="000000"/>
        </w:rPr>
        <w:t xml:space="preserve">in </w:t>
      </w:r>
      <w:proofErr w:type="spellStart"/>
      <w:r w:rsidR="00B516DD" w:rsidRPr="00807DAF">
        <w:rPr>
          <w:color w:val="000000"/>
        </w:rPr>
        <w:t>PADOR</w:t>
      </w:r>
      <w:proofErr w:type="spellEnd"/>
      <w:r w:rsidR="00B516DD">
        <w:rPr>
          <w:color w:val="000000"/>
        </w:rPr>
        <w:t xml:space="preserve"> for technical reasons</w:t>
      </w:r>
      <w:r w:rsidR="00B516DD" w:rsidRPr="00807DAF">
        <w:rPr>
          <w:color w:val="000000"/>
        </w:rPr>
        <w:t xml:space="preserve">, </w:t>
      </w:r>
      <w:r w:rsidR="00D50A77">
        <w:rPr>
          <w:color w:val="000000"/>
          <w:lang w:eastAsia="en-GB"/>
        </w:rPr>
        <w:t>lead applicants, co-</w:t>
      </w:r>
      <w:r w:rsidR="00B516DD" w:rsidRPr="00807DAF">
        <w:rPr>
          <w:color w:val="000000"/>
          <w:lang w:eastAsia="en-GB"/>
        </w:rPr>
        <w:t xml:space="preserve">applicants and/or affiliated </w:t>
      </w:r>
      <w:proofErr w:type="gramStart"/>
      <w:r w:rsidR="00B516DD" w:rsidRPr="00807DAF">
        <w:rPr>
          <w:color w:val="000000"/>
          <w:lang w:eastAsia="en-GB"/>
        </w:rPr>
        <w:t>entity(</w:t>
      </w:r>
      <w:proofErr w:type="spellStart"/>
      <w:proofErr w:type="gramEnd"/>
      <w:r w:rsidR="00B516DD" w:rsidRPr="00807DAF">
        <w:rPr>
          <w:color w:val="000000"/>
          <w:lang w:eastAsia="en-GB"/>
        </w:rPr>
        <w:t>ies</w:t>
      </w:r>
      <w:proofErr w:type="spellEnd"/>
      <w:r w:rsidR="00B516DD" w:rsidRPr="00807DAF">
        <w:rPr>
          <w:color w:val="000000"/>
          <w:lang w:eastAsia="en-GB"/>
        </w:rPr>
        <w:t>) must complete the ‘</w:t>
      </w:r>
      <w:proofErr w:type="spellStart"/>
      <w:r w:rsidR="00B516DD" w:rsidRPr="00807DAF">
        <w:rPr>
          <w:color w:val="000000"/>
          <w:lang w:eastAsia="en-GB"/>
        </w:rPr>
        <w:t>PADOR</w:t>
      </w:r>
      <w:proofErr w:type="spellEnd"/>
      <w:r w:rsidR="00B516DD" w:rsidRPr="00807DAF">
        <w:rPr>
          <w:color w:val="000000"/>
          <w:lang w:eastAsia="en-GB"/>
        </w:rPr>
        <w:t xml:space="preserve"> </w:t>
      </w:r>
      <w:r w:rsidR="002421FF">
        <w:rPr>
          <w:color w:val="000000"/>
          <w:lang w:eastAsia="en-GB"/>
        </w:rPr>
        <w:t>registration</w:t>
      </w:r>
      <w:r w:rsidR="00B516DD" w:rsidRPr="00807DAF">
        <w:rPr>
          <w:color w:val="000000"/>
          <w:lang w:eastAsia="en-GB"/>
        </w:rPr>
        <w:t xml:space="preserve"> form</w:t>
      </w:r>
      <w:r w:rsidR="00B516DD" w:rsidRPr="00807DAF">
        <w:rPr>
          <w:rStyle w:val="FootnoteReference"/>
        </w:rPr>
        <w:footnoteReference w:id="14"/>
      </w:r>
      <w:r w:rsidR="00B516DD" w:rsidRPr="00807DAF">
        <w:rPr>
          <w:color w:val="000000"/>
          <w:lang w:eastAsia="en-GB"/>
        </w:rPr>
        <w:t xml:space="preserve"> attached to these </w:t>
      </w:r>
      <w:r w:rsidR="00B516DD">
        <w:rPr>
          <w:color w:val="000000"/>
          <w:lang w:eastAsia="en-GB"/>
        </w:rPr>
        <w:t>g</w:t>
      </w:r>
      <w:r w:rsidR="00B516DD" w:rsidRPr="00807DAF">
        <w:rPr>
          <w:color w:val="000000"/>
          <w:lang w:eastAsia="en-GB"/>
        </w:rPr>
        <w:t>uidelines</w:t>
      </w:r>
      <w:r w:rsidR="00B516DD">
        <w:rPr>
          <w:color w:val="000000"/>
          <w:lang w:eastAsia="en-GB"/>
        </w:rPr>
        <w:t>. This form</w:t>
      </w:r>
      <w:r w:rsidR="00B516DD" w:rsidRPr="00807DAF">
        <w:rPr>
          <w:color w:val="000000"/>
          <w:lang w:eastAsia="en-GB"/>
        </w:rPr>
        <w:t xml:space="preserve"> </w:t>
      </w:r>
      <w:r w:rsidR="00B516DD">
        <w:rPr>
          <w:color w:val="000000"/>
          <w:lang w:eastAsia="en-GB"/>
        </w:rPr>
        <w:t xml:space="preserve">must be </w:t>
      </w:r>
      <w:r w:rsidR="00B516DD" w:rsidRPr="00807DAF">
        <w:rPr>
          <w:color w:val="000000"/>
          <w:lang w:eastAsia="en-GB"/>
        </w:rPr>
        <w:t>sen</w:t>
      </w:r>
      <w:r w:rsidR="00B516DD">
        <w:rPr>
          <w:color w:val="000000"/>
          <w:lang w:eastAsia="en-GB"/>
        </w:rPr>
        <w:t>t</w:t>
      </w:r>
      <w:r w:rsidR="00B516DD" w:rsidRPr="00807DAF">
        <w:rPr>
          <w:color w:val="000000"/>
          <w:lang w:eastAsia="en-GB"/>
        </w:rPr>
        <w:t xml:space="preserve"> </w:t>
      </w:r>
      <w:r w:rsidR="00B516DD" w:rsidRPr="007904B1">
        <w:rPr>
          <w:b/>
          <w:color w:val="000000"/>
          <w:u w:val="single"/>
          <w:lang w:eastAsia="en-GB"/>
        </w:rPr>
        <w:t xml:space="preserve">together with the </w:t>
      </w:r>
      <w:r w:rsidR="00FE6094">
        <w:rPr>
          <w:b/>
          <w:color w:val="000000"/>
          <w:u w:val="single"/>
          <w:lang w:eastAsia="en-GB"/>
        </w:rPr>
        <w:t xml:space="preserve">full </w:t>
      </w:r>
      <w:r w:rsidR="00B516DD" w:rsidRPr="007904B1">
        <w:rPr>
          <w:b/>
          <w:color w:val="000000"/>
          <w:u w:val="single"/>
          <w:lang w:eastAsia="en-GB"/>
        </w:rPr>
        <w:t>application</w:t>
      </w:r>
      <w:r w:rsidR="00B516DD">
        <w:rPr>
          <w:b/>
          <w:color w:val="000000"/>
          <w:u w:val="single"/>
          <w:lang w:eastAsia="en-GB"/>
        </w:rPr>
        <w:t xml:space="preserve">, </w:t>
      </w:r>
      <w:r w:rsidR="00B516DD" w:rsidRPr="00807DAF">
        <w:rPr>
          <w:color w:val="000000"/>
          <w:lang w:eastAsia="en-GB"/>
        </w:rPr>
        <w:t>by the submission deadline</w:t>
      </w:r>
      <w:r w:rsidR="00B516DD">
        <w:rPr>
          <w:color w:val="000000"/>
          <w:lang w:eastAsia="en-GB"/>
        </w:rPr>
        <w:t xml:space="preserve"> (see </w:t>
      </w:r>
      <w:proofErr w:type="gramStart"/>
      <w:r w:rsidR="00B516DD">
        <w:rPr>
          <w:color w:val="000000"/>
          <w:lang w:eastAsia="en-GB"/>
        </w:rPr>
        <w:t>section  2.2.5</w:t>
      </w:r>
      <w:proofErr w:type="gramEnd"/>
      <w:r w:rsidR="00B516DD">
        <w:rPr>
          <w:color w:val="000000"/>
          <w:lang w:eastAsia="en-GB"/>
        </w:rPr>
        <w:t xml:space="preserve">). </w:t>
      </w:r>
    </w:p>
    <w:p w14:paraId="3BD19781" w14:textId="77777777" w:rsidR="00F657C9" w:rsidRPr="00807DAF" w:rsidRDefault="00F657C9" w:rsidP="000E75FE">
      <w:pPr>
        <w:numPr>
          <w:ilvl w:val="0"/>
          <w:numId w:val="31"/>
        </w:numPr>
        <w:spacing w:before="120" w:after="120"/>
        <w:ind w:left="284" w:hanging="142"/>
      </w:pPr>
      <w:r>
        <w:t>Provide information about the action in the documents listed under sections 2.2.2 (</w:t>
      </w:r>
      <w:r w:rsidR="008E2371">
        <w:t xml:space="preserve">Where and how to send </w:t>
      </w:r>
      <w:r>
        <w:t>concept note</w:t>
      </w:r>
      <w:r w:rsidR="008E2371">
        <w:t>s</w:t>
      </w:r>
      <w:r>
        <w:t>) and 2.2.5 (</w:t>
      </w:r>
      <w:r w:rsidR="008E2371">
        <w:t>F</w:t>
      </w:r>
      <w:r>
        <w:t>ull application</w:t>
      </w:r>
      <w:r w:rsidR="008E2371">
        <w:t>s</w:t>
      </w:r>
      <w:r>
        <w:t xml:space="preserve">). Please note that online submission via </w:t>
      </w:r>
      <w:r w:rsidRPr="00743599">
        <w:rPr>
          <w:b/>
        </w:rPr>
        <w:t>PROSPECT is obligatory</w:t>
      </w:r>
      <w:r>
        <w:t xml:space="preserve"> for this call</w:t>
      </w:r>
      <w:r w:rsidR="00AD295A">
        <w:t>.</w:t>
      </w:r>
    </w:p>
    <w:p w14:paraId="72AE0906" w14:textId="77777777" w:rsidR="00F657C9" w:rsidRPr="00807DAF" w:rsidRDefault="00F657C9" w:rsidP="00F657C9">
      <w:r w:rsidRPr="00A73F08">
        <w:rPr>
          <w:b/>
        </w:rPr>
        <w:t xml:space="preserve">It is strongly recommended to register in </w:t>
      </w:r>
      <w:proofErr w:type="spellStart"/>
      <w:r w:rsidRPr="00A73F08">
        <w:rPr>
          <w:b/>
        </w:rPr>
        <w:t>PADOR</w:t>
      </w:r>
      <w:proofErr w:type="spellEnd"/>
      <w:r w:rsidRPr="00A73F08">
        <w:rPr>
          <w:b/>
        </w:rPr>
        <w:t xml:space="preserve"> </w:t>
      </w:r>
      <w:r>
        <w:rPr>
          <w:b/>
        </w:rPr>
        <w:t xml:space="preserve">well in advance </w:t>
      </w:r>
      <w:r w:rsidRPr="00A73F08">
        <w:rPr>
          <w:b/>
        </w:rPr>
        <w:t xml:space="preserve">and not to wait until </w:t>
      </w:r>
      <w:r>
        <w:rPr>
          <w:b/>
        </w:rPr>
        <w:t xml:space="preserve">the last minute </w:t>
      </w:r>
      <w:r w:rsidRPr="00A73F08">
        <w:rPr>
          <w:b/>
        </w:rPr>
        <w:t xml:space="preserve">before the </w:t>
      </w:r>
      <w:r>
        <w:rPr>
          <w:b/>
        </w:rPr>
        <w:t>deadline</w:t>
      </w:r>
      <w:r>
        <w:t xml:space="preserve"> </w:t>
      </w:r>
      <w:r>
        <w:rPr>
          <w:b/>
        </w:rPr>
        <w:t xml:space="preserve">to submit your application in PROSPECT. </w:t>
      </w:r>
    </w:p>
    <w:p w14:paraId="199D313B" w14:textId="77777777" w:rsidR="00F657C9" w:rsidRPr="00F657C9" w:rsidRDefault="00F657C9" w:rsidP="00F657C9">
      <w:r w:rsidRPr="00807DAF">
        <w:t xml:space="preserve">Before starting </w:t>
      </w:r>
      <w:r>
        <w:t>using</w:t>
      </w:r>
      <w:r w:rsidRPr="00807DAF">
        <w:t xml:space="preserve"> </w:t>
      </w:r>
      <w:proofErr w:type="spellStart"/>
      <w:r w:rsidRPr="00807DAF">
        <w:t>PADOR</w:t>
      </w:r>
      <w:proofErr w:type="spellEnd"/>
      <w:r>
        <w:t xml:space="preserve"> and PROSPECT</w:t>
      </w:r>
      <w:r w:rsidRPr="00807DAF">
        <w:t xml:space="preserve">, please read the </w:t>
      </w:r>
      <w:r>
        <w:t>user guides available</w:t>
      </w:r>
      <w:r w:rsidRPr="00807DAF">
        <w:t xml:space="preserve"> on the website. </w:t>
      </w:r>
      <w:r>
        <w:rPr>
          <w:lang w:eastAsia="en-GB"/>
        </w:rPr>
        <w:t xml:space="preserve">All technical questions related the use of these systems should be addressed to the IT helpdesk at </w:t>
      </w:r>
      <w:hyperlink r:id="rId20" w:history="1">
        <w:r w:rsidR="00AD295A" w:rsidRPr="00AD295A">
          <w:rPr>
            <w:rStyle w:val="Hyperlink"/>
          </w:rPr>
          <w:t>INTPA-SUPPORT-SERVICES@ec.europa.eu</w:t>
        </w:r>
      </w:hyperlink>
      <w:r w:rsidR="00AD295A">
        <w:rPr>
          <w:color w:val="1F497D"/>
        </w:rPr>
        <w:t xml:space="preserve"> </w:t>
      </w:r>
      <w:r>
        <w:rPr>
          <w:b/>
        </w:rPr>
        <w:t>via the online support form in PROSPECT.</w:t>
      </w:r>
    </w:p>
    <w:p w14:paraId="3E765643" w14:textId="77777777" w:rsidR="008B4806" w:rsidRPr="00BA6979" w:rsidRDefault="008B4806" w:rsidP="000E75FE">
      <w:pPr>
        <w:pStyle w:val="Guidelines3"/>
        <w:numPr>
          <w:ilvl w:val="2"/>
          <w:numId w:val="9"/>
        </w:numPr>
      </w:pPr>
      <w:bookmarkStart w:id="17" w:name="_Toc125454352"/>
      <w:bookmarkStart w:id="18" w:name="_Toc74830955"/>
      <w:r w:rsidRPr="00BA6979">
        <w:t xml:space="preserve">Concept </w:t>
      </w:r>
      <w:r w:rsidR="000D61C6" w:rsidRPr="00BA6979">
        <w:t>n</w:t>
      </w:r>
      <w:r w:rsidRPr="00BA6979">
        <w:t xml:space="preserve">ote </w:t>
      </w:r>
      <w:bookmarkEnd w:id="17"/>
      <w:r w:rsidR="00DB0B48" w:rsidRPr="00BA6979">
        <w:t>conten</w:t>
      </w:r>
      <w:r w:rsidR="005D7AF3" w:rsidRPr="00BA6979">
        <w:t>t</w:t>
      </w:r>
      <w:bookmarkEnd w:id="18"/>
      <w:r w:rsidR="005D7AF3" w:rsidRPr="00BA6979">
        <w:t xml:space="preserve"> </w:t>
      </w:r>
      <w:r w:rsidRPr="00BA6979">
        <w:t xml:space="preserve"> </w:t>
      </w:r>
    </w:p>
    <w:p w14:paraId="5CD81A29" w14:textId="77777777" w:rsidR="00DB0B48" w:rsidRPr="00807DAF" w:rsidRDefault="00DB0B48" w:rsidP="00D570FA">
      <w:pPr>
        <w:spacing w:before="240"/>
        <w:rPr>
          <w:color w:val="000000"/>
        </w:rPr>
      </w:pPr>
      <w:r w:rsidRPr="00BA6979">
        <w:t xml:space="preserve">Applications must be submitted </w:t>
      </w:r>
      <w:r w:rsidR="00E94F83" w:rsidRPr="00BA6979">
        <w:t xml:space="preserve">in accordance </w:t>
      </w:r>
      <w:r w:rsidRPr="00BA6979">
        <w:t xml:space="preserve">with the </w:t>
      </w:r>
      <w:r w:rsidR="000D61C6" w:rsidRPr="00BA6979">
        <w:t>c</w:t>
      </w:r>
      <w:r w:rsidRPr="00BA6979">
        <w:t xml:space="preserve">oncept </w:t>
      </w:r>
      <w:r w:rsidR="000D61C6" w:rsidRPr="00BA6979">
        <w:t>n</w:t>
      </w:r>
      <w:r w:rsidRPr="00BA6979">
        <w:t>ote</w:t>
      </w:r>
      <w:r w:rsidR="00F47D23" w:rsidRPr="00BA6979">
        <w:t xml:space="preserve"> instructions</w:t>
      </w:r>
      <w:r w:rsidRPr="00BA6979">
        <w:t xml:space="preserve"> in the </w:t>
      </w:r>
      <w:r w:rsidR="000D61C6" w:rsidRPr="00BA6979">
        <w:t>g</w:t>
      </w:r>
      <w:r w:rsidRPr="00BA6979">
        <w:t xml:space="preserve">rant </w:t>
      </w:r>
      <w:r w:rsidR="000D61C6" w:rsidRPr="00BA6979">
        <w:t>a</w:t>
      </w:r>
      <w:r w:rsidRPr="00BA6979">
        <w:t xml:space="preserve">pplication </w:t>
      </w:r>
      <w:r w:rsidR="000D61C6" w:rsidRPr="00BA6979">
        <w:t>f</w:t>
      </w:r>
      <w:r w:rsidRPr="00BA6979">
        <w:t xml:space="preserve">orm annexed to these </w:t>
      </w:r>
      <w:r w:rsidR="000D61C6" w:rsidRPr="00BA6979">
        <w:t>g</w:t>
      </w:r>
      <w:r w:rsidRPr="00BA6979">
        <w:t xml:space="preserve">uidelines (Annex A). </w:t>
      </w:r>
      <w:r w:rsidR="00DA5A09" w:rsidRPr="00DA5A09">
        <w:t xml:space="preserve">Lead applicants should then keep strictly to the format of the </w:t>
      </w:r>
      <w:r w:rsidR="00DA5A09">
        <w:t>concept note</w:t>
      </w:r>
      <w:r w:rsidR="00DA5A09" w:rsidRPr="00DA5A09">
        <w:t xml:space="preserve"> and fill in the paragraphs and pages in order.</w:t>
      </w:r>
    </w:p>
    <w:p w14:paraId="69707E38" w14:textId="37FC48F1" w:rsidR="00DB0B48" w:rsidRPr="00807DAF" w:rsidRDefault="00DB0B48" w:rsidP="0068216F">
      <w:pPr>
        <w:rPr>
          <w:color w:val="000000"/>
        </w:rPr>
      </w:pPr>
      <w:r w:rsidRPr="00BA6979">
        <w:rPr>
          <w:color w:val="000000"/>
        </w:rPr>
        <w:t xml:space="preserve">Applicants must apply in </w:t>
      </w:r>
      <w:r w:rsidR="00C67AE4">
        <w:rPr>
          <w:color w:val="000000"/>
        </w:rPr>
        <w:t>English</w:t>
      </w:r>
    </w:p>
    <w:p w14:paraId="1BA716B1" w14:textId="77777777" w:rsidR="0059137A" w:rsidRPr="00BA6979" w:rsidRDefault="0059137A" w:rsidP="0068216F">
      <w:r w:rsidRPr="00BA6979">
        <w:t>Please note that:</w:t>
      </w:r>
    </w:p>
    <w:p w14:paraId="741E50CD" w14:textId="77777777" w:rsidR="00B723AF" w:rsidRPr="00382AEC" w:rsidRDefault="00B723AF" w:rsidP="00BA6979">
      <w:pPr>
        <w:ind w:left="360"/>
      </w:pPr>
      <w:r>
        <w:t xml:space="preserve">1. </w:t>
      </w:r>
      <w:r w:rsidR="00DB0B48" w:rsidRPr="00BA6979">
        <w:t xml:space="preserve">In the </w:t>
      </w:r>
      <w:r w:rsidR="000D61C6" w:rsidRPr="00BA6979">
        <w:t>c</w:t>
      </w:r>
      <w:r w:rsidR="00DB0B48" w:rsidRPr="00BA6979">
        <w:t xml:space="preserve">oncept </w:t>
      </w:r>
      <w:r w:rsidR="000D61C6" w:rsidRPr="00BA6979">
        <w:t>n</w:t>
      </w:r>
      <w:r w:rsidR="00DB0B48" w:rsidRPr="00BA6979">
        <w:t xml:space="preserve">ote, </w:t>
      </w:r>
      <w:r w:rsidR="00B114D9" w:rsidRPr="00BA6979">
        <w:t>lead a</w:t>
      </w:r>
      <w:r w:rsidR="00DB0B48" w:rsidRPr="00BA6979">
        <w:t xml:space="preserve">pplicants must </w:t>
      </w:r>
      <w:r w:rsidR="00E94F83" w:rsidRPr="00BA6979">
        <w:t xml:space="preserve">only </w:t>
      </w:r>
      <w:r w:rsidR="00DB0B48" w:rsidRPr="00BA6979">
        <w:t xml:space="preserve">provide an estimate of </w:t>
      </w:r>
      <w:r w:rsidR="00E94F83" w:rsidRPr="00BA6979">
        <w:t xml:space="preserve">the </w:t>
      </w:r>
      <w:r w:rsidR="002B68A5" w:rsidRPr="00BA6979">
        <w:t xml:space="preserve">requested EU </w:t>
      </w:r>
      <w:r w:rsidR="00E94F83" w:rsidRPr="00BA6979">
        <w:t xml:space="preserve">contribution </w:t>
      </w:r>
      <w:r w:rsidR="002B68A5" w:rsidRPr="00BA6979">
        <w:t xml:space="preserve">as well as </w:t>
      </w:r>
      <w:r w:rsidR="00EE2C5A" w:rsidRPr="00BA6979">
        <w:t xml:space="preserve">an indicative percentage of that contribution in relation to the </w:t>
      </w:r>
      <w:r w:rsidR="00A762B5" w:rsidRPr="00BA6979">
        <w:t xml:space="preserve">eligible costs </w:t>
      </w:r>
      <w:r w:rsidR="00EE2C5A" w:rsidRPr="00BA6979">
        <w:t xml:space="preserve">of the </w:t>
      </w:r>
      <w:r w:rsidR="000D61C6" w:rsidRPr="00BA6979">
        <w:t>a</w:t>
      </w:r>
      <w:r w:rsidR="00EE2C5A" w:rsidRPr="00BA6979">
        <w:t>ction</w:t>
      </w:r>
      <w:r w:rsidR="00DB0B48" w:rsidRPr="00BA6979">
        <w:t xml:space="preserve">. </w:t>
      </w:r>
      <w:r w:rsidR="00A762B5" w:rsidRPr="00BA6979">
        <w:t>A detailed budget is to be submitted</w:t>
      </w:r>
      <w:r w:rsidR="00A762B5" w:rsidRPr="00B723AF">
        <w:t xml:space="preserve"> </w:t>
      </w:r>
      <w:r w:rsidR="00A762B5" w:rsidRPr="00BA6979">
        <w:t>o</w:t>
      </w:r>
      <w:r w:rsidR="00DB0B48" w:rsidRPr="00BA6979">
        <w:t>nly</w:t>
      </w:r>
      <w:r w:rsidR="00AB5CDD" w:rsidRPr="00BA6979">
        <w:t xml:space="preserve"> by</w:t>
      </w:r>
      <w:r w:rsidR="00DB0B48" w:rsidRPr="00BA6979">
        <w:t xml:space="preserve"> the </w:t>
      </w:r>
      <w:r w:rsidR="00B114D9" w:rsidRPr="00BA6979">
        <w:t xml:space="preserve">lead </w:t>
      </w:r>
      <w:r w:rsidR="00DB0B48" w:rsidRPr="00BA6979">
        <w:t>applicant</w:t>
      </w:r>
      <w:r w:rsidR="00D751A1" w:rsidRPr="00BA6979">
        <w:t>s</w:t>
      </w:r>
      <w:r w:rsidR="00DB0B48" w:rsidRPr="00BA6979">
        <w:t xml:space="preserve"> invited to submit a full </w:t>
      </w:r>
      <w:r w:rsidR="006459C5" w:rsidRPr="00BA6979">
        <w:t>application</w:t>
      </w:r>
      <w:r w:rsidR="00DB0B48" w:rsidRPr="00BA6979">
        <w:t xml:space="preserve"> in the second phase</w:t>
      </w:r>
      <w:r w:rsidR="004B244E" w:rsidRPr="00BA6979">
        <w:t>.</w:t>
      </w:r>
      <w:r w:rsidR="00DB0B48" w:rsidRPr="00BA6979">
        <w:t xml:space="preserve"> </w:t>
      </w:r>
      <w:r>
        <w:t xml:space="preserve">2. </w:t>
      </w:r>
      <w:r w:rsidRPr="00382AEC">
        <w:t>The elements outlined in the concept note may not be modified in the full application</w:t>
      </w:r>
      <w:r w:rsidR="00686F88">
        <w:t>, except for the changes described below:</w:t>
      </w:r>
    </w:p>
    <w:p w14:paraId="4A0EB3C5" w14:textId="77777777" w:rsidR="00B723AF" w:rsidRPr="00382AEC" w:rsidRDefault="00B723AF" w:rsidP="000E75FE">
      <w:pPr>
        <w:numPr>
          <w:ilvl w:val="0"/>
          <w:numId w:val="32"/>
        </w:numPr>
        <w:ind w:left="1134" w:hanging="425"/>
      </w:pPr>
      <w:r w:rsidRPr="00382AEC">
        <w:t>The EU contribution may not vary from the initial estimate by more than 20</w:t>
      </w:r>
      <w:r w:rsidRPr="009B208C">
        <w:rPr>
          <w:w w:val="50"/>
        </w:rPr>
        <w:t> </w:t>
      </w:r>
      <w:r w:rsidRPr="00382AEC">
        <w:t>%. Lead applicants are free to adapt the percentage of co-financing required within the minimum and maximum amount and percentages of co-financing, as laid down in these guidelines in Section 1.3.</w:t>
      </w:r>
      <w:r w:rsidRPr="00382AEC">
        <w:rPr>
          <w:iCs/>
          <w:color w:val="1F497D"/>
        </w:rPr>
        <w:t xml:space="preserve"> </w:t>
      </w:r>
    </w:p>
    <w:p w14:paraId="31136A9A" w14:textId="77777777" w:rsidR="00B723AF" w:rsidRPr="00382AEC" w:rsidRDefault="00B723AF" w:rsidP="000E75FE">
      <w:pPr>
        <w:numPr>
          <w:ilvl w:val="0"/>
          <w:numId w:val="32"/>
        </w:numPr>
        <w:ind w:left="1134" w:hanging="425"/>
      </w:pPr>
      <w:r w:rsidRPr="00382AEC">
        <w:rPr>
          <w:iCs/>
          <w:color w:val="000000"/>
        </w:rPr>
        <w:t xml:space="preserve">The lead applicant may add, remove or </w:t>
      </w:r>
      <w:r w:rsidRPr="007B1B61">
        <w:rPr>
          <w:iCs/>
          <w:color w:val="000000"/>
        </w:rPr>
        <w:t>replace one or more</w:t>
      </w:r>
      <w:r w:rsidRPr="00382AEC">
        <w:rPr>
          <w:iCs/>
          <w:color w:val="000000"/>
        </w:rPr>
        <w:t xml:space="preserve"> co-applicant</w:t>
      </w:r>
      <w:r w:rsidRPr="007B1B61">
        <w:rPr>
          <w:iCs/>
          <w:color w:val="000000"/>
        </w:rPr>
        <w:t xml:space="preserve">(s) or </w:t>
      </w:r>
      <w:r w:rsidRPr="00382AEC">
        <w:rPr>
          <w:iCs/>
          <w:color w:val="000000"/>
        </w:rPr>
        <w:t xml:space="preserve">affiliated entity </w:t>
      </w:r>
      <w:r w:rsidRPr="007B1B61">
        <w:rPr>
          <w:iCs/>
          <w:color w:val="000000"/>
        </w:rPr>
        <w:t>(</w:t>
      </w:r>
      <w:proofErr w:type="spellStart"/>
      <w:r w:rsidRPr="007B1B61">
        <w:rPr>
          <w:iCs/>
          <w:color w:val="000000"/>
        </w:rPr>
        <w:t>ies</w:t>
      </w:r>
      <w:proofErr w:type="spellEnd"/>
      <w:r w:rsidRPr="007B1B61">
        <w:rPr>
          <w:iCs/>
          <w:color w:val="000000"/>
        </w:rPr>
        <w:t>)</w:t>
      </w:r>
      <w:r w:rsidR="00686F88">
        <w:rPr>
          <w:iCs/>
          <w:color w:val="000000"/>
        </w:rPr>
        <w:t xml:space="preserve"> </w:t>
      </w:r>
      <w:r w:rsidRPr="00382AEC">
        <w:rPr>
          <w:iCs/>
          <w:color w:val="000000"/>
        </w:rPr>
        <w:t xml:space="preserve">only in duly justified cases. </w:t>
      </w:r>
    </w:p>
    <w:p w14:paraId="50ED6E36" w14:textId="77777777" w:rsidR="00B723AF" w:rsidRPr="00382AEC" w:rsidRDefault="00B723AF" w:rsidP="000E75FE">
      <w:pPr>
        <w:numPr>
          <w:ilvl w:val="0"/>
          <w:numId w:val="32"/>
        </w:numPr>
        <w:ind w:left="1134" w:hanging="425"/>
      </w:pPr>
      <w:r w:rsidRPr="00382AEC">
        <w:rPr>
          <w:iCs/>
          <w:color w:val="000000"/>
        </w:rPr>
        <w:t>The lead applicant may adjust the duration of the action if unforeseen circumstances outside the scope of the applicants have taken place following the submission of the concept note and require such adaptation (risk of action not being carried out). In such cases</w:t>
      </w:r>
      <w:r w:rsidR="00AD295A">
        <w:rPr>
          <w:iCs/>
          <w:color w:val="000000"/>
        </w:rPr>
        <w:t>,</w:t>
      </w:r>
      <w:r w:rsidRPr="00382AEC">
        <w:rPr>
          <w:iCs/>
          <w:color w:val="000000"/>
        </w:rPr>
        <w:t xml:space="preserve"> the duration must remain within the limits imposed by the guidelines for applicants. </w:t>
      </w:r>
      <w:r w:rsidR="006264EC" w:rsidRPr="00354676">
        <w:t>Own contributions by the applicants can be replaced by other donors' contributions at any time</w:t>
      </w:r>
      <w:r w:rsidR="006264EC">
        <w:t>.</w:t>
      </w:r>
    </w:p>
    <w:p w14:paraId="3FA9E668" w14:textId="77777777" w:rsidR="00B723AF" w:rsidRPr="00382AEC" w:rsidRDefault="00B723AF" w:rsidP="00B723AF">
      <w:pPr>
        <w:rPr>
          <w:b/>
        </w:rPr>
      </w:pPr>
      <w:r w:rsidRPr="00382AEC">
        <w:rPr>
          <w:b/>
          <w:iCs/>
          <w:color w:val="000000"/>
        </w:rPr>
        <w:t>An explanation/justification of the relevant replacements/a</w:t>
      </w:r>
      <w:r w:rsidRPr="007B1B61">
        <w:rPr>
          <w:b/>
          <w:iCs/>
          <w:color w:val="000000"/>
        </w:rPr>
        <w:t xml:space="preserve">djustments shall be included in </w:t>
      </w:r>
      <w:r w:rsidR="00442961">
        <w:rPr>
          <w:b/>
          <w:iCs/>
          <w:color w:val="000000"/>
        </w:rPr>
        <w:t xml:space="preserve">Annex A.2 </w:t>
      </w:r>
      <w:r w:rsidR="00AD295A">
        <w:rPr>
          <w:b/>
          <w:iCs/>
          <w:color w:val="000000"/>
        </w:rPr>
        <w:t>– I</w:t>
      </w:r>
      <w:r w:rsidRPr="007B1B61">
        <w:rPr>
          <w:b/>
          <w:iCs/>
          <w:color w:val="000000"/>
        </w:rPr>
        <w:t xml:space="preserve">nstructions for drafting </w:t>
      </w:r>
      <w:r>
        <w:rPr>
          <w:b/>
          <w:iCs/>
          <w:color w:val="000000"/>
        </w:rPr>
        <w:t>the Full Application</w:t>
      </w:r>
      <w:r w:rsidR="00442961">
        <w:rPr>
          <w:b/>
          <w:iCs/>
          <w:color w:val="000000"/>
        </w:rPr>
        <w:t>, section 2.1.1, point viii</w:t>
      </w:r>
      <w:r>
        <w:rPr>
          <w:b/>
          <w:iCs/>
          <w:color w:val="000000"/>
        </w:rPr>
        <w:t xml:space="preserve">. </w:t>
      </w:r>
      <w:r w:rsidRPr="00382AEC">
        <w:rPr>
          <w:b/>
          <w:iCs/>
        </w:rPr>
        <w:t xml:space="preserve">Should the explanation/justification not be accepted by the </w:t>
      </w:r>
      <w:r w:rsidR="00F925A3">
        <w:rPr>
          <w:b/>
          <w:iCs/>
        </w:rPr>
        <w:t>e</w:t>
      </w:r>
      <w:r w:rsidRPr="00382AEC">
        <w:rPr>
          <w:b/>
          <w:iCs/>
        </w:rPr>
        <w:t xml:space="preserve">valuation </w:t>
      </w:r>
      <w:r w:rsidR="00F925A3">
        <w:rPr>
          <w:b/>
          <w:iCs/>
        </w:rPr>
        <w:t>c</w:t>
      </w:r>
      <w:r w:rsidRPr="00382AEC">
        <w:rPr>
          <w:b/>
          <w:iCs/>
        </w:rPr>
        <w:t xml:space="preserve">ommittee, the proposal may be rejected on that sole </w:t>
      </w:r>
      <w:proofErr w:type="gramStart"/>
      <w:r w:rsidRPr="00382AEC">
        <w:rPr>
          <w:b/>
          <w:iCs/>
        </w:rPr>
        <w:t>basis.</w:t>
      </w:r>
      <w:proofErr w:type="gramEnd"/>
    </w:p>
    <w:p w14:paraId="73F906FC" w14:textId="77777777" w:rsidR="0059137A" w:rsidRPr="00BA6979" w:rsidRDefault="002B68A5" w:rsidP="00BA6979">
      <w:pPr>
        <w:rPr>
          <w:color w:val="000000"/>
          <w:lang w:eastAsia="en-GB"/>
        </w:rPr>
      </w:pPr>
      <w:r w:rsidRPr="00BA6979">
        <w:rPr>
          <w:color w:val="000000"/>
          <w:lang w:eastAsia="en-GB"/>
        </w:rPr>
        <w:t>O</w:t>
      </w:r>
      <w:r w:rsidR="0059137A" w:rsidRPr="00BA6979">
        <w:rPr>
          <w:color w:val="000000"/>
          <w:lang w:eastAsia="en-GB"/>
        </w:rPr>
        <w:t>nly the concept note form will be evaluated. It is therefore of utmost importance that this document contains ALL relevant information concerning the action. No additional annexes should be sent.</w:t>
      </w:r>
    </w:p>
    <w:p w14:paraId="338DDE45" w14:textId="77777777" w:rsidR="00D122E9" w:rsidRPr="00DB5286" w:rsidRDefault="00D122E9" w:rsidP="00D122E9">
      <w:pPr>
        <w:rPr>
          <w:color w:val="000000"/>
        </w:rPr>
      </w:pPr>
      <w:r w:rsidRPr="00DB5286">
        <w:t xml:space="preserve">Please complete the </w:t>
      </w:r>
      <w:r w:rsidR="00A66ADE">
        <w:t>concept note</w:t>
      </w:r>
      <w:r w:rsidRPr="00DB5286">
        <w:t xml:space="preserve"> carefully and as clearly as possible so that it can be assessed properly.</w:t>
      </w:r>
      <w:r w:rsidRPr="00DB5286">
        <w:rPr>
          <w:color w:val="000000"/>
        </w:rPr>
        <w:t xml:space="preserve"> </w:t>
      </w:r>
    </w:p>
    <w:p w14:paraId="6494C61F" w14:textId="77777777" w:rsidR="00DB0B48" w:rsidRPr="00BA6979" w:rsidRDefault="00DB0B48" w:rsidP="0068216F">
      <w:pPr>
        <w:rPr>
          <w:color w:val="000000"/>
        </w:rPr>
      </w:pPr>
      <w:r w:rsidRPr="00BA6979">
        <w:rPr>
          <w:color w:val="000000"/>
        </w:rPr>
        <w:t xml:space="preserve">Any error or major discrepancy related to the </w:t>
      </w:r>
      <w:r w:rsidR="000D61C6" w:rsidRPr="00BA6979">
        <w:rPr>
          <w:color w:val="000000"/>
        </w:rPr>
        <w:t>c</w:t>
      </w:r>
      <w:r w:rsidRPr="00BA6979">
        <w:rPr>
          <w:color w:val="000000"/>
        </w:rPr>
        <w:t xml:space="preserve">oncept </w:t>
      </w:r>
      <w:r w:rsidR="000D61C6" w:rsidRPr="00BA6979">
        <w:rPr>
          <w:color w:val="000000"/>
        </w:rPr>
        <w:t>n</w:t>
      </w:r>
      <w:r w:rsidRPr="00BA6979">
        <w:rPr>
          <w:color w:val="000000"/>
        </w:rPr>
        <w:t xml:space="preserve">ote </w:t>
      </w:r>
      <w:r w:rsidR="002A0BA0" w:rsidRPr="00BA6979">
        <w:rPr>
          <w:color w:val="000000"/>
        </w:rPr>
        <w:t xml:space="preserve">instructions </w:t>
      </w:r>
      <w:r w:rsidRPr="00BA6979">
        <w:rPr>
          <w:color w:val="000000"/>
        </w:rPr>
        <w:t xml:space="preserve">may lead to the rejection of the </w:t>
      </w:r>
      <w:r w:rsidR="000D61C6" w:rsidRPr="00BA6979">
        <w:rPr>
          <w:color w:val="000000"/>
        </w:rPr>
        <w:t>c</w:t>
      </w:r>
      <w:r w:rsidRPr="00BA6979">
        <w:rPr>
          <w:color w:val="000000"/>
        </w:rPr>
        <w:t xml:space="preserve">oncept </w:t>
      </w:r>
      <w:r w:rsidR="000D61C6" w:rsidRPr="00BA6979">
        <w:rPr>
          <w:color w:val="000000"/>
        </w:rPr>
        <w:t>n</w:t>
      </w:r>
      <w:r w:rsidRPr="00BA6979">
        <w:rPr>
          <w:color w:val="000000"/>
        </w:rPr>
        <w:t>ote.</w:t>
      </w:r>
      <w:r w:rsidR="00D122E9">
        <w:rPr>
          <w:color w:val="000000"/>
        </w:rPr>
        <w:t xml:space="preserve"> </w:t>
      </w:r>
    </w:p>
    <w:p w14:paraId="3A8170EC" w14:textId="77777777" w:rsidR="00DB0B48" w:rsidRPr="00BA6979" w:rsidRDefault="00DB0B48" w:rsidP="0068216F">
      <w:r w:rsidRPr="00BA6979">
        <w:rPr>
          <w:color w:val="000000"/>
        </w:rPr>
        <w:t xml:space="preserve">Clarifications will only be requested when information provided is </w:t>
      </w:r>
      <w:r w:rsidR="006E09FB" w:rsidRPr="00BA6979">
        <w:rPr>
          <w:color w:val="000000"/>
        </w:rPr>
        <w:t>not sufficient to conduct</w:t>
      </w:r>
      <w:r w:rsidRPr="00BA6979">
        <w:rPr>
          <w:color w:val="000000"/>
        </w:rPr>
        <w:t xml:space="preserve"> an objective assessment. </w:t>
      </w:r>
    </w:p>
    <w:p w14:paraId="12D5E986" w14:textId="77777777" w:rsidR="008B4806" w:rsidRPr="00BA6979" w:rsidRDefault="008B4806" w:rsidP="000E75FE">
      <w:pPr>
        <w:pStyle w:val="Guidelines3"/>
        <w:numPr>
          <w:ilvl w:val="2"/>
          <w:numId w:val="9"/>
        </w:numPr>
      </w:pPr>
      <w:bookmarkStart w:id="19" w:name="_Toc125454353"/>
      <w:bookmarkStart w:id="20" w:name="_Toc74830957"/>
      <w:r w:rsidRPr="00BA6979">
        <w:t>Where and how to send</w:t>
      </w:r>
      <w:r w:rsidR="000D61C6" w:rsidRPr="00BA6979">
        <w:t xml:space="preserve"> c</w:t>
      </w:r>
      <w:r w:rsidRPr="00BA6979">
        <w:t xml:space="preserve">oncept </w:t>
      </w:r>
      <w:r w:rsidR="000D61C6" w:rsidRPr="00BA6979">
        <w:t>n</w:t>
      </w:r>
      <w:r w:rsidRPr="00BA6979">
        <w:t>otes</w:t>
      </w:r>
      <w:bookmarkEnd w:id="19"/>
      <w:bookmarkEnd w:id="20"/>
    </w:p>
    <w:p w14:paraId="336C80B6" w14:textId="77777777" w:rsidR="00BF389A" w:rsidRDefault="00BF389A" w:rsidP="00BF389A">
      <w:pPr>
        <w:spacing w:before="240"/>
      </w:pPr>
      <w:r>
        <w:t xml:space="preserve">The concept note together </w:t>
      </w:r>
      <w:r w:rsidR="00465AA9">
        <w:t xml:space="preserve">with </w:t>
      </w:r>
      <w:r>
        <w:t xml:space="preserve">the declaration by the lead applicant (Annex A.1 section 2) </w:t>
      </w:r>
      <w:r w:rsidRPr="00A73F08">
        <w:rPr>
          <w:b/>
        </w:rPr>
        <w:t>must</w:t>
      </w:r>
      <w:r>
        <w:t xml:space="preserve"> </w:t>
      </w:r>
      <w:r w:rsidRPr="00A73F08">
        <w:rPr>
          <w:b/>
        </w:rPr>
        <w:t>be submitted online</w:t>
      </w:r>
      <w:r>
        <w:t xml:space="preserve"> </w:t>
      </w:r>
      <w:r w:rsidRPr="00A73F08">
        <w:rPr>
          <w:b/>
        </w:rPr>
        <w:t>via PROSPECT</w:t>
      </w:r>
      <w:r>
        <w:t xml:space="preserve"> </w:t>
      </w:r>
      <w:hyperlink r:id="rId21" w:history="1">
        <w:r w:rsidR="00F874BB" w:rsidRPr="00556E3A">
          <w:rPr>
            <w:rStyle w:val="Hyperlink"/>
          </w:rPr>
          <w:t>https://webgate.ec.europa.eu/prospect</w:t>
        </w:r>
      </w:hyperlink>
      <w:r w:rsidR="00F874BB">
        <w:t xml:space="preserve">  </w:t>
      </w:r>
      <w:r>
        <w:t>following the instructions given in the PROSPECT user manual.</w:t>
      </w:r>
    </w:p>
    <w:p w14:paraId="6492A772" w14:textId="77777777" w:rsidR="00BF389A" w:rsidRDefault="00BF389A" w:rsidP="00BA6979">
      <w:pPr>
        <w:pStyle w:val="Default"/>
        <w:jc w:val="both"/>
        <w:rPr>
          <w:sz w:val="22"/>
          <w:szCs w:val="22"/>
        </w:rPr>
      </w:pPr>
      <w:r>
        <w:rPr>
          <w:sz w:val="22"/>
          <w:szCs w:val="22"/>
        </w:rPr>
        <w:t xml:space="preserve">Upon submission of a concept note online, the lead applicant will receive an automatic confirmation of receipt in its PROSPECT profile. </w:t>
      </w:r>
    </w:p>
    <w:p w14:paraId="692EBEBE" w14:textId="77777777" w:rsidR="00BB62BE" w:rsidRPr="00A73F08" w:rsidRDefault="00BB62BE" w:rsidP="00BA6979">
      <w:pPr>
        <w:pStyle w:val="Default"/>
        <w:jc w:val="both"/>
        <w:rPr>
          <w:sz w:val="22"/>
          <w:szCs w:val="22"/>
        </w:rPr>
      </w:pPr>
    </w:p>
    <w:p w14:paraId="7C8EFF3C" w14:textId="77777777" w:rsidR="00BF389A" w:rsidRPr="0020704F" w:rsidRDefault="00BF389A" w:rsidP="00BF389A">
      <w:r>
        <w:rPr>
          <w:b/>
          <w:u w:val="single"/>
        </w:rPr>
        <w:t>Please note that i</w:t>
      </w:r>
      <w:r w:rsidRPr="00F624A2">
        <w:rPr>
          <w:b/>
          <w:u w:val="single"/>
        </w:rPr>
        <w:t xml:space="preserve">ncomplete </w:t>
      </w:r>
      <w:r>
        <w:rPr>
          <w:b/>
          <w:u w:val="single"/>
        </w:rPr>
        <w:t>c</w:t>
      </w:r>
      <w:r w:rsidRPr="00F624A2">
        <w:rPr>
          <w:b/>
          <w:u w:val="single"/>
        </w:rPr>
        <w:t xml:space="preserve">oncept </w:t>
      </w:r>
      <w:r>
        <w:rPr>
          <w:b/>
          <w:u w:val="single"/>
        </w:rPr>
        <w:t>n</w:t>
      </w:r>
      <w:r w:rsidRPr="00F624A2">
        <w:rPr>
          <w:b/>
          <w:u w:val="single"/>
        </w:rPr>
        <w:t>otes may be rejected</w:t>
      </w:r>
      <w:r w:rsidRPr="00C0414D">
        <w:rPr>
          <w:b/>
        </w:rPr>
        <w:t>.</w:t>
      </w:r>
      <w:r w:rsidRPr="00C0414D">
        <w:t xml:space="preserve"> Lead </w:t>
      </w:r>
      <w:r>
        <w:t>a</w:t>
      </w:r>
      <w:r w:rsidRPr="00564F01">
        <w:t xml:space="preserve">pplicants </w:t>
      </w:r>
      <w:r>
        <w:t xml:space="preserve">are advised to </w:t>
      </w:r>
      <w:r w:rsidRPr="00564F01">
        <w:t xml:space="preserve">verify that their </w:t>
      </w:r>
      <w:r>
        <w:t>c</w:t>
      </w:r>
      <w:r w:rsidRPr="00564F01">
        <w:t xml:space="preserve">oncept </w:t>
      </w:r>
      <w:r>
        <w:t>n</w:t>
      </w:r>
      <w:r w:rsidRPr="00564F01">
        <w:t xml:space="preserve">ote is complete by using the </w:t>
      </w:r>
      <w:r>
        <w:t>c</w:t>
      </w:r>
      <w:r w:rsidRPr="00C0414D">
        <w:t>hecklist</w:t>
      </w:r>
      <w:r>
        <w:t xml:space="preserve"> f</w:t>
      </w:r>
      <w:r w:rsidRPr="00564F01">
        <w:t xml:space="preserve">or </w:t>
      </w:r>
      <w:r>
        <w:t>c</w:t>
      </w:r>
      <w:r w:rsidRPr="00564F01">
        <w:t xml:space="preserve">oncept </w:t>
      </w:r>
      <w:r>
        <w:t>n</w:t>
      </w:r>
      <w:r w:rsidRPr="00564F01">
        <w:t>ote (Annex A.1</w:t>
      </w:r>
      <w:r>
        <w:t>, Instructions</w:t>
      </w:r>
      <w:r w:rsidRPr="00564F01">
        <w:t>).</w:t>
      </w:r>
    </w:p>
    <w:p w14:paraId="14E292D7" w14:textId="77777777" w:rsidR="008B4806" w:rsidRPr="00BA6979" w:rsidRDefault="008B4806" w:rsidP="000E75FE">
      <w:pPr>
        <w:pStyle w:val="Guidelines3"/>
        <w:numPr>
          <w:ilvl w:val="2"/>
          <w:numId w:val="9"/>
        </w:numPr>
      </w:pPr>
      <w:bookmarkStart w:id="21" w:name="_Toc125454354"/>
      <w:bookmarkStart w:id="22" w:name="_Toc74830958"/>
      <w:r w:rsidRPr="00BA6979">
        <w:t xml:space="preserve">Deadline for </w:t>
      </w:r>
      <w:r w:rsidR="005C3B40" w:rsidRPr="00BA6979">
        <w:t xml:space="preserve">submission </w:t>
      </w:r>
      <w:r w:rsidRPr="00BA6979">
        <w:t xml:space="preserve">of </w:t>
      </w:r>
      <w:r w:rsidR="005A0945" w:rsidRPr="00BA6979">
        <w:t>c</w:t>
      </w:r>
      <w:r w:rsidRPr="00BA6979">
        <w:t xml:space="preserve">oncept </w:t>
      </w:r>
      <w:r w:rsidR="005A0945" w:rsidRPr="00BA6979">
        <w:t>n</w:t>
      </w:r>
      <w:r w:rsidRPr="00BA6979">
        <w:t>otes</w:t>
      </w:r>
      <w:bookmarkEnd w:id="21"/>
      <w:bookmarkEnd w:id="22"/>
      <w:r w:rsidRPr="00BA6979">
        <w:t xml:space="preserve"> </w:t>
      </w:r>
    </w:p>
    <w:p w14:paraId="6863CA74" w14:textId="56F21EE6" w:rsidR="00F15B3D" w:rsidRDefault="00E72707" w:rsidP="00F15B3D">
      <w:pPr>
        <w:spacing w:before="240"/>
      </w:pPr>
      <w:r w:rsidRPr="00FE05D4">
        <w:t xml:space="preserve">The deadline for the submission of </w:t>
      </w:r>
      <w:r>
        <w:t>concept notes</w:t>
      </w:r>
      <w:r w:rsidRPr="00FE05D4">
        <w:t xml:space="preserve"> is</w:t>
      </w:r>
      <w:r w:rsidR="00214406">
        <w:t xml:space="preserve"> </w:t>
      </w:r>
      <w:r w:rsidR="00F72108">
        <w:rPr>
          <w:b/>
        </w:rPr>
        <w:t xml:space="preserve">03 May </w:t>
      </w:r>
      <w:r w:rsidR="000100AF">
        <w:rPr>
          <w:b/>
        </w:rPr>
        <w:t>2024</w:t>
      </w:r>
      <w:r w:rsidR="00C03BB3" w:rsidRPr="00262AD9">
        <w:rPr>
          <w:b/>
        </w:rPr>
        <w:t xml:space="preserve"> </w:t>
      </w:r>
      <w:r w:rsidR="00F15B3D" w:rsidRPr="00C03BB3">
        <w:rPr>
          <w:b/>
        </w:rPr>
        <w:t>at</w:t>
      </w:r>
      <w:r w:rsidR="00F15B3D" w:rsidRPr="00681637">
        <w:rPr>
          <w:b/>
        </w:rPr>
        <w:t xml:space="preserve"> 16:00 (Brussels date and time)</w:t>
      </w:r>
      <w:r w:rsidR="00F15B3D" w:rsidRPr="00C93603">
        <w:t xml:space="preserve">. </w:t>
      </w:r>
    </w:p>
    <w:p w14:paraId="53280743" w14:textId="51572B29" w:rsidR="00E72707" w:rsidRDefault="00E72707" w:rsidP="00E72707">
      <w:pPr>
        <w:spacing w:before="240"/>
      </w:pPr>
      <w:r w:rsidRPr="0040468C">
        <w:rPr>
          <w:szCs w:val="32"/>
        </w:rPr>
        <w:t>In order to convert this deadline to local time you can use an</w:t>
      </w:r>
      <w:r>
        <w:rPr>
          <w:szCs w:val="32"/>
        </w:rPr>
        <w:t>y</w:t>
      </w:r>
      <w:r w:rsidRPr="0040468C">
        <w:rPr>
          <w:szCs w:val="32"/>
        </w:rPr>
        <w:t xml:space="preserve"> online time converter tool that takes into account </w:t>
      </w:r>
      <w:proofErr w:type="spellStart"/>
      <w:r w:rsidRPr="0040468C">
        <w:rPr>
          <w:szCs w:val="32"/>
        </w:rPr>
        <w:t>timezones</w:t>
      </w:r>
      <w:proofErr w:type="spellEnd"/>
      <w:r w:rsidRPr="0040468C">
        <w:rPr>
          <w:szCs w:val="32"/>
        </w:rPr>
        <w:t xml:space="preserve"> and winter/summer time changes </w:t>
      </w:r>
      <w:r>
        <w:rPr>
          <w:szCs w:val="32"/>
        </w:rPr>
        <w:t>(example available</w:t>
      </w:r>
      <w:r w:rsidRPr="005F491D">
        <w:rPr>
          <w:b/>
          <w:szCs w:val="32"/>
        </w:rPr>
        <w:t xml:space="preserve"> </w:t>
      </w:r>
      <w:hyperlink r:id="rId22" w:history="1">
        <w:r w:rsidRPr="00493B68">
          <w:rPr>
            <w:rStyle w:val="Hyperlink"/>
            <w:b/>
            <w:szCs w:val="32"/>
          </w:rPr>
          <w:t>here</w:t>
        </w:r>
      </w:hyperlink>
      <w:proofErr w:type="gramStart"/>
      <w:r w:rsidR="00493B68" w:rsidRPr="00BA6979">
        <w:rPr>
          <w:szCs w:val="32"/>
        </w:rPr>
        <w:t>)</w:t>
      </w:r>
      <w:r w:rsidR="00493B68">
        <w:rPr>
          <w:b/>
          <w:szCs w:val="32"/>
        </w:rPr>
        <w:t xml:space="preserve"> </w:t>
      </w:r>
      <w:r>
        <w:rPr>
          <w:b/>
          <w:szCs w:val="32"/>
        </w:rPr>
        <w:t xml:space="preserve"> </w:t>
      </w:r>
      <w:r w:rsidRPr="0040468C">
        <w:rPr>
          <w:b/>
        </w:rPr>
        <w:t>The</w:t>
      </w:r>
      <w:proofErr w:type="gramEnd"/>
      <w:r w:rsidRPr="0040468C">
        <w:rPr>
          <w:b/>
        </w:rPr>
        <w:t xml:space="preserve"> </w:t>
      </w:r>
      <w:r>
        <w:rPr>
          <w:b/>
        </w:rPr>
        <w:t>lead a</w:t>
      </w:r>
      <w:r w:rsidRPr="0040468C">
        <w:rPr>
          <w:b/>
        </w:rPr>
        <w:t>pplicant is strongly advised not to wait until the last day to submit</w:t>
      </w:r>
      <w:r w:rsidRPr="00FE05D4">
        <w:t xml:space="preserve"> </w:t>
      </w:r>
      <w:r>
        <w:t>its</w:t>
      </w:r>
      <w:r w:rsidRPr="00FE05D4">
        <w:t xml:space="preserve"> </w:t>
      </w:r>
      <w:r>
        <w:t>c</w:t>
      </w:r>
      <w:r w:rsidRPr="00FE05D4">
        <w:t xml:space="preserve">oncept </w:t>
      </w:r>
      <w:r>
        <w:t>n</w:t>
      </w:r>
      <w:r w:rsidRPr="00FE05D4">
        <w:t xml:space="preserve">ote, since heavy Internet traffic or a fault with the Internet connection (including electricity failure, etc.) could lead to difficulties in submission. The </w:t>
      </w:r>
      <w:r w:rsidR="003F667F">
        <w:t>c</w:t>
      </w:r>
      <w:r w:rsidR="003F667F" w:rsidRPr="00FE05D4">
        <w:t>ont</w:t>
      </w:r>
      <w:r w:rsidR="00465AA9">
        <w:t>r</w:t>
      </w:r>
      <w:r w:rsidR="003F667F" w:rsidRPr="00FE05D4">
        <w:t xml:space="preserve">acting </w:t>
      </w:r>
      <w:r w:rsidR="003F667F">
        <w:t>a</w:t>
      </w:r>
      <w:r w:rsidR="003F667F" w:rsidRPr="00FE05D4">
        <w:t xml:space="preserve">uthority </w:t>
      </w:r>
      <w:r w:rsidRPr="00FE05D4">
        <w:t>cannot be held responsible for any delay due to such afore-mentioned difficulties</w:t>
      </w:r>
      <w:r w:rsidRPr="00BA1231">
        <w:t>.</w:t>
      </w:r>
      <w:r>
        <w:t xml:space="preserve"> </w:t>
      </w:r>
    </w:p>
    <w:p w14:paraId="6C97FE0E" w14:textId="77777777" w:rsidR="00B41A93" w:rsidRDefault="00E72707" w:rsidP="003F667F">
      <w:pPr>
        <w:spacing w:before="240"/>
        <w:rPr>
          <w:lang w:bidi="kn-IN"/>
        </w:rPr>
      </w:pPr>
      <w:r w:rsidRPr="00FE05D4">
        <w:t xml:space="preserve">Any </w:t>
      </w:r>
      <w:r>
        <w:t>c</w:t>
      </w:r>
      <w:r w:rsidRPr="00FE05D4">
        <w:t xml:space="preserve">oncept </w:t>
      </w:r>
      <w:r>
        <w:t>n</w:t>
      </w:r>
      <w:r w:rsidRPr="00FE05D4">
        <w:t>ote submitted after the deadline will be rejected.</w:t>
      </w:r>
    </w:p>
    <w:p w14:paraId="1DFA5F5E" w14:textId="77777777" w:rsidR="008B4806" w:rsidRPr="00BA6979" w:rsidRDefault="008B4806" w:rsidP="000E75FE">
      <w:pPr>
        <w:pStyle w:val="Guidelines3"/>
        <w:numPr>
          <w:ilvl w:val="2"/>
          <w:numId w:val="9"/>
        </w:numPr>
      </w:pPr>
      <w:bookmarkStart w:id="23" w:name="_Toc125454355"/>
      <w:bookmarkStart w:id="24" w:name="_Toc74830959"/>
      <w:r w:rsidRPr="00BA6979">
        <w:t>Further information</w:t>
      </w:r>
      <w:bookmarkEnd w:id="23"/>
      <w:r w:rsidR="00CF7BEF" w:rsidRPr="00BA6979">
        <w:t xml:space="preserve"> </w:t>
      </w:r>
      <w:r w:rsidR="00E3173F" w:rsidRPr="00BA6979">
        <w:t xml:space="preserve">about </w:t>
      </w:r>
      <w:r w:rsidR="005A0945" w:rsidRPr="00BA6979">
        <w:t>c</w:t>
      </w:r>
      <w:r w:rsidR="00CF7BEF" w:rsidRPr="00BA6979">
        <w:t xml:space="preserve">oncept </w:t>
      </w:r>
      <w:r w:rsidR="005A0945" w:rsidRPr="00BA6979">
        <w:t>n</w:t>
      </w:r>
      <w:r w:rsidR="00CF7BEF" w:rsidRPr="00BA6979">
        <w:t>ote</w:t>
      </w:r>
      <w:r w:rsidR="00CB6E77" w:rsidRPr="00BA6979">
        <w:t>s</w:t>
      </w:r>
      <w:bookmarkEnd w:id="24"/>
    </w:p>
    <w:p w14:paraId="29294B6D" w14:textId="06426A4D" w:rsidR="008B4806" w:rsidRPr="00EC7413" w:rsidRDefault="008B4806" w:rsidP="00203ABF">
      <w:pPr>
        <w:spacing w:before="240"/>
      </w:pPr>
      <w:r w:rsidRPr="00807DAF">
        <w:t xml:space="preserve">An information session on this </w:t>
      </w:r>
      <w:r w:rsidR="005A0945">
        <w:t>c</w:t>
      </w:r>
      <w:r w:rsidR="001D0C7B" w:rsidRPr="00807DAF">
        <w:t xml:space="preserve">all for </w:t>
      </w:r>
      <w:r w:rsidR="005A0945">
        <w:t>p</w:t>
      </w:r>
      <w:r w:rsidR="001D0C7B" w:rsidRPr="00807DAF">
        <w:t>roposals</w:t>
      </w:r>
      <w:r w:rsidRPr="00807DAF">
        <w:t xml:space="preserve"> will be held on</w:t>
      </w:r>
      <w:r w:rsidR="005C3B40" w:rsidRPr="00807DAF">
        <w:t xml:space="preserve"> </w:t>
      </w:r>
      <w:r w:rsidR="00F72108">
        <w:rPr>
          <w:b/>
        </w:rPr>
        <w:t>2</w:t>
      </w:r>
      <w:r w:rsidR="008066E2">
        <w:rPr>
          <w:b/>
        </w:rPr>
        <w:t>8</w:t>
      </w:r>
      <w:r w:rsidR="00F72108" w:rsidRPr="00262AD9">
        <w:rPr>
          <w:b/>
        </w:rPr>
        <w:t xml:space="preserve"> </w:t>
      </w:r>
      <w:r w:rsidR="00C03BB3" w:rsidRPr="00262AD9">
        <w:rPr>
          <w:b/>
        </w:rPr>
        <w:t>March</w:t>
      </w:r>
      <w:r w:rsidR="000100AF">
        <w:rPr>
          <w:b/>
        </w:rPr>
        <w:t xml:space="preserve"> 2024</w:t>
      </w:r>
      <w:r w:rsidR="00C03BB3" w:rsidRPr="00262AD9">
        <w:rPr>
          <w:b/>
        </w:rPr>
        <w:t xml:space="preserve"> </w:t>
      </w:r>
      <w:r w:rsidRPr="00262AD9">
        <w:rPr>
          <w:b/>
        </w:rPr>
        <w:t xml:space="preserve">at </w:t>
      </w:r>
      <w:r w:rsidR="00C03BB3" w:rsidRPr="00262AD9">
        <w:rPr>
          <w:b/>
        </w:rPr>
        <w:t>10.00</w:t>
      </w:r>
      <w:r w:rsidR="00B974DD">
        <w:rPr>
          <w:b/>
        </w:rPr>
        <w:t xml:space="preserve">-12.00, </w:t>
      </w:r>
      <w:r w:rsidR="007667CB">
        <w:rPr>
          <w:b/>
        </w:rPr>
        <w:t>(</w:t>
      </w:r>
      <w:r w:rsidR="00B974DD">
        <w:rPr>
          <w:b/>
        </w:rPr>
        <w:t>Brussels</w:t>
      </w:r>
      <w:r w:rsidR="007667CB">
        <w:rPr>
          <w:b/>
        </w:rPr>
        <w:t xml:space="preserve"> date and</w:t>
      </w:r>
      <w:r w:rsidR="00B974DD">
        <w:rPr>
          <w:b/>
        </w:rPr>
        <w:t xml:space="preserve"> time</w:t>
      </w:r>
      <w:r w:rsidR="007667CB">
        <w:rPr>
          <w:b/>
        </w:rPr>
        <w:t>)</w:t>
      </w:r>
      <w:proofErr w:type="gramStart"/>
      <w:r w:rsidR="00B974DD">
        <w:rPr>
          <w:b/>
        </w:rPr>
        <w:t xml:space="preserve">, </w:t>
      </w:r>
      <w:r w:rsidR="00C03BB3" w:rsidRPr="00262AD9">
        <w:rPr>
          <w:b/>
        </w:rPr>
        <w:t xml:space="preserve"> </w:t>
      </w:r>
      <w:r w:rsidR="00C03BB3" w:rsidRPr="00EC7413">
        <w:t>at</w:t>
      </w:r>
      <w:proofErr w:type="gramEnd"/>
      <w:r w:rsidR="00C03BB3" w:rsidRPr="00EC7413">
        <w:t xml:space="preserve"> EU Delegation Office in the Republic of Mo</w:t>
      </w:r>
      <w:r w:rsidR="00262AD9" w:rsidRPr="00EC7413">
        <w:t>ld</w:t>
      </w:r>
      <w:r w:rsidR="00C03BB3" w:rsidRPr="00EC7413">
        <w:t>ova (10</w:t>
      </w:r>
      <w:r w:rsidR="00507090" w:rsidRPr="00EC7413">
        <w:t xml:space="preserve">, </w:t>
      </w:r>
      <w:proofErr w:type="spellStart"/>
      <w:r w:rsidR="00507090" w:rsidRPr="00EC7413">
        <w:t>Mitropolit</w:t>
      </w:r>
      <w:proofErr w:type="spellEnd"/>
      <w:r w:rsidR="00C03BB3" w:rsidRPr="00EC7413">
        <w:t xml:space="preserve"> Petru </w:t>
      </w:r>
      <w:proofErr w:type="spellStart"/>
      <w:r w:rsidR="00C03BB3" w:rsidRPr="00EC7413">
        <w:t>Movil</w:t>
      </w:r>
      <w:proofErr w:type="spellEnd"/>
      <w:r w:rsidR="00262AD9" w:rsidRPr="00EC7413">
        <w:rPr>
          <w:lang w:val="ro-MD"/>
        </w:rPr>
        <w:t>ă str.</w:t>
      </w:r>
      <w:r w:rsidR="00C03BB3" w:rsidRPr="00EC7413">
        <w:t>, Chi</w:t>
      </w:r>
      <w:r w:rsidR="00262AD9" w:rsidRPr="00EC7413">
        <w:t>ș</w:t>
      </w:r>
      <w:r w:rsidR="00C03BB3" w:rsidRPr="00EC7413">
        <w:t>in</w:t>
      </w:r>
      <w:r w:rsidR="00262AD9" w:rsidRPr="00EC7413">
        <w:t>ă</w:t>
      </w:r>
      <w:r w:rsidR="00C03BB3" w:rsidRPr="00EC7413">
        <w:t>u)</w:t>
      </w:r>
      <w:r w:rsidR="00EC7413" w:rsidRPr="00EC7413">
        <w:t>.</w:t>
      </w:r>
    </w:p>
    <w:p w14:paraId="303F69DE" w14:textId="3A49519C" w:rsidR="008B4806" w:rsidRPr="00BA6979" w:rsidRDefault="008B4806" w:rsidP="0068216F">
      <w:r w:rsidRPr="00BA6979">
        <w:t xml:space="preserve">Questions may be sent by e-mail no later than 21 days before the deadline for the </w:t>
      </w:r>
      <w:r w:rsidR="00934768" w:rsidRPr="00BA6979">
        <w:t>submission</w:t>
      </w:r>
      <w:r w:rsidRPr="00BA6979">
        <w:t xml:space="preserve"> of </w:t>
      </w:r>
      <w:r w:rsidR="005A0945" w:rsidRPr="00BA6979">
        <w:t>c</w:t>
      </w:r>
      <w:r w:rsidRPr="00BA6979">
        <w:t xml:space="preserve">oncept </w:t>
      </w:r>
      <w:r w:rsidR="005A0945" w:rsidRPr="00BA6979">
        <w:t>n</w:t>
      </w:r>
      <w:r w:rsidRPr="00BA6979">
        <w:t>otes to the address(</w:t>
      </w:r>
      <w:proofErr w:type="spellStart"/>
      <w:r w:rsidRPr="00BA6979">
        <w:t>es</w:t>
      </w:r>
      <w:proofErr w:type="spellEnd"/>
      <w:r w:rsidRPr="00BA6979">
        <w:t>)</w:t>
      </w:r>
      <w:r w:rsidR="00023576" w:rsidRPr="00BA6979">
        <w:t xml:space="preserve"> below</w:t>
      </w:r>
      <w:r w:rsidRPr="00BA6979">
        <w:t xml:space="preserve">, indicating clearly the reference of the </w:t>
      </w:r>
      <w:r w:rsidR="005A0945" w:rsidRPr="00BA6979">
        <w:t>c</w:t>
      </w:r>
      <w:r w:rsidR="001D0C7B" w:rsidRPr="00BA6979">
        <w:t xml:space="preserve">all for </w:t>
      </w:r>
      <w:r w:rsidR="005A0945" w:rsidRPr="00BA6979">
        <w:t>p</w:t>
      </w:r>
      <w:r w:rsidR="001D0C7B" w:rsidRPr="00BA6979">
        <w:t>roposals</w:t>
      </w:r>
      <w:r w:rsidRPr="00BA6979">
        <w:t>:</w:t>
      </w:r>
    </w:p>
    <w:p w14:paraId="0BCD3840" w14:textId="1D39C6B7" w:rsidR="008B4806" w:rsidRPr="00B723AF" w:rsidRDefault="008B4806" w:rsidP="0068216F">
      <w:pPr>
        <w:ind w:left="567"/>
      </w:pPr>
      <w:r w:rsidRPr="00BA6979">
        <w:t xml:space="preserve">E-mail address: </w:t>
      </w:r>
      <w:hyperlink r:id="rId23" w:history="1">
        <w:r w:rsidR="00EC7413" w:rsidRPr="00A35B20">
          <w:rPr>
            <w:rStyle w:val="Hyperlink"/>
          </w:rPr>
          <w:t>delegation-moldova-procurement@eeas.europa.eu</w:t>
        </w:r>
      </w:hyperlink>
      <w:r w:rsidR="00EC7413">
        <w:t xml:space="preserve"> </w:t>
      </w:r>
      <w:r w:rsidR="002F51B2">
        <w:t xml:space="preserve"> </w:t>
      </w:r>
    </w:p>
    <w:p w14:paraId="52D2C76B" w14:textId="77777777" w:rsidR="002128D0" w:rsidRPr="00BA6979" w:rsidRDefault="002128D0" w:rsidP="0068216F">
      <w:r w:rsidRPr="00BA6979">
        <w:t xml:space="preserve">The </w:t>
      </w:r>
      <w:r w:rsidR="00AA0B45" w:rsidRPr="00BA6979">
        <w:t>c</w:t>
      </w:r>
      <w:r w:rsidRPr="00BA6979">
        <w:t xml:space="preserve">ontracting </w:t>
      </w:r>
      <w:r w:rsidR="00AA0B45" w:rsidRPr="00BA6979">
        <w:t>a</w:t>
      </w:r>
      <w:r w:rsidRPr="00BA6979">
        <w:t>uthority has no obligation to provide clarifications</w:t>
      </w:r>
      <w:r w:rsidR="007C4720" w:rsidRPr="00BA6979">
        <w:t xml:space="preserve"> to questions received </w:t>
      </w:r>
      <w:r w:rsidRPr="00BA6979">
        <w:t>after this date.</w:t>
      </w:r>
    </w:p>
    <w:p w14:paraId="7B3936A0" w14:textId="77777777" w:rsidR="008B4806" w:rsidRPr="00BA6979" w:rsidRDefault="008B4806" w:rsidP="0068216F">
      <w:r w:rsidRPr="00BA6979">
        <w:t xml:space="preserve">Replies will be given no later than 11 days before the deadline for </w:t>
      </w:r>
      <w:r w:rsidR="00CA6D19" w:rsidRPr="00BA6979">
        <w:t xml:space="preserve">submission </w:t>
      </w:r>
      <w:r w:rsidRPr="00BA6979">
        <w:t xml:space="preserve">of </w:t>
      </w:r>
      <w:r w:rsidR="005A0945" w:rsidRPr="00BA6979">
        <w:t>c</w:t>
      </w:r>
      <w:r w:rsidRPr="00BA6979">
        <w:t xml:space="preserve">oncept </w:t>
      </w:r>
      <w:r w:rsidR="005A0945" w:rsidRPr="00BA6979">
        <w:t>n</w:t>
      </w:r>
      <w:r w:rsidRPr="00BA6979">
        <w:t xml:space="preserve">otes. </w:t>
      </w:r>
    </w:p>
    <w:p w14:paraId="5CF18166" w14:textId="77777777" w:rsidR="008B4806" w:rsidRPr="00BA6979" w:rsidRDefault="00023576" w:rsidP="0068216F">
      <w:r w:rsidRPr="00BA6979">
        <w:t>To ensure</w:t>
      </w:r>
      <w:r w:rsidR="008B4806" w:rsidRPr="00BA6979">
        <w:t xml:space="preserve"> equal treatment of applicants, the </w:t>
      </w:r>
      <w:r w:rsidR="005A0945" w:rsidRPr="00BA6979">
        <w:t>c</w:t>
      </w:r>
      <w:r w:rsidR="008B4806" w:rsidRPr="00BA6979">
        <w:t xml:space="preserve">ontracting </w:t>
      </w:r>
      <w:r w:rsidR="005A0945" w:rsidRPr="00BA6979">
        <w:t>a</w:t>
      </w:r>
      <w:r w:rsidR="008B4806" w:rsidRPr="00BA6979">
        <w:t xml:space="preserve">uthority cannot give a prior opinion on the eligibility of </w:t>
      </w:r>
      <w:r w:rsidR="00B114D9" w:rsidRPr="00BA6979">
        <w:t>lead a</w:t>
      </w:r>
      <w:r w:rsidR="008B4806" w:rsidRPr="00BA6979">
        <w:t>pplicant</w:t>
      </w:r>
      <w:r w:rsidR="009901E5" w:rsidRPr="00BA6979">
        <w:t>s</w:t>
      </w:r>
      <w:r w:rsidR="008B4806" w:rsidRPr="00BA6979">
        <w:t xml:space="preserve">, </w:t>
      </w:r>
      <w:r w:rsidR="005A0945" w:rsidRPr="00BA6979">
        <w:t>c</w:t>
      </w:r>
      <w:r w:rsidR="00C662CC" w:rsidRPr="00BA6979">
        <w:t xml:space="preserve">o-applicants, </w:t>
      </w:r>
      <w:r w:rsidR="009901E5" w:rsidRPr="00BA6979">
        <w:t xml:space="preserve">affiliated </w:t>
      </w:r>
      <w:proofErr w:type="gramStart"/>
      <w:r w:rsidR="009901E5" w:rsidRPr="00BA6979">
        <w:t>entity(</w:t>
      </w:r>
      <w:proofErr w:type="spellStart"/>
      <w:proofErr w:type="gramEnd"/>
      <w:r w:rsidR="009901E5" w:rsidRPr="00BA6979">
        <w:t>ies</w:t>
      </w:r>
      <w:proofErr w:type="spellEnd"/>
      <w:r w:rsidR="009901E5" w:rsidRPr="00BA6979">
        <w:t>)</w:t>
      </w:r>
      <w:r w:rsidR="008B12C7" w:rsidRPr="00BA6979">
        <w:t>,</w:t>
      </w:r>
      <w:r w:rsidR="008B4806" w:rsidRPr="00BA6979">
        <w:t xml:space="preserve"> </w:t>
      </w:r>
      <w:r w:rsidR="0068216F" w:rsidRPr="00BA6979">
        <w:t>an</w:t>
      </w:r>
      <w:r w:rsidR="008B4806" w:rsidRPr="00BA6979">
        <w:t xml:space="preserve"> action</w:t>
      </w:r>
      <w:r w:rsidR="008B12C7" w:rsidRPr="00BA6979">
        <w:t xml:space="preserve"> or specific activities</w:t>
      </w:r>
      <w:r w:rsidR="008B4806" w:rsidRPr="00BA6979">
        <w:t>.</w:t>
      </w:r>
    </w:p>
    <w:p w14:paraId="37FE07D6" w14:textId="51CC2C04" w:rsidR="002128D0" w:rsidRDefault="00C52EA8" w:rsidP="0068216F">
      <w:r w:rsidRPr="00BA6979">
        <w:t xml:space="preserve">No individual replies will be given to questions. All questions and answers as well as other important notices to applicants during the course of the evaluation procedure </w:t>
      </w:r>
      <w:r w:rsidR="005649CD" w:rsidRPr="00BA6979">
        <w:t xml:space="preserve">will </w:t>
      </w:r>
      <w:r w:rsidR="008B4806" w:rsidRPr="00BA6979">
        <w:t>be published on the</w:t>
      </w:r>
      <w:r w:rsidR="001249D9" w:rsidRPr="00BA6979">
        <w:t xml:space="preserve"> </w:t>
      </w:r>
      <w:r w:rsidR="003956DF" w:rsidRPr="00BA6979">
        <w:t>website</w:t>
      </w:r>
      <w:r w:rsidR="001249D9" w:rsidRPr="00BA6979">
        <w:t xml:space="preserve"> </w:t>
      </w:r>
      <w:r w:rsidR="00832ACF">
        <w:rPr>
          <w:szCs w:val="22"/>
        </w:rPr>
        <w:t xml:space="preserve">where the call was published: website </w:t>
      </w:r>
      <w:r w:rsidR="001249D9" w:rsidRPr="00BA6979">
        <w:t>of DG International</w:t>
      </w:r>
      <w:r w:rsidR="00967B34">
        <w:t xml:space="preserve"> Partnerships</w:t>
      </w:r>
      <w:r w:rsidR="003956DF" w:rsidRPr="00BA6979">
        <w:t xml:space="preserve"> </w:t>
      </w:r>
      <w:hyperlink r:id="rId24" w:history="1">
        <w:r w:rsidR="00AD295A" w:rsidRPr="009C76F9">
          <w:rPr>
            <w:rStyle w:val="Hyperlink"/>
            <w:szCs w:val="22"/>
          </w:rPr>
          <w:t>https://ec.europa.eu/international-partnerships/home_fr</w:t>
        </w:r>
      </w:hyperlink>
      <w:r w:rsidR="00AD295A">
        <w:rPr>
          <w:szCs w:val="22"/>
        </w:rPr>
        <w:t xml:space="preserve"> </w:t>
      </w:r>
      <w:r w:rsidR="00832ACF" w:rsidRPr="00232301">
        <w:rPr>
          <w:szCs w:val="22"/>
        </w:rPr>
        <w:t xml:space="preserve">or </w:t>
      </w:r>
      <w:r w:rsidR="00933F69" w:rsidRPr="00933F69">
        <w:t xml:space="preserve">Funding &amp; </w:t>
      </w:r>
      <w:r w:rsidR="00933F69">
        <w:t>T</w:t>
      </w:r>
      <w:r w:rsidR="00832ACF" w:rsidRPr="00232301">
        <w:t>ender opportunities (</w:t>
      </w:r>
      <w:proofErr w:type="spellStart"/>
      <w:r w:rsidR="00832ACF" w:rsidRPr="00232301">
        <w:t>F&amp;T</w:t>
      </w:r>
      <w:proofErr w:type="spellEnd"/>
      <w:r w:rsidR="00832ACF" w:rsidRPr="00232301">
        <w:t xml:space="preserve"> Portal)</w:t>
      </w:r>
      <w:r w:rsidR="00832ACF" w:rsidRPr="00832ACF">
        <w:rPr>
          <w:szCs w:val="22"/>
          <w:u w:val="single"/>
        </w:rPr>
        <w:t xml:space="preserve"> </w:t>
      </w:r>
      <w:hyperlink r:id="rId25" w:history="1">
        <w:r w:rsidR="00832ACF" w:rsidRPr="00832ACF">
          <w:rPr>
            <w:rStyle w:val="Hyperlink"/>
            <w:szCs w:val="22"/>
          </w:rPr>
          <w:t>https://ec.europa.eu/info/funding-tenders/opportunities/portal/screen/home</w:t>
        </w:r>
      </w:hyperlink>
      <w:r w:rsidR="001A3322" w:rsidRPr="00BA6979">
        <w:t xml:space="preserve"> as the need arises</w:t>
      </w:r>
      <w:r w:rsidR="008B4806" w:rsidRPr="00BA6979">
        <w:t>.</w:t>
      </w:r>
      <w:r w:rsidR="002128D0" w:rsidRPr="00BA6979">
        <w:t xml:space="preserve"> It is therefore </w:t>
      </w:r>
      <w:r w:rsidR="005649CD" w:rsidRPr="00BA6979">
        <w:t>advisable</w:t>
      </w:r>
      <w:r w:rsidR="002128D0" w:rsidRPr="00BA6979">
        <w:t xml:space="preserve"> to consult the abovementioned website</w:t>
      </w:r>
      <w:r w:rsidR="00523F64">
        <w:t>(s)</w:t>
      </w:r>
      <w:r w:rsidR="005649CD" w:rsidRPr="00BA6979">
        <w:t xml:space="preserve"> regularly</w:t>
      </w:r>
      <w:r w:rsidR="002128D0" w:rsidRPr="00BA6979">
        <w:t xml:space="preserve"> in order to be informed of the questions and answers published</w:t>
      </w:r>
      <w:r w:rsidR="002128D0" w:rsidRPr="00B723AF">
        <w:t>.</w:t>
      </w:r>
    </w:p>
    <w:p w14:paraId="277F7828" w14:textId="77777777" w:rsidR="001A27A5" w:rsidRDefault="001A27A5" w:rsidP="0068216F">
      <w:r w:rsidRPr="00FE05D4">
        <w:t xml:space="preserve">All questions related to registration in </w:t>
      </w:r>
      <w:proofErr w:type="spellStart"/>
      <w:r w:rsidRPr="00FE05D4">
        <w:t>PADOR</w:t>
      </w:r>
      <w:proofErr w:type="spellEnd"/>
      <w:r w:rsidRPr="00FE05D4">
        <w:t xml:space="preserve"> or the online submission via PROSPECT should be addressed to the IT helpdesk at</w:t>
      </w:r>
      <w:r w:rsidRPr="00FE05D4">
        <w:rPr>
          <w:lang w:eastAsia="en-GB"/>
        </w:rPr>
        <w:t xml:space="preserve"> </w:t>
      </w:r>
      <w:hyperlink r:id="rId26" w:history="1">
        <w:r w:rsidR="00AD295A" w:rsidRPr="00AD295A">
          <w:rPr>
            <w:rStyle w:val="Hyperlink"/>
          </w:rPr>
          <w:t>INTPA-SUPPORT-SERVICES@ec.europa.eu</w:t>
        </w:r>
      </w:hyperlink>
      <w:r w:rsidR="00AD295A">
        <w:rPr>
          <w:color w:val="1F497D"/>
        </w:rPr>
        <w:t xml:space="preserve"> </w:t>
      </w:r>
      <w:r>
        <w:rPr>
          <w:b/>
        </w:rPr>
        <w:t>via the online support form in PROSPECT:</w:t>
      </w:r>
      <w:r>
        <w:t xml:space="preserve"> Please note that the working languages of the IT support are English French and Spanish. Therefore users are invited to send their questions in English, French or Spanish should they wish to benefit from an optimum response time.</w:t>
      </w:r>
    </w:p>
    <w:p w14:paraId="60316115" w14:textId="77777777" w:rsidR="00E80008" w:rsidRPr="00807DAF" w:rsidRDefault="00E80008" w:rsidP="0068216F">
      <w:r w:rsidRPr="00BA6979">
        <w:rPr>
          <w:snapToGrid w:val="0"/>
          <w:szCs w:val="22"/>
        </w:rPr>
        <w:t xml:space="preserve">Please note that the contracting authority may decide to cancel the call for proposals procedure at any stage according to the conditions set out in Section 6.5.9 of the </w:t>
      </w:r>
      <w:proofErr w:type="spellStart"/>
      <w:r w:rsidRPr="00BA6979">
        <w:rPr>
          <w:snapToGrid w:val="0"/>
          <w:szCs w:val="22"/>
        </w:rPr>
        <w:t>PRAG</w:t>
      </w:r>
      <w:proofErr w:type="spellEnd"/>
      <w:r w:rsidR="0090348E">
        <w:rPr>
          <w:snapToGrid w:val="0"/>
          <w:szCs w:val="22"/>
        </w:rPr>
        <w:t>.</w:t>
      </w:r>
    </w:p>
    <w:p w14:paraId="61665890" w14:textId="77777777" w:rsidR="008B4806" w:rsidRPr="00BA6979" w:rsidRDefault="00E64637" w:rsidP="000E75FE">
      <w:pPr>
        <w:pStyle w:val="Guidelines3"/>
        <w:numPr>
          <w:ilvl w:val="2"/>
          <w:numId w:val="9"/>
        </w:numPr>
      </w:pPr>
      <w:bookmarkStart w:id="25" w:name="_Toc74830960"/>
      <w:bookmarkStart w:id="26" w:name="_Toc125454356"/>
      <w:r w:rsidRPr="00BA6979">
        <w:t xml:space="preserve">Full </w:t>
      </w:r>
      <w:r w:rsidR="005A0945" w:rsidRPr="00BA6979">
        <w:t>a</w:t>
      </w:r>
      <w:r w:rsidR="008B4806" w:rsidRPr="00BA6979">
        <w:t>pplication</w:t>
      </w:r>
      <w:r w:rsidR="005A0945" w:rsidRPr="00BA6979">
        <w:t>s</w:t>
      </w:r>
      <w:bookmarkEnd w:id="25"/>
      <w:r w:rsidR="008B4806" w:rsidRPr="00BA6979">
        <w:t xml:space="preserve"> </w:t>
      </w:r>
      <w:bookmarkEnd w:id="26"/>
    </w:p>
    <w:p w14:paraId="2E6088C5" w14:textId="77777777" w:rsidR="008B4806" w:rsidRPr="00BA6979" w:rsidRDefault="00B114D9" w:rsidP="00203ABF">
      <w:pPr>
        <w:spacing w:before="240"/>
        <w:rPr>
          <w:color w:val="000000"/>
        </w:rPr>
      </w:pPr>
      <w:r w:rsidRPr="00BA6979">
        <w:t>Lead a</w:t>
      </w:r>
      <w:r w:rsidR="008B4806" w:rsidRPr="00BA6979">
        <w:t>pplicant</w:t>
      </w:r>
      <w:r w:rsidR="005A0945" w:rsidRPr="00BA6979">
        <w:t>s</w:t>
      </w:r>
      <w:r w:rsidR="008B4806" w:rsidRPr="00BA6979">
        <w:t xml:space="preserve"> invited to submit a full application following </w:t>
      </w:r>
      <w:r w:rsidR="001A3322" w:rsidRPr="00BA6979">
        <w:t>pre-selection of the</w:t>
      </w:r>
      <w:r w:rsidR="005649CD" w:rsidRPr="00BA6979">
        <w:t>ir</w:t>
      </w:r>
      <w:r w:rsidR="001A3322" w:rsidRPr="00BA6979">
        <w:t xml:space="preserve"> </w:t>
      </w:r>
      <w:r w:rsidR="005A0945" w:rsidRPr="00BA6979">
        <w:t>c</w:t>
      </w:r>
      <w:r w:rsidR="001A3322" w:rsidRPr="00BA6979">
        <w:t>on</w:t>
      </w:r>
      <w:r w:rsidR="006E2FAE" w:rsidRPr="00BA6979">
        <w:t>c</w:t>
      </w:r>
      <w:r w:rsidR="001A3322" w:rsidRPr="00BA6979">
        <w:t xml:space="preserve">ept </w:t>
      </w:r>
      <w:r w:rsidR="005A0945" w:rsidRPr="00BA6979">
        <w:t>n</w:t>
      </w:r>
      <w:r w:rsidR="001A3322" w:rsidRPr="00BA6979">
        <w:t xml:space="preserve">ote </w:t>
      </w:r>
      <w:r w:rsidR="008B4806" w:rsidRPr="00BA6979">
        <w:t xml:space="preserve">must do so using </w:t>
      </w:r>
      <w:r w:rsidR="00227148" w:rsidRPr="00BA6979">
        <w:t xml:space="preserve">the </w:t>
      </w:r>
      <w:r w:rsidR="005A0945" w:rsidRPr="00BA6979">
        <w:t xml:space="preserve">grant </w:t>
      </w:r>
      <w:r w:rsidR="008B4806" w:rsidRPr="00BA6979">
        <w:t xml:space="preserve">application form annexed to these </w:t>
      </w:r>
      <w:r w:rsidR="005A0945" w:rsidRPr="00BA6979">
        <w:t>g</w:t>
      </w:r>
      <w:r w:rsidR="008B4806" w:rsidRPr="00BA6979">
        <w:t xml:space="preserve">uidelines (Annex </w:t>
      </w:r>
      <w:r w:rsidR="00227148" w:rsidRPr="00BA6979">
        <w:t>A</w:t>
      </w:r>
      <w:r w:rsidR="00833964" w:rsidRPr="00BA6979">
        <w:t>.2</w:t>
      </w:r>
      <w:r w:rsidR="0098514F">
        <w:t xml:space="preserve"> </w:t>
      </w:r>
      <w:r w:rsidR="0098514F" w:rsidRPr="0098514F">
        <w:t>– Grant application form – Full application).</w:t>
      </w:r>
      <w:r w:rsidR="008B4806" w:rsidRPr="00BA6979">
        <w:t xml:space="preserve">). </w:t>
      </w:r>
      <w:r w:rsidRPr="00BA6979">
        <w:t>Lead a</w:t>
      </w:r>
      <w:r w:rsidR="008B4806" w:rsidRPr="00BA6979">
        <w:t>pplicants should</w:t>
      </w:r>
      <w:r w:rsidR="009901E5" w:rsidRPr="00BA6979">
        <w:t xml:space="preserve"> then</w:t>
      </w:r>
      <w:r w:rsidR="008B4806" w:rsidRPr="00BA6979">
        <w:t xml:space="preserve"> keep strictly to the format of the </w:t>
      </w:r>
      <w:r w:rsidR="005A0945" w:rsidRPr="00BA6979">
        <w:t xml:space="preserve">grant </w:t>
      </w:r>
      <w:r w:rsidR="008B4806" w:rsidRPr="00BA6979">
        <w:t>application</w:t>
      </w:r>
      <w:r w:rsidR="001A3322" w:rsidRPr="00BA6979">
        <w:t xml:space="preserve"> form</w:t>
      </w:r>
      <w:r w:rsidR="008B4806" w:rsidRPr="00BA6979">
        <w:t xml:space="preserve"> and fill in the paragraphs and pages in order.</w:t>
      </w:r>
    </w:p>
    <w:p w14:paraId="486BBC17" w14:textId="77777777" w:rsidR="00B723AF" w:rsidRPr="00BA6979" w:rsidRDefault="00B723AF" w:rsidP="00B723AF">
      <w:pPr>
        <w:rPr>
          <w:color w:val="000000"/>
        </w:rPr>
      </w:pPr>
      <w:r w:rsidRPr="00BA6979">
        <w:rPr>
          <w:color w:val="000000"/>
        </w:rPr>
        <w:t>The elements outlined in the concept note may not be modified in the full application</w:t>
      </w:r>
      <w:r w:rsidR="00894779">
        <w:rPr>
          <w:color w:val="000000"/>
        </w:rPr>
        <w:t xml:space="preserve">, </w:t>
      </w:r>
      <w:r w:rsidR="00894779" w:rsidRPr="00894779">
        <w:rPr>
          <w:color w:val="000000"/>
        </w:rPr>
        <w:t>except for the changes described below:</w:t>
      </w:r>
      <w:r w:rsidRPr="00BA6979">
        <w:rPr>
          <w:color w:val="000000"/>
        </w:rPr>
        <w:t xml:space="preserve"> </w:t>
      </w:r>
    </w:p>
    <w:p w14:paraId="681BA5FB" w14:textId="77777777" w:rsidR="00B723AF" w:rsidRPr="00BA6979" w:rsidRDefault="00B723AF" w:rsidP="000E75FE">
      <w:pPr>
        <w:numPr>
          <w:ilvl w:val="0"/>
          <w:numId w:val="32"/>
        </w:numPr>
        <w:rPr>
          <w:color w:val="000000"/>
        </w:rPr>
      </w:pPr>
      <w:r w:rsidRPr="00BA6979">
        <w:rPr>
          <w:color w:val="000000"/>
        </w:rPr>
        <w:t>The EU contribution may not vary from the initial estimate by more than 20</w:t>
      </w:r>
      <w:r w:rsidRPr="000275A9">
        <w:rPr>
          <w:color w:val="000000"/>
        </w:rPr>
        <w:t> </w:t>
      </w:r>
      <w:r w:rsidRPr="00BA6979">
        <w:rPr>
          <w:color w:val="000000"/>
        </w:rPr>
        <w:t>%. Lead applicants are free to adapt the percentage of co-financing required within the minimum and maximum amount and percentages of co-financing, as laid down in these guidelines in Section 1.3.</w:t>
      </w:r>
      <w:r w:rsidRPr="00BA6979">
        <w:rPr>
          <w:iCs/>
          <w:color w:val="000000"/>
        </w:rPr>
        <w:t xml:space="preserve"> </w:t>
      </w:r>
    </w:p>
    <w:p w14:paraId="07BB700B" w14:textId="77777777" w:rsidR="00B723AF" w:rsidRPr="00BA6979" w:rsidRDefault="00B723AF" w:rsidP="000E75FE">
      <w:pPr>
        <w:numPr>
          <w:ilvl w:val="0"/>
          <w:numId w:val="32"/>
        </w:numPr>
        <w:rPr>
          <w:color w:val="000000"/>
        </w:rPr>
      </w:pPr>
      <w:r w:rsidRPr="00BA6979">
        <w:rPr>
          <w:iCs/>
          <w:color w:val="000000"/>
        </w:rPr>
        <w:t xml:space="preserve">The lead applicant may add, remove or replace one or more co-applicant(s) or affiliated </w:t>
      </w:r>
      <w:proofErr w:type="gramStart"/>
      <w:r w:rsidRPr="00BA6979">
        <w:rPr>
          <w:iCs/>
          <w:color w:val="000000"/>
        </w:rPr>
        <w:t>entity(</w:t>
      </w:r>
      <w:proofErr w:type="spellStart"/>
      <w:proofErr w:type="gramEnd"/>
      <w:r w:rsidRPr="00BA6979">
        <w:rPr>
          <w:iCs/>
          <w:color w:val="000000"/>
        </w:rPr>
        <w:t>ies</w:t>
      </w:r>
      <w:proofErr w:type="spellEnd"/>
      <w:r w:rsidRPr="00BA6979">
        <w:rPr>
          <w:iCs/>
          <w:color w:val="000000"/>
        </w:rPr>
        <w:t>)</w:t>
      </w:r>
      <w:r w:rsidR="0090348E">
        <w:rPr>
          <w:iCs/>
          <w:color w:val="000000"/>
        </w:rPr>
        <w:t xml:space="preserve"> </w:t>
      </w:r>
      <w:r w:rsidRPr="00BA6979">
        <w:rPr>
          <w:iCs/>
          <w:color w:val="000000"/>
        </w:rPr>
        <w:t xml:space="preserve">only in duly justified cases. </w:t>
      </w:r>
    </w:p>
    <w:p w14:paraId="3CC61204" w14:textId="77777777" w:rsidR="00B723AF" w:rsidRPr="00BA6979" w:rsidRDefault="00B723AF" w:rsidP="000E75FE">
      <w:pPr>
        <w:numPr>
          <w:ilvl w:val="0"/>
          <w:numId w:val="32"/>
        </w:numPr>
        <w:rPr>
          <w:color w:val="000000"/>
        </w:rPr>
      </w:pPr>
      <w:r w:rsidRPr="00BA6979">
        <w:rPr>
          <w:iCs/>
          <w:color w:val="000000"/>
        </w:rPr>
        <w:t>The lead applicant may adjust the duration of the action if unforeseen circumstances outside the scope of the applicants have taken place following the submission of the concept note and require such adaptation (risk of action not being carried out). In such cases</w:t>
      </w:r>
      <w:r w:rsidR="00AD295A">
        <w:rPr>
          <w:iCs/>
          <w:color w:val="000000"/>
        </w:rPr>
        <w:t>,</w:t>
      </w:r>
      <w:r w:rsidRPr="00BA6979">
        <w:rPr>
          <w:iCs/>
          <w:color w:val="000000"/>
        </w:rPr>
        <w:t xml:space="preserve"> the duration must remain within the limits imposed by the guidelines for applicants. </w:t>
      </w:r>
    </w:p>
    <w:p w14:paraId="15ADE9E3" w14:textId="77777777" w:rsidR="00B723AF" w:rsidRPr="00BA6979" w:rsidRDefault="00B723AF" w:rsidP="00B723AF">
      <w:pPr>
        <w:rPr>
          <w:b/>
          <w:color w:val="000000"/>
        </w:rPr>
      </w:pPr>
      <w:r w:rsidRPr="00BA6979">
        <w:rPr>
          <w:b/>
          <w:iCs/>
          <w:color w:val="000000"/>
        </w:rPr>
        <w:t>An explanation/justification of the relevant replacements/adjustments shall be included in Annex A.2</w:t>
      </w:r>
      <w:r w:rsidR="00465AA9">
        <w:rPr>
          <w:b/>
          <w:iCs/>
          <w:color w:val="000000"/>
        </w:rPr>
        <w:t xml:space="preserve"> </w:t>
      </w:r>
      <w:r w:rsidR="00AD295A">
        <w:rPr>
          <w:b/>
          <w:iCs/>
          <w:color w:val="000000"/>
        </w:rPr>
        <w:t>– Instructions</w:t>
      </w:r>
      <w:r w:rsidR="00465AA9" w:rsidRPr="007B1B61">
        <w:rPr>
          <w:b/>
          <w:iCs/>
          <w:color w:val="000000"/>
        </w:rPr>
        <w:t xml:space="preserve"> for drafting </w:t>
      </w:r>
      <w:r w:rsidR="00465AA9">
        <w:rPr>
          <w:b/>
          <w:iCs/>
          <w:color w:val="000000"/>
        </w:rPr>
        <w:t>the Full Application, section 2.1.1, point viii.</w:t>
      </w:r>
      <w:r w:rsidR="002421FF">
        <w:rPr>
          <w:b/>
          <w:iCs/>
          <w:color w:val="000000"/>
        </w:rPr>
        <w:t xml:space="preserve"> </w:t>
      </w:r>
      <w:r w:rsidRPr="00BA6979">
        <w:rPr>
          <w:b/>
          <w:iCs/>
          <w:color w:val="000000"/>
        </w:rPr>
        <w:t xml:space="preserve">Should the explanation/justification not be accepted by the </w:t>
      </w:r>
      <w:r w:rsidR="00211ADF">
        <w:rPr>
          <w:b/>
          <w:iCs/>
          <w:color w:val="000000"/>
        </w:rPr>
        <w:t>e</w:t>
      </w:r>
      <w:r w:rsidRPr="00BA6979">
        <w:rPr>
          <w:b/>
          <w:iCs/>
          <w:color w:val="000000"/>
        </w:rPr>
        <w:t xml:space="preserve">valuation </w:t>
      </w:r>
      <w:r w:rsidR="00211ADF">
        <w:rPr>
          <w:b/>
          <w:iCs/>
          <w:color w:val="000000"/>
        </w:rPr>
        <w:t>c</w:t>
      </w:r>
      <w:r w:rsidRPr="00BA6979">
        <w:rPr>
          <w:b/>
          <w:iCs/>
          <w:color w:val="000000"/>
        </w:rPr>
        <w:t xml:space="preserve">ommittee, the proposal may be rejected on that sole </w:t>
      </w:r>
      <w:proofErr w:type="gramStart"/>
      <w:r w:rsidRPr="00BA6979">
        <w:rPr>
          <w:b/>
          <w:iCs/>
          <w:color w:val="000000"/>
        </w:rPr>
        <w:t>basis.</w:t>
      </w:r>
      <w:proofErr w:type="gramEnd"/>
    </w:p>
    <w:p w14:paraId="4BF2796A" w14:textId="77777777" w:rsidR="00894779" w:rsidRDefault="00B114D9" w:rsidP="00203ABF">
      <w:pPr>
        <w:rPr>
          <w:color w:val="000000"/>
        </w:rPr>
      </w:pPr>
      <w:bookmarkStart w:id="27" w:name="_Hlk522123599"/>
      <w:r w:rsidRPr="00BA6979">
        <w:rPr>
          <w:color w:val="000000"/>
        </w:rPr>
        <w:t>Lead a</w:t>
      </w:r>
      <w:r w:rsidR="008B4806" w:rsidRPr="00BA6979">
        <w:rPr>
          <w:color w:val="000000"/>
        </w:rPr>
        <w:t xml:space="preserve">pplicants must submit their </w:t>
      </w:r>
      <w:r w:rsidR="00F90A41" w:rsidRPr="00BA6979">
        <w:rPr>
          <w:color w:val="000000"/>
        </w:rPr>
        <w:t xml:space="preserve">full </w:t>
      </w:r>
      <w:r w:rsidR="008B4806" w:rsidRPr="00BA6979">
        <w:rPr>
          <w:color w:val="000000"/>
        </w:rPr>
        <w:t xml:space="preserve">applications in the same language as their </w:t>
      </w:r>
      <w:r w:rsidR="005A0945" w:rsidRPr="00BA6979">
        <w:rPr>
          <w:color w:val="000000"/>
        </w:rPr>
        <w:t>c</w:t>
      </w:r>
      <w:r w:rsidR="008B4806" w:rsidRPr="00BA6979">
        <w:rPr>
          <w:color w:val="000000"/>
        </w:rPr>
        <w:t xml:space="preserve">oncept </w:t>
      </w:r>
      <w:r w:rsidR="005A0945" w:rsidRPr="00BA6979">
        <w:rPr>
          <w:color w:val="000000"/>
        </w:rPr>
        <w:t>n</w:t>
      </w:r>
      <w:r w:rsidR="008B4806" w:rsidRPr="00BA6979">
        <w:rPr>
          <w:color w:val="000000"/>
        </w:rPr>
        <w:t>ote</w:t>
      </w:r>
      <w:r w:rsidR="00F90A41" w:rsidRPr="00BA6979">
        <w:rPr>
          <w:color w:val="000000"/>
        </w:rPr>
        <w:t>s</w:t>
      </w:r>
      <w:r w:rsidR="008B4806" w:rsidRPr="00BA6979">
        <w:rPr>
          <w:color w:val="000000"/>
        </w:rPr>
        <w:t>.</w:t>
      </w:r>
      <w:r w:rsidR="00CA310C" w:rsidRPr="00BA6979">
        <w:rPr>
          <w:color w:val="000000"/>
        </w:rPr>
        <w:t xml:space="preserve"> </w:t>
      </w:r>
    </w:p>
    <w:bookmarkEnd w:id="27"/>
    <w:p w14:paraId="3028AA15" w14:textId="77777777" w:rsidR="003956DF" w:rsidRPr="00BA6979" w:rsidRDefault="003956DF" w:rsidP="00203ABF">
      <w:pPr>
        <w:rPr>
          <w:color w:val="000000"/>
        </w:rPr>
      </w:pPr>
      <w:r w:rsidRPr="00BA6979">
        <w:t>Please complete the</w:t>
      </w:r>
      <w:r w:rsidR="00227148" w:rsidRPr="00BA6979">
        <w:t xml:space="preserve"> full</w:t>
      </w:r>
      <w:r w:rsidRPr="00BA6979">
        <w:t xml:space="preserve"> application form carefully and as clearly as possible so that it can be assessed properly.</w:t>
      </w:r>
      <w:r w:rsidRPr="00BA6979">
        <w:rPr>
          <w:color w:val="000000"/>
        </w:rPr>
        <w:t xml:space="preserve"> </w:t>
      </w:r>
    </w:p>
    <w:p w14:paraId="2311A18D" w14:textId="77777777" w:rsidR="003956DF" w:rsidRPr="00BA6979" w:rsidRDefault="003956DF" w:rsidP="00203ABF">
      <w:pPr>
        <w:rPr>
          <w:color w:val="000000"/>
        </w:rPr>
      </w:pPr>
      <w:r w:rsidRPr="00BA6979">
        <w:rPr>
          <w:color w:val="000000"/>
        </w:rPr>
        <w:t xml:space="preserve">Any error related to the points listed in the </w:t>
      </w:r>
      <w:r w:rsidR="003A23FE" w:rsidRPr="00BA6979">
        <w:rPr>
          <w:color w:val="000000"/>
        </w:rPr>
        <w:t>c</w:t>
      </w:r>
      <w:r w:rsidRPr="00BA6979">
        <w:rPr>
          <w:color w:val="000000"/>
        </w:rPr>
        <w:t>hecklist (</w:t>
      </w:r>
      <w:r w:rsidR="00964FB0" w:rsidRPr="00BA6979">
        <w:rPr>
          <w:color w:val="000000"/>
        </w:rPr>
        <w:t>Annex A</w:t>
      </w:r>
      <w:r w:rsidR="00F43773" w:rsidRPr="00BA6979">
        <w:rPr>
          <w:color w:val="000000"/>
        </w:rPr>
        <w:t>.</w:t>
      </w:r>
      <w:r w:rsidR="00964FB0" w:rsidRPr="00BA6979">
        <w:rPr>
          <w:color w:val="000000"/>
        </w:rPr>
        <w:t>2</w:t>
      </w:r>
      <w:r w:rsidR="006459C5" w:rsidRPr="00BA6979">
        <w:rPr>
          <w:color w:val="000000"/>
        </w:rPr>
        <w:t xml:space="preserve">, </w:t>
      </w:r>
      <w:r w:rsidR="00F43773" w:rsidRPr="00BA6979">
        <w:rPr>
          <w:color w:val="000000"/>
        </w:rPr>
        <w:t>Instructions</w:t>
      </w:r>
      <w:r w:rsidRPr="00BA6979">
        <w:rPr>
          <w:color w:val="000000"/>
        </w:rPr>
        <w:t xml:space="preserve">) or any major inconsistency in the </w:t>
      </w:r>
      <w:r w:rsidR="00227148" w:rsidRPr="00BA6979">
        <w:rPr>
          <w:color w:val="000000"/>
        </w:rPr>
        <w:t xml:space="preserve">full </w:t>
      </w:r>
      <w:r w:rsidRPr="00BA6979">
        <w:rPr>
          <w:color w:val="000000"/>
        </w:rPr>
        <w:t xml:space="preserve">application (e.g. </w:t>
      </w:r>
      <w:r w:rsidR="0040484C" w:rsidRPr="00BA6979">
        <w:rPr>
          <w:color w:val="000000"/>
        </w:rPr>
        <w:t xml:space="preserve">if </w:t>
      </w:r>
      <w:r w:rsidRPr="00BA6979">
        <w:rPr>
          <w:color w:val="000000"/>
        </w:rPr>
        <w:t xml:space="preserve">the amounts in the budget </w:t>
      </w:r>
      <w:r w:rsidR="00AD5C5F" w:rsidRPr="00BA6979">
        <w:rPr>
          <w:color w:val="000000"/>
        </w:rPr>
        <w:t xml:space="preserve">worksheets </w:t>
      </w:r>
      <w:r w:rsidRPr="00BA6979">
        <w:rPr>
          <w:color w:val="000000"/>
        </w:rPr>
        <w:t>are inconsist</w:t>
      </w:r>
      <w:r w:rsidR="00AD5C5F" w:rsidRPr="00BA6979">
        <w:rPr>
          <w:color w:val="000000"/>
        </w:rPr>
        <w:t>ent</w:t>
      </w:r>
      <w:r w:rsidRPr="00BA6979">
        <w:rPr>
          <w:color w:val="000000"/>
        </w:rPr>
        <w:t xml:space="preserve">) may lead to the rejection of the </w:t>
      </w:r>
      <w:r w:rsidR="006459C5" w:rsidRPr="00BA6979">
        <w:rPr>
          <w:color w:val="000000"/>
        </w:rPr>
        <w:t>application</w:t>
      </w:r>
      <w:r w:rsidRPr="00BA6979">
        <w:rPr>
          <w:color w:val="000000"/>
        </w:rPr>
        <w:t>.</w:t>
      </w:r>
    </w:p>
    <w:p w14:paraId="766F615B" w14:textId="77777777" w:rsidR="003956DF" w:rsidRPr="00BA6979" w:rsidRDefault="003956DF" w:rsidP="00203ABF">
      <w:r w:rsidRPr="00BA6979">
        <w:t>Clarifications will only be requested when information provided is unclear</w:t>
      </w:r>
      <w:r w:rsidR="0040484C" w:rsidRPr="00BA6979">
        <w:t xml:space="preserve"> and</w:t>
      </w:r>
      <w:r w:rsidRPr="00BA6979">
        <w:t xml:space="preserve"> thus prevent</w:t>
      </w:r>
      <w:r w:rsidR="0040484C" w:rsidRPr="00BA6979">
        <w:t>s</w:t>
      </w:r>
      <w:r w:rsidRPr="00BA6979">
        <w:t xml:space="preserve"> the </w:t>
      </w:r>
      <w:r w:rsidR="00AA0B45" w:rsidRPr="00BA6979">
        <w:t>c</w:t>
      </w:r>
      <w:r w:rsidRPr="00BA6979">
        <w:t xml:space="preserve">ontracting </w:t>
      </w:r>
      <w:r w:rsidR="00AA0B45" w:rsidRPr="00BA6979">
        <w:t>a</w:t>
      </w:r>
      <w:r w:rsidRPr="00BA6979">
        <w:t>uthority from conducting an objective assessment.</w:t>
      </w:r>
    </w:p>
    <w:p w14:paraId="29F6D6AC" w14:textId="77777777" w:rsidR="00E16F20" w:rsidRPr="00BA6979" w:rsidRDefault="003956DF" w:rsidP="00203ABF">
      <w:pPr>
        <w:rPr>
          <w:szCs w:val="22"/>
          <w:lang w:eastAsia="en-GB"/>
        </w:rPr>
      </w:pPr>
      <w:r w:rsidRPr="00BA6979">
        <w:rPr>
          <w:szCs w:val="22"/>
          <w:lang w:eastAsia="en-GB"/>
        </w:rPr>
        <w:t xml:space="preserve">Please note that only the </w:t>
      </w:r>
      <w:r w:rsidR="00227148" w:rsidRPr="00BA6979">
        <w:rPr>
          <w:szCs w:val="22"/>
          <w:lang w:eastAsia="en-GB"/>
        </w:rPr>
        <w:t xml:space="preserve">full </w:t>
      </w:r>
      <w:r w:rsidRPr="00BA6979">
        <w:rPr>
          <w:szCs w:val="22"/>
          <w:lang w:eastAsia="en-GB"/>
        </w:rPr>
        <w:t xml:space="preserve">application form and the published annexes which have to be filled in (budget, logical framework) will be transmitted to the evaluators </w:t>
      </w:r>
      <w:r w:rsidR="008B1EA7" w:rsidRPr="00BA6979">
        <w:rPr>
          <w:szCs w:val="22"/>
          <w:lang w:eastAsia="en-GB"/>
        </w:rPr>
        <w:t>(</w:t>
      </w:r>
      <w:r w:rsidRPr="00BA6979">
        <w:rPr>
          <w:szCs w:val="22"/>
          <w:lang w:eastAsia="en-GB"/>
        </w:rPr>
        <w:t>and assessors</w:t>
      </w:r>
      <w:r w:rsidR="008B1EA7" w:rsidRPr="00BA6979">
        <w:rPr>
          <w:szCs w:val="22"/>
          <w:lang w:eastAsia="en-GB"/>
        </w:rPr>
        <w:t>, if used)</w:t>
      </w:r>
      <w:r w:rsidRPr="00BA6979">
        <w:rPr>
          <w:szCs w:val="22"/>
          <w:lang w:eastAsia="en-GB"/>
        </w:rPr>
        <w:t xml:space="preserve">. It is therefore of utmost importance that these documents contain ALL </w:t>
      </w:r>
      <w:r w:rsidR="0040484C" w:rsidRPr="00BA6979">
        <w:rPr>
          <w:szCs w:val="22"/>
          <w:lang w:eastAsia="en-GB"/>
        </w:rPr>
        <w:t xml:space="preserve">the </w:t>
      </w:r>
      <w:r w:rsidRPr="00BA6979">
        <w:rPr>
          <w:szCs w:val="22"/>
          <w:lang w:eastAsia="en-GB"/>
        </w:rPr>
        <w:t>relevant information concerning the action.</w:t>
      </w:r>
      <w:r w:rsidRPr="00BA6979">
        <w:rPr>
          <w:b/>
          <w:szCs w:val="22"/>
          <w:lang w:eastAsia="en-GB"/>
        </w:rPr>
        <w:t xml:space="preserve"> </w:t>
      </w:r>
    </w:p>
    <w:p w14:paraId="7D964CA3" w14:textId="4EEA0FA5" w:rsidR="008B69D1" w:rsidRDefault="008B69D1" w:rsidP="008B69D1">
      <w:pPr>
        <w:rPr>
          <w:color w:val="000000"/>
        </w:rPr>
      </w:pPr>
      <w:r>
        <w:rPr>
          <w:color w:val="000000"/>
        </w:rPr>
        <w:t>I</w:t>
      </w:r>
      <w:r w:rsidR="0041369D">
        <w:rPr>
          <w:color w:val="000000"/>
        </w:rPr>
        <w:t>f</w:t>
      </w:r>
      <w:r w:rsidRPr="00807DAF">
        <w:rPr>
          <w:color w:val="000000"/>
        </w:rPr>
        <w:t xml:space="preserve"> it is impossible to register </w:t>
      </w:r>
      <w:r>
        <w:rPr>
          <w:color w:val="000000"/>
        </w:rPr>
        <w:t xml:space="preserve">online </w:t>
      </w:r>
      <w:r w:rsidRPr="00807DAF">
        <w:rPr>
          <w:color w:val="000000"/>
        </w:rPr>
        <w:t xml:space="preserve">in </w:t>
      </w:r>
      <w:proofErr w:type="spellStart"/>
      <w:r w:rsidRPr="00807DAF">
        <w:rPr>
          <w:color w:val="000000"/>
        </w:rPr>
        <w:t>PADOR</w:t>
      </w:r>
      <w:proofErr w:type="spellEnd"/>
      <w:r>
        <w:rPr>
          <w:color w:val="000000"/>
        </w:rPr>
        <w:t xml:space="preserve"> for technical reasons</w:t>
      </w:r>
      <w:r w:rsidRPr="00807DAF">
        <w:rPr>
          <w:color w:val="000000"/>
        </w:rPr>
        <w:t xml:space="preserve">, </w:t>
      </w:r>
      <w:r w:rsidR="00E16F20" w:rsidRPr="00BA6979">
        <w:rPr>
          <w:b/>
          <w:szCs w:val="22"/>
          <w:lang w:eastAsia="en-GB"/>
        </w:rPr>
        <w:t>the lead applicant has to submit</w:t>
      </w:r>
      <w:r>
        <w:rPr>
          <w:b/>
          <w:szCs w:val="22"/>
          <w:lang w:eastAsia="en-GB"/>
        </w:rPr>
        <w:t xml:space="preserve"> with the full application</w:t>
      </w:r>
      <w:r w:rsidR="00E16F20" w:rsidRPr="00BA6979">
        <w:rPr>
          <w:b/>
          <w:szCs w:val="22"/>
          <w:lang w:eastAsia="en-GB"/>
        </w:rPr>
        <w:t xml:space="preserve"> </w:t>
      </w:r>
      <w:r w:rsidR="007941FB" w:rsidRPr="00BA6979">
        <w:rPr>
          <w:b/>
          <w:szCs w:val="22"/>
          <w:lang w:eastAsia="en-GB"/>
        </w:rPr>
        <w:t xml:space="preserve">the </w:t>
      </w:r>
      <w:r w:rsidR="00E16F20" w:rsidRPr="00BA6979">
        <w:rPr>
          <w:b/>
          <w:szCs w:val="22"/>
          <w:lang w:eastAsia="en-GB"/>
        </w:rPr>
        <w:t xml:space="preserve">completed </w:t>
      </w:r>
      <w:proofErr w:type="spellStart"/>
      <w:r w:rsidR="007941FB" w:rsidRPr="00BA6979">
        <w:rPr>
          <w:b/>
          <w:szCs w:val="22"/>
          <w:lang w:eastAsia="en-GB"/>
        </w:rPr>
        <w:t>PADOR</w:t>
      </w:r>
      <w:proofErr w:type="spellEnd"/>
      <w:r w:rsidR="00967B34">
        <w:rPr>
          <w:b/>
          <w:szCs w:val="22"/>
          <w:lang w:eastAsia="en-GB"/>
        </w:rPr>
        <w:t xml:space="preserve"> </w:t>
      </w:r>
      <w:r w:rsidR="00AA0B45" w:rsidRPr="00BA6979">
        <w:rPr>
          <w:b/>
          <w:szCs w:val="22"/>
          <w:lang w:eastAsia="en-GB"/>
        </w:rPr>
        <w:t>f</w:t>
      </w:r>
      <w:r w:rsidR="000176DE" w:rsidRPr="00BA6979">
        <w:rPr>
          <w:b/>
          <w:szCs w:val="22"/>
          <w:lang w:eastAsia="en-GB"/>
        </w:rPr>
        <w:t>orm</w:t>
      </w:r>
      <w:r w:rsidR="00E16F20" w:rsidRPr="00BA6979">
        <w:rPr>
          <w:b/>
          <w:szCs w:val="22"/>
          <w:lang w:eastAsia="en-GB"/>
        </w:rPr>
        <w:t xml:space="preserve"> (Annex F) for the lead applicant, each (if any) co-applicants and each (if any) affiliated entities</w:t>
      </w:r>
      <w:r w:rsidR="00554F55" w:rsidRPr="000275A9">
        <w:rPr>
          <w:rStyle w:val="FootnoteReference"/>
          <w:b/>
          <w:szCs w:val="22"/>
          <w:lang w:eastAsia="en-GB"/>
        </w:rPr>
        <w:footnoteReference w:id="15"/>
      </w:r>
      <w:r w:rsidR="000D46D7" w:rsidRPr="00BA6979">
        <w:rPr>
          <w:b/>
          <w:szCs w:val="22"/>
          <w:lang w:eastAsia="en-GB"/>
        </w:rPr>
        <w:t>.</w:t>
      </w:r>
      <w:r w:rsidRPr="008B69D1">
        <w:rPr>
          <w:color w:val="000000"/>
        </w:rPr>
        <w:t xml:space="preserve"> </w:t>
      </w:r>
    </w:p>
    <w:p w14:paraId="0A070659" w14:textId="77777777" w:rsidR="00465AA9" w:rsidRDefault="00465AA9" w:rsidP="00465AA9">
      <w:pPr>
        <w:rPr>
          <w:szCs w:val="22"/>
          <w:lang w:eastAsia="en-GB"/>
        </w:rPr>
      </w:pPr>
      <w:r>
        <w:rPr>
          <w:color w:val="000000"/>
        </w:rPr>
        <w:t>Please note that the following documents</w:t>
      </w:r>
      <w:r w:rsidR="009C64DC">
        <w:rPr>
          <w:rStyle w:val="FootnoteReference"/>
          <w:color w:val="000000"/>
        </w:rPr>
        <w:footnoteReference w:id="16"/>
      </w:r>
      <w:r>
        <w:rPr>
          <w:color w:val="000000"/>
        </w:rPr>
        <w:t xml:space="preserve"> shall be uploaded </w:t>
      </w:r>
      <w:r>
        <w:rPr>
          <w:szCs w:val="22"/>
          <w:lang w:eastAsia="en-GB"/>
        </w:rPr>
        <w:t xml:space="preserve">in </w:t>
      </w:r>
      <w:proofErr w:type="spellStart"/>
      <w:r>
        <w:rPr>
          <w:szCs w:val="22"/>
          <w:lang w:eastAsia="en-GB"/>
        </w:rPr>
        <w:t>PADOR</w:t>
      </w:r>
      <w:proofErr w:type="spellEnd"/>
      <w:r>
        <w:rPr>
          <w:szCs w:val="22"/>
          <w:lang w:eastAsia="en-GB"/>
        </w:rPr>
        <w:t xml:space="preserve"> by the full application deadline or </w:t>
      </w:r>
      <w:r w:rsidRPr="009F3B53">
        <w:rPr>
          <w:szCs w:val="22"/>
          <w:lang w:eastAsia="en-GB"/>
        </w:rPr>
        <w:t>submitted together with</w:t>
      </w:r>
      <w:r w:rsidR="004D4EF0">
        <w:rPr>
          <w:szCs w:val="22"/>
          <w:lang w:eastAsia="en-GB"/>
        </w:rPr>
        <w:t xml:space="preserve"> the </w:t>
      </w:r>
      <w:proofErr w:type="spellStart"/>
      <w:r w:rsidR="004D4EF0">
        <w:rPr>
          <w:szCs w:val="22"/>
          <w:lang w:eastAsia="en-GB"/>
        </w:rPr>
        <w:t>PADOR</w:t>
      </w:r>
      <w:proofErr w:type="spellEnd"/>
      <w:r w:rsidR="004D4EF0">
        <w:rPr>
          <w:szCs w:val="22"/>
          <w:lang w:eastAsia="en-GB"/>
        </w:rPr>
        <w:t xml:space="preserve"> </w:t>
      </w:r>
      <w:r w:rsidR="002421FF">
        <w:rPr>
          <w:szCs w:val="22"/>
          <w:lang w:eastAsia="en-GB"/>
        </w:rPr>
        <w:t>registration</w:t>
      </w:r>
      <w:r>
        <w:rPr>
          <w:szCs w:val="22"/>
          <w:lang w:eastAsia="en-GB"/>
        </w:rPr>
        <w:t xml:space="preserve"> form with</w:t>
      </w:r>
      <w:r w:rsidRPr="009F3B53">
        <w:rPr>
          <w:szCs w:val="22"/>
          <w:lang w:eastAsia="en-GB"/>
        </w:rPr>
        <w:t xml:space="preserve"> the </w:t>
      </w:r>
      <w:r>
        <w:rPr>
          <w:szCs w:val="22"/>
          <w:lang w:eastAsia="en-GB"/>
        </w:rPr>
        <w:t>full</w:t>
      </w:r>
      <w:r w:rsidRPr="009F3B53">
        <w:rPr>
          <w:szCs w:val="22"/>
          <w:lang w:eastAsia="en-GB"/>
        </w:rPr>
        <w:t xml:space="preserve"> application form</w:t>
      </w:r>
      <w:r>
        <w:rPr>
          <w:szCs w:val="22"/>
          <w:lang w:eastAsia="en-GB"/>
        </w:rPr>
        <w:t>:</w:t>
      </w:r>
    </w:p>
    <w:p w14:paraId="4A8B44FF" w14:textId="77777777" w:rsidR="00465AA9" w:rsidRDefault="00465AA9" w:rsidP="000E75FE">
      <w:pPr>
        <w:numPr>
          <w:ilvl w:val="0"/>
          <w:numId w:val="34"/>
        </w:numPr>
      </w:pPr>
      <w:r w:rsidRPr="00FD1A79">
        <w:t xml:space="preserve">The statutes or articles of association of the lead applicant, (if any) of each co-applicant and (if any) of each affiliated </w:t>
      </w:r>
      <w:proofErr w:type="gramStart"/>
      <w:r w:rsidRPr="00FD1A79">
        <w:t>entity .</w:t>
      </w:r>
      <w:proofErr w:type="gramEnd"/>
      <w:r w:rsidRPr="00FD1A79">
        <w:t xml:space="preserve"> Where the contracting authority has recognised the lead applicant’s, or the co-applicant(s)’s, or their affiliated entity(</w:t>
      </w:r>
      <w:proofErr w:type="spellStart"/>
      <w:r w:rsidRPr="00FD1A79">
        <w:t>ies</w:t>
      </w:r>
      <w:proofErr w:type="spellEnd"/>
      <w:r w:rsidRPr="00FD1A79">
        <w:t xml:space="preserve">)’s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w:t>
      </w:r>
      <w:r>
        <w:t>in the meantime</w:t>
      </w:r>
      <w:r w:rsidR="000A486E">
        <w:t xml:space="preserve">. </w:t>
      </w:r>
      <w:r w:rsidRPr="00FD1A79">
        <w:t>This obligation does not apply to international organisations which have signed a framework agreement with the European Commission</w:t>
      </w:r>
      <w:r>
        <w:t>.</w:t>
      </w:r>
    </w:p>
    <w:p w14:paraId="5BE2BB1C" w14:textId="77777777" w:rsidR="00C34EA3" w:rsidRDefault="00465AA9" w:rsidP="000E75FE">
      <w:pPr>
        <w:numPr>
          <w:ilvl w:val="0"/>
          <w:numId w:val="34"/>
        </w:numPr>
        <w:rPr>
          <w:szCs w:val="22"/>
          <w:lang w:val="en-IE" w:eastAsia="fr-BE"/>
        </w:rPr>
      </w:pPr>
      <w:r w:rsidRPr="00BA6979">
        <w:rPr>
          <w:szCs w:val="22"/>
          <w:lang w:val="en-IE" w:eastAsia="fr-BE"/>
        </w:rPr>
        <w:t xml:space="preserve">Legal entity </w:t>
      </w:r>
      <w:r w:rsidR="002421FF">
        <w:rPr>
          <w:szCs w:val="22"/>
          <w:lang w:val="en-IE" w:eastAsia="fr-BE"/>
        </w:rPr>
        <w:t>form</w:t>
      </w:r>
      <w:r w:rsidRPr="00BA6979">
        <w:rPr>
          <w:szCs w:val="22"/>
          <w:lang w:val="en-IE" w:eastAsia="fr-BE"/>
        </w:rPr>
        <w:t xml:space="preserve"> (see Annex D of these guidelines) duly completed and signed by each of the applicants (i.e. by the lead applicant and by each co-applicant, if any), accompanied by the justifying documents requested there. If the applicants have already signed a contract with the contracting authority, instead of the legal entity </w:t>
      </w:r>
      <w:r w:rsidR="002421FF">
        <w:rPr>
          <w:szCs w:val="22"/>
          <w:lang w:val="en-IE" w:eastAsia="fr-BE"/>
        </w:rPr>
        <w:t>form</w:t>
      </w:r>
      <w:r w:rsidRPr="00BA6979">
        <w:rPr>
          <w:szCs w:val="22"/>
          <w:lang w:val="en-IE" w:eastAsia="fr-BE"/>
        </w:rPr>
        <w:t xml:space="preserve"> and supporting documents, the legal entity number may be provided, unless a change in legal status occurred in the meantime.</w:t>
      </w:r>
    </w:p>
    <w:p w14:paraId="2430FE29" w14:textId="77777777" w:rsidR="00465AA9" w:rsidRPr="00C34EA3" w:rsidRDefault="00465AA9" w:rsidP="000E75FE">
      <w:pPr>
        <w:numPr>
          <w:ilvl w:val="0"/>
          <w:numId w:val="34"/>
        </w:numPr>
        <w:rPr>
          <w:szCs w:val="22"/>
          <w:lang w:val="en-IE" w:eastAsia="fr-BE"/>
        </w:rPr>
      </w:pPr>
      <w:r w:rsidRPr="00C34EA3">
        <w:rPr>
          <w:szCs w:val="22"/>
        </w:rPr>
        <w:t xml:space="preserve"> </w:t>
      </w:r>
      <w:r w:rsidRPr="00BA6979">
        <w:rPr>
          <w:szCs w:val="22"/>
          <w:lang w:val="en-IE" w:eastAsia="fr-BE"/>
        </w:rPr>
        <w:t>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may be provided instead.</w:t>
      </w:r>
      <w:r w:rsidR="00C34EA3" w:rsidRPr="00C34EA3">
        <w:rPr>
          <w:szCs w:val="22"/>
          <w:lang w:val="en-IE" w:eastAsia="fr-BE"/>
        </w:rPr>
        <w:t xml:space="preserve"> </w:t>
      </w:r>
    </w:p>
    <w:p w14:paraId="613AA32C" w14:textId="77777777" w:rsidR="00BF43D8" w:rsidRPr="00BA6979" w:rsidRDefault="00BF43D8" w:rsidP="00BA6979">
      <w:pPr>
        <w:ind w:left="1080"/>
        <w:rPr>
          <w:szCs w:val="22"/>
          <w:lang w:val="en-IE" w:eastAsia="fr-BE"/>
        </w:rPr>
      </w:pPr>
    </w:p>
    <w:p w14:paraId="2192C6A6" w14:textId="77777777" w:rsidR="00465AA9" w:rsidRPr="00BA6979" w:rsidRDefault="00465AA9" w:rsidP="00465AA9">
      <w:pPr>
        <w:rPr>
          <w:szCs w:val="22"/>
          <w:lang w:val="en-IE" w:eastAsia="en-GB"/>
        </w:rPr>
      </w:pPr>
      <w:r w:rsidRPr="006C2335">
        <w:rPr>
          <w:szCs w:val="22"/>
          <w:lang w:val="en-IE" w:eastAsia="en-GB"/>
        </w:rPr>
        <w:t>In addition, for the purpose of the evaluation of the financial capacity, the following documents should be submitted</w:t>
      </w:r>
      <w:r w:rsidR="00076061">
        <w:rPr>
          <w:rStyle w:val="FootnoteReference"/>
          <w:color w:val="000000"/>
        </w:rPr>
        <w:footnoteReference w:id="17"/>
      </w:r>
      <w:r w:rsidRPr="006C2335">
        <w:rPr>
          <w:szCs w:val="22"/>
          <w:lang w:val="en-IE" w:eastAsia="en-GB"/>
        </w:rPr>
        <w:t xml:space="preserve">:  </w:t>
      </w:r>
    </w:p>
    <w:p w14:paraId="16DB84DB" w14:textId="77777777" w:rsidR="008B69D1" w:rsidRDefault="008B69D1" w:rsidP="000E75FE">
      <w:pPr>
        <w:numPr>
          <w:ilvl w:val="0"/>
          <w:numId w:val="33"/>
        </w:numPr>
        <w:rPr>
          <w:lang w:eastAsia="en-GB"/>
        </w:rPr>
      </w:pPr>
      <w:r w:rsidRPr="008B029E">
        <w:rPr>
          <w:lang w:eastAsia="en-GB"/>
        </w:rPr>
        <w:t xml:space="preserve">For action grants exceeding EUR 750 000 and for operating grants </w:t>
      </w:r>
      <w:r>
        <w:rPr>
          <w:lang w:eastAsia="en-GB"/>
        </w:rPr>
        <w:t>exceeding</w:t>
      </w:r>
      <w:r w:rsidRPr="008B029E">
        <w:rPr>
          <w:lang w:eastAsia="en-GB"/>
        </w:rPr>
        <w:t xml:space="preserve"> EUR 100 000, the lead applicant must provide an audit report produced by an approved external auditor where it is available, and always in cases where a statutory audit is required by EU or national law. That report shall certify the accounts for up to the last 3 financial years available. </w:t>
      </w:r>
    </w:p>
    <w:p w14:paraId="7E848206" w14:textId="77777777" w:rsidR="008B69D1" w:rsidRPr="008B029E" w:rsidRDefault="008B69D1" w:rsidP="008B69D1">
      <w:pPr>
        <w:ind w:left="709"/>
        <w:rPr>
          <w:lang w:eastAsia="en-GB"/>
        </w:rPr>
      </w:pPr>
      <w:r w:rsidRPr="008B029E">
        <w:rPr>
          <w:lang w:eastAsia="en-GB"/>
        </w:rPr>
        <w:t xml:space="preserve">In all other cases, the </w:t>
      </w:r>
      <w:r>
        <w:rPr>
          <w:lang w:eastAsia="en-GB"/>
        </w:rPr>
        <w:t xml:space="preserve">lead </w:t>
      </w:r>
      <w:r w:rsidRPr="008B029E">
        <w:rPr>
          <w:lang w:eastAsia="en-GB"/>
        </w:rPr>
        <w:t xml:space="preserve">applicant shall provide a self-declaration signed by its authorised representative certifying the validity of its accounts for up to the last 3 financial years available. </w:t>
      </w:r>
    </w:p>
    <w:p w14:paraId="3C7D106C" w14:textId="77777777" w:rsidR="008B69D1" w:rsidRPr="008B029E" w:rsidRDefault="008B69D1" w:rsidP="008B69D1">
      <w:pPr>
        <w:ind w:left="709"/>
        <w:rPr>
          <w:lang w:eastAsia="en-GB"/>
        </w:rPr>
      </w:pPr>
      <w:r w:rsidRPr="008B029E">
        <w:rPr>
          <w:lang w:eastAsia="en-GB"/>
        </w:rPr>
        <w:t xml:space="preserve">This requirement shall apply only to the first application made by an applicant to </w:t>
      </w:r>
      <w:r>
        <w:rPr>
          <w:lang w:eastAsia="en-GB"/>
        </w:rPr>
        <w:t xml:space="preserve">the contracting authority </w:t>
      </w:r>
      <w:r w:rsidRPr="008B029E">
        <w:rPr>
          <w:lang w:eastAsia="en-GB"/>
        </w:rPr>
        <w:t>in any one financial year.</w:t>
      </w:r>
    </w:p>
    <w:p w14:paraId="24EBDCF9" w14:textId="77777777" w:rsidR="008B69D1" w:rsidRPr="008B029E" w:rsidRDefault="008B69D1" w:rsidP="006C094C">
      <w:pPr>
        <w:ind w:left="709"/>
        <w:rPr>
          <w:lang w:eastAsia="en-GB"/>
        </w:rPr>
      </w:pPr>
      <w:r w:rsidRPr="008B029E">
        <w:rPr>
          <w:lang w:eastAsia="en-GB"/>
        </w:rPr>
        <w:t>The external audit report</w:t>
      </w:r>
      <w:r w:rsidR="008B46E7">
        <w:rPr>
          <w:lang w:eastAsia="en-GB"/>
        </w:rPr>
        <w:t xml:space="preserve"> as well as the self-declaration certifying the validity of the accounts</w:t>
      </w:r>
      <w:r w:rsidRPr="008B029E">
        <w:rPr>
          <w:lang w:eastAsia="en-GB"/>
        </w:rPr>
        <w:t xml:space="preserve"> </w:t>
      </w:r>
      <w:r w:rsidR="008B46E7">
        <w:rPr>
          <w:lang w:eastAsia="en-GB"/>
        </w:rPr>
        <w:t>are</w:t>
      </w:r>
      <w:r w:rsidRPr="008B029E">
        <w:rPr>
          <w:lang w:eastAsia="en-GB"/>
        </w:rPr>
        <w:t xml:space="preserve"> not required from the co-applicant(s) or affiliated entities</w:t>
      </w:r>
      <w:r>
        <w:rPr>
          <w:lang w:eastAsia="en-GB"/>
        </w:rPr>
        <w:t xml:space="preserve"> </w:t>
      </w:r>
      <w:r w:rsidRPr="00A37048">
        <w:rPr>
          <w:lang w:eastAsia="en-GB"/>
        </w:rPr>
        <w:t>(if any)</w:t>
      </w:r>
      <w:r w:rsidRPr="008B029E">
        <w:rPr>
          <w:lang w:eastAsia="en-GB"/>
        </w:rPr>
        <w:t>.</w:t>
      </w:r>
    </w:p>
    <w:p w14:paraId="4A889B84" w14:textId="77777777" w:rsidR="008B69D1" w:rsidRPr="008B029E" w:rsidRDefault="008B69D1" w:rsidP="000E75FE">
      <w:pPr>
        <w:numPr>
          <w:ilvl w:val="0"/>
          <w:numId w:val="33"/>
        </w:numPr>
        <w:rPr>
          <w:lang w:eastAsia="en-GB"/>
        </w:rPr>
      </w:pPr>
      <w:r w:rsidRPr="008B029E">
        <w:t>A copy of the lead applicant</w:t>
      </w:r>
      <w:r w:rsidRPr="00846024">
        <w:t>’</w:t>
      </w:r>
      <w:r w:rsidRPr="008B029E">
        <w:t>s latest accounts (the profit and loss account and the balance sheet for the last financial year for which the accounts have been closed)</w:t>
      </w:r>
      <w:r w:rsidRPr="00846024">
        <w:rPr>
          <w:rStyle w:val="FootnoteReference"/>
        </w:rPr>
        <w:footnoteReference w:id="18"/>
      </w:r>
      <w:r w:rsidRPr="008B029E">
        <w:t xml:space="preserve">. A copy of the latest account is neither required from the co-applicant(s) </w:t>
      </w:r>
      <w:r w:rsidRPr="00422EEF">
        <w:t xml:space="preserve">(if any) </w:t>
      </w:r>
      <w:r w:rsidRPr="008B029E">
        <w:t xml:space="preserve">nor from affiliated </w:t>
      </w:r>
      <w:proofErr w:type="gramStart"/>
      <w:r w:rsidRPr="008B029E">
        <w:t>entity(</w:t>
      </w:r>
      <w:proofErr w:type="spellStart"/>
      <w:proofErr w:type="gramEnd"/>
      <w:r w:rsidRPr="008B029E">
        <w:t>ies</w:t>
      </w:r>
      <w:proofErr w:type="spellEnd"/>
      <w:r w:rsidRPr="008B029E">
        <w:t>)</w:t>
      </w:r>
      <w:r w:rsidRPr="006E5C2D">
        <w:t xml:space="preserve"> </w:t>
      </w:r>
      <w:r w:rsidRPr="00CD6B5C">
        <w:t>(if any)</w:t>
      </w:r>
      <w:r w:rsidRPr="008B029E">
        <w:t>.</w:t>
      </w:r>
    </w:p>
    <w:p w14:paraId="75C2EB65" w14:textId="77777777" w:rsidR="00465AA9" w:rsidRPr="001B53C9" w:rsidRDefault="00465AA9" w:rsidP="00465AA9">
      <w:pPr>
        <w:rPr>
          <w:bCs/>
          <w:color w:val="000000"/>
          <w:lang w:eastAsia="en-GB"/>
        </w:rPr>
      </w:pPr>
      <w:r w:rsidRPr="001B53C9">
        <w:rPr>
          <w:bCs/>
          <w:color w:val="000000"/>
          <w:lang w:eastAsia="en-GB"/>
        </w:rPr>
        <w:t xml:space="preserve">The requested supporting documents (uploaded in </w:t>
      </w:r>
      <w:proofErr w:type="spellStart"/>
      <w:r w:rsidRPr="001B53C9">
        <w:rPr>
          <w:bCs/>
          <w:color w:val="000000"/>
          <w:lang w:eastAsia="en-GB"/>
        </w:rPr>
        <w:t>PADOR</w:t>
      </w:r>
      <w:proofErr w:type="spellEnd"/>
      <w:r w:rsidRPr="001B53C9">
        <w:rPr>
          <w:bCs/>
          <w:color w:val="000000"/>
          <w:lang w:eastAsia="en-GB"/>
        </w:rPr>
        <w:t xml:space="preserve"> or sent together with the </w:t>
      </w:r>
      <w:proofErr w:type="spellStart"/>
      <w:r w:rsidRPr="001B53C9">
        <w:rPr>
          <w:bCs/>
          <w:color w:val="000000"/>
          <w:lang w:eastAsia="en-GB"/>
        </w:rPr>
        <w:t>PADOR</w:t>
      </w:r>
      <w:proofErr w:type="spellEnd"/>
      <w:r w:rsidRPr="001B53C9">
        <w:rPr>
          <w:bCs/>
          <w:color w:val="000000"/>
          <w:lang w:eastAsia="en-GB"/>
        </w:rPr>
        <w:t xml:space="preserve"> offline form) must be supplied in the form of originals, photocopies or scanned versions (i.e. showing legible stamps, signatures and dates) of the said originals.</w:t>
      </w:r>
      <w:r w:rsidR="00CD1512">
        <w:rPr>
          <w:bCs/>
          <w:color w:val="000000"/>
          <w:lang w:eastAsia="en-GB"/>
        </w:rPr>
        <w:t xml:space="preserve"> </w:t>
      </w:r>
      <w:r w:rsidR="00CD1512" w:rsidRPr="00CD1512">
        <w:rPr>
          <w:bCs/>
          <w:color w:val="000000"/>
          <w:lang w:eastAsia="en-GB"/>
        </w:rPr>
        <w:t>Originals should be kept on file for controls.</w:t>
      </w:r>
    </w:p>
    <w:p w14:paraId="51CD76BB" w14:textId="3049D002" w:rsidR="00465AA9" w:rsidRPr="001B53C9" w:rsidRDefault="00465AA9" w:rsidP="00465AA9">
      <w:pPr>
        <w:rPr>
          <w:bCs/>
          <w:color w:val="000000"/>
          <w:lang w:eastAsia="en-GB"/>
        </w:rPr>
      </w:pPr>
      <w:r w:rsidRPr="001B53C9">
        <w:rPr>
          <w:bCs/>
          <w:color w:val="000000"/>
          <w:lang w:eastAsia="en-GB"/>
        </w:rPr>
        <w:t xml:space="preserve">Where such documents are not in one of the official languages of the European Union </w:t>
      </w:r>
      <w:r w:rsidRPr="002E37EA">
        <w:rPr>
          <w:bCs/>
          <w:color w:val="000000"/>
          <w:lang w:eastAsia="en-GB"/>
        </w:rPr>
        <w:t>or in the language of the country where the action is implemented</w:t>
      </w:r>
      <w:r w:rsidRPr="001B53C9">
        <w:rPr>
          <w:bCs/>
          <w:color w:val="000000"/>
          <w:lang w:eastAsia="en-GB"/>
        </w:rPr>
        <w:t>, a translation into</w:t>
      </w:r>
      <w:r w:rsidR="00BA4B87">
        <w:rPr>
          <w:bCs/>
          <w:color w:val="000000"/>
          <w:lang w:eastAsia="en-GB"/>
        </w:rPr>
        <w:t xml:space="preserve"> English </w:t>
      </w:r>
      <w:r w:rsidRPr="001B53C9">
        <w:rPr>
          <w:bCs/>
          <w:color w:val="000000"/>
          <w:lang w:eastAsia="en-GB"/>
        </w:rPr>
        <w:t xml:space="preserve">of the relevant parts of these documents proving the lead applicant's and, where applicable, co-applicants' and affiliated </w:t>
      </w:r>
      <w:proofErr w:type="gramStart"/>
      <w:r w:rsidRPr="001B53C9">
        <w:rPr>
          <w:bCs/>
          <w:color w:val="000000"/>
          <w:lang w:eastAsia="en-GB"/>
        </w:rPr>
        <w:t>entity(</w:t>
      </w:r>
      <w:proofErr w:type="spellStart"/>
      <w:proofErr w:type="gramEnd"/>
      <w:r w:rsidRPr="001B53C9">
        <w:rPr>
          <w:bCs/>
          <w:color w:val="000000"/>
          <w:lang w:eastAsia="en-GB"/>
        </w:rPr>
        <w:t>ies</w:t>
      </w:r>
      <w:proofErr w:type="spellEnd"/>
      <w:r w:rsidRPr="001B53C9">
        <w:rPr>
          <w:bCs/>
          <w:color w:val="000000"/>
          <w:lang w:eastAsia="en-GB"/>
        </w:rPr>
        <w:t>)' eligibility, must be attached for the purpose of analysing the application.</w:t>
      </w:r>
    </w:p>
    <w:p w14:paraId="5250B348" w14:textId="4ED97C01" w:rsidR="00465AA9" w:rsidRPr="001B53C9" w:rsidRDefault="00465AA9" w:rsidP="00465AA9">
      <w:pPr>
        <w:rPr>
          <w:bCs/>
          <w:color w:val="000000"/>
          <w:lang w:eastAsia="en-GB"/>
        </w:rPr>
      </w:pPr>
      <w:r w:rsidRPr="001B53C9">
        <w:rPr>
          <w:bCs/>
          <w:color w:val="000000"/>
          <w:lang w:eastAsia="en-GB"/>
        </w:rPr>
        <w:t xml:space="preserve">Where these documents are in an official language of the European Union other than </w:t>
      </w:r>
      <w:r w:rsidR="00BA4B87">
        <w:rPr>
          <w:bCs/>
          <w:color w:val="000000"/>
          <w:lang w:eastAsia="en-GB"/>
        </w:rPr>
        <w:t>English</w:t>
      </w:r>
      <w:r w:rsidRPr="001B53C9">
        <w:rPr>
          <w:bCs/>
          <w:color w:val="000000"/>
          <w:lang w:eastAsia="en-GB"/>
        </w:rPr>
        <w:t>, it is strongly recommended, in order to facilitate the evaluation, to provide a translation of the relevant parts of the documents, proving the lead applicant's and, where applicable, co-applicants' and affiliated entity(</w:t>
      </w:r>
      <w:proofErr w:type="spellStart"/>
      <w:r w:rsidRPr="001B53C9">
        <w:rPr>
          <w:bCs/>
          <w:color w:val="000000"/>
          <w:lang w:eastAsia="en-GB"/>
        </w:rPr>
        <w:t>ies</w:t>
      </w:r>
      <w:proofErr w:type="spellEnd"/>
      <w:r w:rsidRPr="001B53C9">
        <w:rPr>
          <w:bCs/>
          <w:color w:val="000000"/>
          <w:lang w:eastAsia="en-GB"/>
        </w:rPr>
        <w:t>)' eligibility, into</w:t>
      </w:r>
      <w:r w:rsidR="00BA4B87">
        <w:rPr>
          <w:bCs/>
          <w:color w:val="000000"/>
          <w:lang w:eastAsia="en-GB"/>
        </w:rPr>
        <w:t xml:space="preserve"> English</w:t>
      </w:r>
      <w:r w:rsidRPr="001B53C9">
        <w:rPr>
          <w:bCs/>
          <w:color w:val="000000"/>
          <w:lang w:eastAsia="en-GB"/>
        </w:rPr>
        <w:t>.</w:t>
      </w:r>
    </w:p>
    <w:p w14:paraId="7CFAB8B4" w14:textId="77777777" w:rsidR="00465AA9" w:rsidRDefault="00465AA9" w:rsidP="00465AA9">
      <w:pPr>
        <w:rPr>
          <w:bCs/>
          <w:color w:val="000000"/>
          <w:lang w:eastAsia="en-GB"/>
        </w:rPr>
      </w:pPr>
      <w:r w:rsidRPr="001B53C9">
        <w:rPr>
          <w:bCs/>
          <w:color w:val="000000"/>
          <w:lang w:eastAsia="en-GB"/>
        </w:rPr>
        <w:t xml:space="preserve">Applicants have to take into consideration the time necessary to obtain official documents from national competent authorities and to translate such documents in the authorised languages while registering their data in </w:t>
      </w:r>
      <w:proofErr w:type="spellStart"/>
      <w:r w:rsidRPr="001B53C9">
        <w:rPr>
          <w:bCs/>
          <w:color w:val="000000"/>
          <w:lang w:eastAsia="en-GB"/>
        </w:rPr>
        <w:t>PADOR</w:t>
      </w:r>
      <w:proofErr w:type="spellEnd"/>
      <w:r w:rsidRPr="001B53C9">
        <w:rPr>
          <w:bCs/>
          <w:color w:val="000000"/>
          <w:lang w:eastAsia="en-GB"/>
        </w:rPr>
        <w:t>.</w:t>
      </w:r>
      <w:r w:rsidRPr="009F3B53">
        <w:rPr>
          <w:bCs/>
          <w:color w:val="000000"/>
          <w:lang w:eastAsia="en-GB"/>
        </w:rPr>
        <w:t xml:space="preserve"> </w:t>
      </w:r>
    </w:p>
    <w:p w14:paraId="398CD2A5" w14:textId="77777777" w:rsidR="00E16F20" w:rsidRPr="00BA6979" w:rsidRDefault="00465AA9" w:rsidP="00203ABF">
      <w:pPr>
        <w:rPr>
          <w:b/>
          <w:szCs w:val="22"/>
          <w:lang w:eastAsia="en-GB"/>
        </w:rPr>
      </w:pPr>
      <w:r w:rsidRPr="00807DAF">
        <w:rPr>
          <w:szCs w:val="22"/>
        </w:rPr>
        <w:t>If the abovementioned supporting d</w:t>
      </w:r>
      <w:r w:rsidR="004A75FE">
        <w:rPr>
          <w:szCs w:val="22"/>
        </w:rPr>
        <w:t>ocuments are not provided by</w:t>
      </w:r>
      <w:r w:rsidRPr="00807DAF">
        <w:rPr>
          <w:szCs w:val="22"/>
        </w:rPr>
        <w:t xml:space="preserve"> the deadline</w:t>
      </w:r>
      <w:r w:rsidR="004A75FE">
        <w:rPr>
          <w:szCs w:val="22"/>
        </w:rPr>
        <w:t xml:space="preserve"> for the submission of the full application, </w:t>
      </w:r>
      <w:r w:rsidRPr="00807DAF">
        <w:rPr>
          <w:szCs w:val="22"/>
        </w:rPr>
        <w:t>the application may be rejected</w:t>
      </w:r>
      <w:r>
        <w:rPr>
          <w:szCs w:val="22"/>
        </w:rPr>
        <w:t>.</w:t>
      </w:r>
    </w:p>
    <w:p w14:paraId="6A79C427" w14:textId="405D2B95" w:rsidR="003956DF" w:rsidRPr="00BA6979" w:rsidRDefault="003956DF" w:rsidP="00203ABF">
      <w:pPr>
        <w:rPr>
          <w:szCs w:val="22"/>
          <w:lang w:eastAsia="en-GB"/>
        </w:rPr>
      </w:pPr>
      <w:r w:rsidRPr="00BA6979">
        <w:rPr>
          <w:szCs w:val="22"/>
          <w:lang w:eastAsia="en-GB"/>
        </w:rPr>
        <w:t xml:space="preserve">No </w:t>
      </w:r>
      <w:r w:rsidR="007C4578" w:rsidRPr="00BA6979">
        <w:rPr>
          <w:szCs w:val="22"/>
          <w:lang w:eastAsia="en-GB"/>
        </w:rPr>
        <w:t xml:space="preserve">additional </w:t>
      </w:r>
      <w:r w:rsidRPr="00BA6979">
        <w:rPr>
          <w:szCs w:val="22"/>
          <w:lang w:eastAsia="en-GB"/>
        </w:rPr>
        <w:t>annexes should be sent.</w:t>
      </w:r>
    </w:p>
    <w:p w14:paraId="5C66FF8E" w14:textId="77777777" w:rsidR="008B4806" w:rsidRPr="00BA6979" w:rsidRDefault="008B4806" w:rsidP="000E75FE">
      <w:pPr>
        <w:pStyle w:val="Guidelines3"/>
        <w:numPr>
          <w:ilvl w:val="2"/>
          <w:numId w:val="9"/>
        </w:numPr>
      </w:pPr>
      <w:bookmarkStart w:id="28" w:name="_Toc74830961"/>
      <w:bookmarkStart w:id="29" w:name="_Toc125454357"/>
      <w:r w:rsidRPr="00BA6979">
        <w:t xml:space="preserve">Where and how to send </w:t>
      </w:r>
      <w:r w:rsidR="003A23FE" w:rsidRPr="00BA6979">
        <w:t>f</w:t>
      </w:r>
      <w:r w:rsidRPr="00BA6979">
        <w:t xml:space="preserve">ull </w:t>
      </w:r>
      <w:r w:rsidR="003A23FE" w:rsidRPr="00BA6979">
        <w:t>a</w:t>
      </w:r>
      <w:r w:rsidRPr="00BA6979">
        <w:t>pplication</w:t>
      </w:r>
      <w:r w:rsidR="003A23FE" w:rsidRPr="00BA6979">
        <w:t>s</w:t>
      </w:r>
      <w:bookmarkEnd w:id="28"/>
      <w:r w:rsidRPr="00BA6979">
        <w:t xml:space="preserve"> </w:t>
      </w:r>
      <w:bookmarkEnd w:id="29"/>
    </w:p>
    <w:p w14:paraId="7666E04C" w14:textId="77777777" w:rsidR="00BE2542" w:rsidRPr="00423CB3" w:rsidRDefault="00BE2542" w:rsidP="00BE2542">
      <w:pPr>
        <w:spacing w:before="240"/>
      </w:pPr>
      <w:r w:rsidRPr="00FE05D4">
        <w:t xml:space="preserve">Full </w:t>
      </w:r>
      <w:r>
        <w:t>a</w:t>
      </w:r>
      <w:r w:rsidRPr="00FE05D4">
        <w:t>pplication</w:t>
      </w:r>
      <w:r w:rsidR="000F1310">
        <w:t>s</w:t>
      </w:r>
      <w:r>
        <w:t xml:space="preserve"> </w:t>
      </w:r>
      <w:r w:rsidR="000F1310">
        <w:t xml:space="preserve">(i.e. the full application </w:t>
      </w:r>
      <w:r>
        <w:t>form</w:t>
      </w:r>
      <w:r w:rsidR="000F1310">
        <w:t xml:space="preserve">, </w:t>
      </w:r>
      <w:proofErr w:type="spellStart"/>
      <w:r w:rsidR="006C2335">
        <w:t>PADOR</w:t>
      </w:r>
      <w:proofErr w:type="spellEnd"/>
      <w:r w:rsidR="006C2335">
        <w:t xml:space="preserve"> </w:t>
      </w:r>
      <w:r w:rsidR="00FB5B6A">
        <w:t>registration</w:t>
      </w:r>
      <w:r w:rsidR="006C2335">
        <w:t xml:space="preserve"> form (where applicable),</w:t>
      </w:r>
      <w:r w:rsidR="00420D0B">
        <w:t xml:space="preserve"> </w:t>
      </w:r>
      <w:r>
        <w:t>the budget</w:t>
      </w:r>
      <w:r w:rsidR="00420D0B">
        <w:t>,</w:t>
      </w:r>
      <w:r>
        <w:t xml:space="preserve"> the logical framework</w:t>
      </w:r>
      <w:r w:rsidR="00420D0B">
        <w:t>,</w:t>
      </w:r>
      <w:r>
        <w:t xml:space="preserve"> and the declaration by the lead applicant</w:t>
      </w:r>
      <w:r w:rsidR="000F1310">
        <w:t>)</w:t>
      </w:r>
      <w:r>
        <w:t xml:space="preserve"> must</w:t>
      </w:r>
      <w:r w:rsidRPr="00FE05D4">
        <w:t xml:space="preserve"> be submitted online via PROSPECT </w:t>
      </w:r>
      <w:hyperlink r:id="rId27" w:history="1">
        <w:r w:rsidR="00F874BB" w:rsidRPr="00556E3A">
          <w:rPr>
            <w:rStyle w:val="Hyperlink"/>
          </w:rPr>
          <w:t>https://webgate.ec.europa.eu/prospect</w:t>
        </w:r>
      </w:hyperlink>
      <w:r w:rsidR="00F874BB">
        <w:t xml:space="preserve"> </w:t>
      </w:r>
      <w:r w:rsidRPr="00FE05D4">
        <w:t xml:space="preserve">following the instructions given in the </w:t>
      </w:r>
      <w:r w:rsidR="00661497">
        <w:t xml:space="preserve">PROSPECT </w:t>
      </w:r>
      <w:r w:rsidRPr="00FE05D4">
        <w:t>users</w:t>
      </w:r>
      <w:r w:rsidRPr="00D52530">
        <w:t>’</w:t>
      </w:r>
      <w:r w:rsidRPr="00FE05D4">
        <w:t xml:space="preserve"> manual</w:t>
      </w:r>
      <w:r>
        <w:t>.</w:t>
      </w:r>
    </w:p>
    <w:p w14:paraId="63B7AB29" w14:textId="77777777" w:rsidR="00BE2542" w:rsidRDefault="00BE2542" w:rsidP="00BE2542">
      <w:pPr>
        <w:spacing w:before="240"/>
      </w:pPr>
      <w:r w:rsidRPr="00FE05D4">
        <w:t xml:space="preserve">Upon submission of the </w:t>
      </w:r>
      <w:r>
        <w:t>f</w:t>
      </w:r>
      <w:r w:rsidRPr="00FE05D4">
        <w:t xml:space="preserve">ull </w:t>
      </w:r>
      <w:r>
        <w:t>a</w:t>
      </w:r>
      <w:r w:rsidRPr="00FE05D4">
        <w:t xml:space="preserve">pplication online, </w:t>
      </w:r>
      <w:r>
        <w:t>the lead a</w:t>
      </w:r>
      <w:r w:rsidRPr="00FE05D4">
        <w:t>pplicants will receive an automatic confirmation of receipt in their PROSPECT profile.</w:t>
      </w:r>
      <w:r>
        <w:t xml:space="preserve"> </w:t>
      </w:r>
    </w:p>
    <w:p w14:paraId="4AE3B23B" w14:textId="77777777" w:rsidR="008B4806" w:rsidRPr="00BE2542" w:rsidRDefault="00BE2542" w:rsidP="00203ABF">
      <w:pPr>
        <w:rPr>
          <w:b/>
        </w:rPr>
      </w:pPr>
      <w:r w:rsidRPr="00BA6979">
        <w:rPr>
          <w:b/>
          <w:u w:val="single"/>
        </w:rPr>
        <w:t>Please note that incomplete applications may be rejected</w:t>
      </w:r>
      <w:r w:rsidRPr="00FE05D4">
        <w:rPr>
          <w:b/>
        </w:rPr>
        <w:t>.</w:t>
      </w:r>
      <w:r>
        <w:rPr>
          <w:b/>
        </w:rPr>
        <w:t xml:space="preserve"> </w:t>
      </w:r>
      <w:r>
        <w:t>Lead a</w:t>
      </w:r>
      <w:r w:rsidRPr="003953A0">
        <w:t xml:space="preserve">pplicants </w:t>
      </w:r>
      <w:r>
        <w:t xml:space="preserve">are advised to </w:t>
      </w:r>
      <w:r w:rsidRPr="003953A0">
        <w:t>verify that their application is complete using the checklist</w:t>
      </w:r>
      <w:r>
        <w:t xml:space="preserve"> </w:t>
      </w:r>
      <w:r w:rsidRPr="003953A0">
        <w:t>(Annex A.2</w:t>
      </w:r>
      <w:r>
        <w:t>,</w:t>
      </w:r>
      <w:r w:rsidRPr="003953A0">
        <w:t xml:space="preserve"> </w:t>
      </w:r>
      <w:r>
        <w:t>Instructions</w:t>
      </w:r>
      <w:r w:rsidRPr="00564F01">
        <w:t>).</w:t>
      </w:r>
    </w:p>
    <w:p w14:paraId="1C3967A4" w14:textId="77777777" w:rsidR="008B4806" w:rsidRPr="00BA6979" w:rsidRDefault="008B4806" w:rsidP="000E75FE">
      <w:pPr>
        <w:pStyle w:val="Guidelines3"/>
        <w:numPr>
          <w:ilvl w:val="2"/>
          <w:numId w:val="9"/>
        </w:numPr>
      </w:pPr>
      <w:bookmarkStart w:id="30" w:name="_Toc74830962"/>
      <w:bookmarkStart w:id="31" w:name="_Toc125454358"/>
      <w:r w:rsidRPr="00BA6979">
        <w:t>Deadline for</w:t>
      </w:r>
      <w:r w:rsidR="006548FC" w:rsidRPr="00BA6979">
        <w:t xml:space="preserve"> submission</w:t>
      </w:r>
      <w:r w:rsidRPr="00BA6979">
        <w:t xml:space="preserve"> of</w:t>
      </w:r>
      <w:r w:rsidR="001507E7" w:rsidRPr="00BA6979">
        <w:t xml:space="preserve"> </w:t>
      </w:r>
      <w:r w:rsidR="00661830" w:rsidRPr="00BA6979">
        <w:t>f</w:t>
      </w:r>
      <w:r w:rsidR="001507E7" w:rsidRPr="00BA6979">
        <w:t xml:space="preserve">ull </w:t>
      </w:r>
      <w:r w:rsidR="00661830" w:rsidRPr="00BA6979">
        <w:t>a</w:t>
      </w:r>
      <w:r w:rsidRPr="00BA6979">
        <w:t>pplication</w:t>
      </w:r>
      <w:r w:rsidR="00661830" w:rsidRPr="00BA6979">
        <w:t>s</w:t>
      </w:r>
      <w:bookmarkEnd w:id="30"/>
      <w:r w:rsidR="001507E7" w:rsidRPr="00BA6979">
        <w:t xml:space="preserve"> </w:t>
      </w:r>
      <w:bookmarkEnd w:id="31"/>
    </w:p>
    <w:p w14:paraId="6149B726" w14:textId="09ECDDE4" w:rsidR="00235015" w:rsidRPr="00FE05D4" w:rsidRDefault="00235015" w:rsidP="00235015">
      <w:pPr>
        <w:spacing w:before="240"/>
      </w:pPr>
      <w:r w:rsidRPr="00FE05D4">
        <w:t xml:space="preserve">The deadline for the submission of </w:t>
      </w:r>
      <w:r>
        <w:t xml:space="preserve">full </w:t>
      </w:r>
      <w:r w:rsidRPr="00FE05D4">
        <w:t xml:space="preserve">applications will be indicated in the letter sent to the </w:t>
      </w:r>
      <w:r>
        <w:t>lead a</w:t>
      </w:r>
      <w:r w:rsidRPr="00FE05D4">
        <w:t xml:space="preserve">pplicants whose application has been pre-selected. This letter will appear online automatically in the PROSPECT profile of the </w:t>
      </w:r>
      <w:r>
        <w:t>lead a</w:t>
      </w:r>
      <w:r w:rsidRPr="00FE05D4">
        <w:t>pplicant.</w:t>
      </w:r>
    </w:p>
    <w:p w14:paraId="64040BF6" w14:textId="77777777" w:rsidR="00235015" w:rsidRPr="00FE05D4" w:rsidRDefault="00235015" w:rsidP="00235015">
      <w:pPr>
        <w:spacing w:before="240"/>
      </w:pPr>
      <w:r>
        <w:rPr>
          <w:b/>
        </w:rPr>
        <w:t>Lead a</w:t>
      </w:r>
      <w:r w:rsidRPr="007904B1">
        <w:rPr>
          <w:b/>
        </w:rPr>
        <w:t xml:space="preserve">pplicants are strongly advised not to wait until the last day to submit their </w:t>
      </w:r>
      <w:r>
        <w:rPr>
          <w:b/>
        </w:rPr>
        <w:t>f</w:t>
      </w:r>
      <w:r w:rsidRPr="007904B1">
        <w:rPr>
          <w:b/>
        </w:rPr>
        <w:t xml:space="preserve">ull </w:t>
      </w:r>
      <w:r>
        <w:rPr>
          <w:b/>
        </w:rPr>
        <w:t>a</w:t>
      </w:r>
      <w:r w:rsidRPr="007904B1">
        <w:rPr>
          <w:b/>
        </w:rPr>
        <w:t>pplications</w:t>
      </w:r>
      <w:r w:rsidRPr="00FE05D4">
        <w:t xml:space="preserve">, since heavy Internet traffic or a fault with the Internet connection (including electricity failure, etc.) could lead to difficulties in submission. The Contacting Authority cannot be held responsible for any delay due to such afore-mentioned difficulties. </w:t>
      </w:r>
    </w:p>
    <w:p w14:paraId="1987F3AA" w14:textId="77777777" w:rsidR="00235015" w:rsidRPr="00BC4288" w:rsidRDefault="00235015" w:rsidP="00235015">
      <w:pPr>
        <w:spacing w:before="240"/>
      </w:pPr>
      <w:r w:rsidRPr="00FE05D4">
        <w:t xml:space="preserve">Any application submitted after the deadline will be rejected. </w:t>
      </w:r>
    </w:p>
    <w:p w14:paraId="0F9B8339" w14:textId="77777777" w:rsidR="00B41A93" w:rsidRPr="00807DAF" w:rsidRDefault="00B41A93" w:rsidP="00235015">
      <w:pPr>
        <w:spacing w:before="240"/>
      </w:pPr>
      <w:r w:rsidRPr="00807DAF">
        <w:t xml:space="preserve"> </w:t>
      </w:r>
    </w:p>
    <w:p w14:paraId="5C05D99A" w14:textId="77777777" w:rsidR="008B4806" w:rsidRPr="00BA6979" w:rsidRDefault="008B4806" w:rsidP="000E75FE">
      <w:pPr>
        <w:pStyle w:val="Guidelines3"/>
        <w:numPr>
          <w:ilvl w:val="2"/>
          <w:numId w:val="9"/>
        </w:numPr>
      </w:pPr>
      <w:bookmarkStart w:id="32" w:name="_Toc74830963"/>
      <w:bookmarkStart w:id="33" w:name="_Toc125454359"/>
      <w:r w:rsidRPr="00BA6979">
        <w:t>Further informatio</w:t>
      </w:r>
      <w:r w:rsidR="001507E7" w:rsidRPr="00BA6979">
        <w:t xml:space="preserve">n </w:t>
      </w:r>
      <w:r w:rsidR="00000396" w:rsidRPr="00BA6979">
        <w:t>about</w:t>
      </w:r>
      <w:r w:rsidR="001507E7" w:rsidRPr="00BA6979">
        <w:t xml:space="preserve"> </w:t>
      </w:r>
      <w:r w:rsidR="00661830" w:rsidRPr="00BA6979">
        <w:t>f</w:t>
      </w:r>
      <w:r w:rsidR="001507E7" w:rsidRPr="00BA6979">
        <w:t xml:space="preserve">ull </w:t>
      </w:r>
      <w:r w:rsidR="00661830" w:rsidRPr="00BA6979">
        <w:t>a</w:t>
      </w:r>
      <w:r w:rsidR="001507E7" w:rsidRPr="00BA6979">
        <w:t>pplication</w:t>
      </w:r>
      <w:r w:rsidR="00661830" w:rsidRPr="00BA6979">
        <w:t>s</w:t>
      </w:r>
      <w:bookmarkEnd w:id="32"/>
      <w:r w:rsidR="001507E7" w:rsidRPr="00BA6979">
        <w:t xml:space="preserve"> </w:t>
      </w:r>
      <w:bookmarkEnd w:id="33"/>
    </w:p>
    <w:p w14:paraId="6779D61D" w14:textId="2D9D7639" w:rsidR="008B4806" w:rsidRPr="00BA6979" w:rsidRDefault="008B4806" w:rsidP="00203ABF">
      <w:pPr>
        <w:spacing w:before="240"/>
      </w:pPr>
      <w:r w:rsidRPr="00BA6979">
        <w:t xml:space="preserve">Questions may be sent by e-mail no later than 21 days before the deadline for the </w:t>
      </w:r>
      <w:r w:rsidR="00CA6D19" w:rsidRPr="00BA6979">
        <w:t xml:space="preserve">submission </w:t>
      </w:r>
      <w:r w:rsidRPr="00BA6979">
        <w:t xml:space="preserve">of </w:t>
      </w:r>
      <w:r w:rsidR="00661830" w:rsidRPr="00BA6979">
        <w:t xml:space="preserve">full </w:t>
      </w:r>
      <w:r w:rsidR="006459C5" w:rsidRPr="00BA6979">
        <w:t>application</w:t>
      </w:r>
      <w:r w:rsidRPr="00BA6979">
        <w:t xml:space="preserve">s to the addresses listed below, indicating clearly the reference of the </w:t>
      </w:r>
      <w:r w:rsidR="00661830" w:rsidRPr="00BA6979">
        <w:t>c</w:t>
      </w:r>
      <w:r w:rsidR="001D0C7B" w:rsidRPr="00BA6979">
        <w:t xml:space="preserve">all for </w:t>
      </w:r>
      <w:r w:rsidR="00661830" w:rsidRPr="00BA6979">
        <w:t>p</w:t>
      </w:r>
      <w:r w:rsidR="001D0C7B" w:rsidRPr="00BA6979">
        <w:t>roposals</w:t>
      </w:r>
      <w:r w:rsidRPr="00BA6979">
        <w:t>:</w:t>
      </w:r>
    </w:p>
    <w:p w14:paraId="48180953" w14:textId="5BE52CE8" w:rsidR="008B4806" w:rsidRPr="00BA6979" w:rsidRDefault="008B4806" w:rsidP="00203ABF">
      <w:pPr>
        <w:ind w:left="709"/>
      </w:pPr>
      <w:r w:rsidRPr="00BA6979">
        <w:t>E-mail address:</w:t>
      </w:r>
      <w:r w:rsidR="002F3F27" w:rsidRPr="00BA6979">
        <w:t xml:space="preserve"> </w:t>
      </w:r>
      <w:hyperlink r:id="rId28" w:history="1">
        <w:r w:rsidR="00A055F9" w:rsidRPr="00135CE0">
          <w:rPr>
            <w:rStyle w:val="Hyperlink"/>
            <w:b/>
            <w:noProof/>
            <w:szCs w:val="22"/>
          </w:rPr>
          <w:t>delegation-moldova-procurement@eeas.europa.eu</w:t>
        </w:r>
      </w:hyperlink>
    </w:p>
    <w:p w14:paraId="464EE5D7" w14:textId="77777777" w:rsidR="007C4720" w:rsidRPr="00BA6979" w:rsidRDefault="007C4720" w:rsidP="00203ABF">
      <w:r w:rsidRPr="00BA6979">
        <w:t xml:space="preserve">The </w:t>
      </w:r>
      <w:r w:rsidR="00221350" w:rsidRPr="00BA6979">
        <w:t>c</w:t>
      </w:r>
      <w:r w:rsidRPr="00BA6979">
        <w:t xml:space="preserve">ontracting </w:t>
      </w:r>
      <w:r w:rsidR="00221350" w:rsidRPr="00BA6979">
        <w:t>a</w:t>
      </w:r>
      <w:r w:rsidRPr="00BA6979">
        <w:t>uthority has no obligation to provide clarifications to questions received after this date.</w:t>
      </w:r>
    </w:p>
    <w:p w14:paraId="5BD440FF" w14:textId="77777777" w:rsidR="008B4806" w:rsidRPr="00BA6979" w:rsidRDefault="008B4806" w:rsidP="00203ABF">
      <w:r w:rsidRPr="00BA6979">
        <w:t xml:space="preserve">Replies will be given no later than 11 days before the deadline for the </w:t>
      </w:r>
      <w:r w:rsidR="00CA6D19" w:rsidRPr="00BA6979">
        <w:t xml:space="preserve">submission </w:t>
      </w:r>
      <w:r w:rsidRPr="00BA6979">
        <w:t xml:space="preserve">of </w:t>
      </w:r>
      <w:r w:rsidR="00661830" w:rsidRPr="00BA6979">
        <w:t xml:space="preserve">full </w:t>
      </w:r>
      <w:r w:rsidR="006459C5" w:rsidRPr="00BA6979">
        <w:t>application</w:t>
      </w:r>
      <w:r w:rsidRPr="00BA6979">
        <w:t xml:space="preserve">s. </w:t>
      </w:r>
    </w:p>
    <w:p w14:paraId="78CE52F2" w14:textId="77777777" w:rsidR="00376E92" w:rsidRPr="00BA6979" w:rsidRDefault="0040484C" w:rsidP="00203ABF">
      <w:r w:rsidRPr="00BA6979">
        <w:t>To ensure</w:t>
      </w:r>
      <w:r w:rsidR="008B4806" w:rsidRPr="00BA6979">
        <w:t xml:space="preserve"> equal treatment of applicants, the </w:t>
      </w:r>
      <w:r w:rsidR="00221350" w:rsidRPr="00BA6979">
        <w:t>c</w:t>
      </w:r>
      <w:r w:rsidR="008B4806" w:rsidRPr="00BA6979">
        <w:t xml:space="preserve">ontracting </w:t>
      </w:r>
      <w:r w:rsidR="00221350" w:rsidRPr="00BA6979">
        <w:t>a</w:t>
      </w:r>
      <w:r w:rsidR="008B4806" w:rsidRPr="00BA6979">
        <w:t xml:space="preserve">uthority cannot give a prior opinion on the eligibility of </w:t>
      </w:r>
      <w:r w:rsidR="00B114D9" w:rsidRPr="00BA6979">
        <w:t>lead a</w:t>
      </w:r>
      <w:r w:rsidR="008B4806" w:rsidRPr="00BA6979">
        <w:t>pplicant</w:t>
      </w:r>
      <w:r w:rsidR="000D40CC" w:rsidRPr="00BA6979">
        <w:t>s</w:t>
      </w:r>
      <w:r w:rsidR="00661830" w:rsidRPr="00BA6979">
        <w:t>, co-applicants</w:t>
      </w:r>
      <w:r w:rsidR="008B4806" w:rsidRPr="00BA6979">
        <w:t xml:space="preserve">, </w:t>
      </w:r>
      <w:r w:rsidR="000D40CC" w:rsidRPr="00BA6979">
        <w:t xml:space="preserve">affiliated </w:t>
      </w:r>
      <w:proofErr w:type="gramStart"/>
      <w:r w:rsidR="000D40CC" w:rsidRPr="00BA6979">
        <w:t>entity(</w:t>
      </w:r>
      <w:proofErr w:type="spellStart"/>
      <w:proofErr w:type="gramEnd"/>
      <w:r w:rsidR="000D40CC" w:rsidRPr="00BA6979">
        <w:t>ies</w:t>
      </w:r>
      <w:proofErr w:type="spellEnd"/>
      <w:r w:rsidR="000D40CC" w:rsidRPr="00BA6979">
        <w:t xml:space="preserve">), </w:t>
      </w:r>
      <w:r w:rsidR="008B4806" w:rsidRPr="00BA6979">
        <w:t>or an action.</w:t>
      </w:r>
    </w:p>
    <w:p w14:paraId="1E5105BA" w14:textId="46DBD80C" w:rsidR="007A3169" w:rsidRPr="00BA6979" w:rsidRDefault="00376E92" w:rsidP="00203ABF">
      <w:pPr>
        <w:rPr>
          <w:szCs w:val="22"/>
        </w:rPr>
      </w:pPr>
      <w:r w:rsidRPr="00BA6979">
        <w:t>No individual replies will be given to questions. All questions and answers as well as other important notices to applicants during the course of the evaluation procedure</w:t>
      </w:r>
      <w:r w:rsidR="008B4806" w:rsidRPr="00BA6979">
        <w:t>, will be published on the</w:t>
      </w:r>
      <w:r w:rsidR="001249D9" w:rsidRPr="00BA6979">
        <w:t xml:space="preserve"> </w:t>
      </w:r>
      <w:r w:rsidR="008B4806" w:rsidRPr="00BA6979">
        <w:t>website</w:t>
      </w:r>
      <w:r w:rsidR="001249D9" w:rsidRPr="00BA6979">
        <w:t xml:space="preserve"> of DG International</w:t>
      </w:r>
      <w:r w:rsidR="0027264B">
        <w:t xml:space="preserve"> Partnerships</w:t>
      </w:r>
      <w:r w:rsidR="001249D9" w:rsidRPr="00BA6979">
        <w:t>:</w:t>
      </w:r>
      <w:r w:rsidR="009C3DFC" w:rsidRPr="00BA6979">
        <w:t xml:space="preserve"> </w:t>
      </w:r>
      <w:hyperlink r:id="rId29" w:history="1">
        <w:r w:rsidR="0041369D" w:rsidRPr="009C76F9">
          <w:rPr>
            <w:rStyle w:val="Hyperlink"/>
            <w:szCs w:val="22"/>
          </w:rPr>
          <w:t>https://ec.europa.eu/international-partnerships/home_fr</w:t>
        </w:r>
      </w:hyperlink>
      <w:r w:rsidR="0041369D">
        <w:rPr>
          <w:szCs w:val="22"/>
        </w:rPr>
        <w:t xml:space="preserve"> </w:t>
      </w:r>
      <w:r w:rsidR="002D7F4A" w:rsidRPr="00BA6979">
        <w:t>as the need arises</w:t>
      </w:r>
      <w:r w:rsidR="009C3DFC" w:rsidRPr="00BA6979">
        <w:t>.</w:t>
      </w:r>
      <w:r w:rsidR="002128D0" w:rsidRPr="00BA6979">
        <w:t xml:space="preserve"> It is therefore </w:t>
      </w:r>
      <w:r w:rsidR="0040484C" w:rsidRPr="00BA6979">
        <w:t>advisable</w:t>
      </w:r>
      <w:r w:rsidR="002128D0" w:rsidRPr="00BA6979">
        <w:t xml:space="preserve"> to consult the abovementioned website</w:t>
      </w:r>
      <w:r w:rsidR="0040484C" w:rsidRPr="00BA6979">
        <w:t xml:space="preserve"> regularly</w:t>
      </w:r>
      <w:r w:rsidR="002128D0" w:rsidRPr="00BA6979">
        <w:t xml:space="preserve"> in order to be informed of the q</w:t>
      </w:r>
      <w:r w:rsidR="00A6547C" w:rsidRPr="00BA6979">
        <w:t>uestions and answers published.</w:t>
      </w:r>
    </w:p>
    <w:p w14:paraId="25557522" w14:textId="77777777" w:rsidR="00045368" w:rsidRPr="00A6547C" w:rsidRDefault="00045368" w:rsidP="00203ABF">
      <w:r w:rsidRPr="00FE05D4">
        <w:t xml:space="preserve">All questions related to registration in </w:t>
      </w:r>
      <w:proofErr w:type="spellStart"/>
      <w:r w:rsidRPr="00FE05D4">
        <w:t>PADOR</w:t>
      </w:r>
      <w:proofErr w:type="spellEnd"/>
      <w:r w:rsidRPr="00FE05D4">
        <w:t xml:space="preserve"> or the online submission via PROSPECT should be addressed to the IT helpdesk at</w:t>
      </w:r>
      <w:r w:rsidRPr="00FE05D4">
        <w:rPr>
          <w:lang w:eastAsia="en-GB"/>
        </w:rPr>
        <w:t xml:space="preserve"> </w:t>
      </w:r>
      <w:hyperlink r:id="rId30" w:history="1">
        <w:r w:rsidR="0041369D" w:rsidRPr="0041369D">
          <w:rPr>
            <w:rStyle w:val="Hyperlink"/>
          </w:rPr>
          <w:t>INTPA-SUPPORT-SERVICES@ec.europa.eu</w:t>
        </w:r>
      </w:hyperlink>
      <w:r w:rsidR="0041369D">
        <w:rPr>
          <w:color w:val="1F497D"/>
        </w:rPr>
        <w:t xml:space="preserve"> </w:t>
      </w:r>
      <w:r>
        <w:rPr>
          <w:b/>
        </w:rPr>
        <w:t>via the online support form in PROSPECT.</w:t>
      </w:r>
      <w:r>
        <w:t xml:space="preserve"> Please note that the working languages of the IT support are English French and Spanish. Therefore users are invited to send their questions in English, French or Spanish should they wish to benefit from an optimum response time.</w:t>
      </w:r>
    </w:p>
    <w:p w14:paraId="5A7B548B" w14:textId="77777777" w:rsidR="0007408E" w:rsidRPr="00807DAF" w:rsidRDefault="0007408E" w:rsidP="000E75FE">
      <w:pPr>
        <w:pStyle w:val="Guidelines2"/>
        <w:numPr>
          <w:ilvl w:val="1"/>
          <w:numId w:val="9"/>
        </w:numPr>
        <w:rPr>
          <w:i/>
        </w:rPr>
      </w:pPr>
      <w:bookmarkStart w:id="34" w:name="_Toc40507653"/>
      <w:bookmarkStart w:id="35" w:name="_Toc74830964"/>
      <w:r w:rsidRPr="00807DAF">
        <w:t>Evaluation and selection of applications</w:t>
      </w:r>
      <w:bookmarkEnd w:id="34"/>
      <w:bookmarkEnd w:id="35"/>
    </w:p>
    <w:p w14:paraId="4867455E" w14:textId="77777777" w:rsidR="0007408E" w:rsidRPr="00807DAF" w:rsidRDefault="0007408E" w:rsidP="00203ABF">
      <w:r w:rsidRPr="00807DAF">
        <w:t xml:space="preserve">Applications will be examined and evaluated by the </w:t>
      </w:r>
      <w:r w:rsidR="00221350">
        <w:t>c</w:t>
      </w:r>
      <w:r w:rsidRPr="00807DAF">
        <w:t xml:space="preserve">ontracting </w:t>
      </w:r>
      <w:r w:rsidR="00221350">
        <w:t>a</w:t>
      </w:r>
      <w:r w:rsidRPr="00807DAF">
        <w:t xml:space="preserve">uthority with the possible assistance of external assessors. </w:t>
      </w:r>
      <w:r w:rsidR="007C4578">
        <w:t xml:space="preserve">All applications </w:t>
      </w:r>
      <w:r w:rsidRPr="00807DAF">
        <w:t xml:space="preserve">will be assessed according to the following </w:t>
      </w:r>
      <w:r w:rsidR="00C67E04" w:rsidRPr="00807DAF">
        <w:t>steps</w:t>
      </w:r>
      <w:r w:rsidR="00671019" w:rsidRPr="00807DAF">
        <w:t xml:space="preserve"> and criteria</w:t>
      </w:r>
      <w:r w:rsidR="00E17C2A" w:rsidRPr="00807DAF">
        <w:t>.</w:t>
      </w:r>
    </w:p>
    <w:p w14:paraId="3CDCFE11" w14:textId="77777777" w:rsidR="00050E48" w:rsidRPr="00807DAF" w:rsidRDefault="00050E48" w:rsidP="00203ABF">
      <w:r w:rsidRPr="00807DAF">
        <w:t xml:space="preserve">If the examination of the application reveals that the proposed action does not meet the </w:t>
      </w:r>
      <w:r w:rsidRPr="00807DAF">
        <w:rPr>
          <w:u w:val="single"/>
        </w:rPr>
        <w:t>eligibility criteria</w:t>
      </w:r>
      <w:r w:rsidRPr="00807DAF">
        <w:t xml:space="preserve"> stated in </w:t>
      </w:r>
      <w:r w:rsidR="00221350">
        <w:t>S</w:t>
      </w:r>
      <w:r w:rsidR="007C4578">
        <w:t>ection</w:t>
      </w:r>
      <w:r w:rsidR="007C4578" w:rsidRPr="00807DAF">
        <w:t xml:space="preserve"> </w:t>
      </w:r>
      <w:r w:rsidRPr="00807DAF">
        <w:t xml:space="preserve">2.1, the application </w:t>
      </w:r>
      <w:r w:rsidR="001151FE" w:rsidRPr="00807DAF">
        <w:t xml:space="preserve">will </w:t>
      </w:r>
      <w:r w:rsidRPr="00807DAF">
        <w:t>be rejected on this sole basis.</w:t>
      </w:r>
      <w:r w:rsidR="00B71C4B">
        <w:t xml:space="preserve"> </w:t>
      </w:r>
    </w:p>
    <w:p w14:paraId="050BA0A1" w14:textId="75E09722" w:rsidR="0007408E" w:rsidRPr="00EF454C" w:rsidRDefault="00267E4F" w:rsidP="000E75FE">
      <w:pPr>
        <w:numPr>
          <w:ilvl w:val="0"/>
          <w:numId w:val="20"/>
        </w:numPr>
        <w:tabs>
          <w:tab w:val="left" w:pos="426"/>
          <w:tab w:val="left" w:pos="1418"/>
        </w:tabs>
        <w:ind w:left="1418" w:hanging="1418"/>
        <w:jc w:val="left"/>
        <w:rPr>
          <w:b/>
          <w:sz w:val="24"/>
          <w:szCs w:val="24"/>
        </w:rPr>
      </w:pPr>
      <w:r w:rsidRPr="00807DAF">
        <w:rPr>
          <w:b/>
          <w:sz w:val="24"/>
          <w:szCs w:val="24"/>
        </w:rPr>
        <w:br w:type="page"/>
      </w:r>
      <w:r w:rsidR="0059080E" w:rsidRPr="00807DAF">
        <w:rPr>
          <w:b/>
          <w:sz w:val="24"/>
          <w:szCs w:val="24"/>
        </w:rPr>
        <w:t>S</w:t>
      </w:r>
      <w:r w:rsidR="0059080E" w:rsidRPr="00EF454C">
        <w:rPr>
          <w:b/>
          <w:sz w:val="24"/>
          <w:szCs w:val="24"/>
        </w:rPr>
        <w:t>TEP</w:t>
      </w:r>
      <w:r w:rsidR="009A51CA" w:rsidRPr="00EF454C">
        <w:rPr>
          <w:b/>
          <w:sz w:val="24"/>
          <w:szCs w:val="24"/>
        </w:rPr>
        <w:t xml:space="preserve"> 1</w:t>
      </w:r>
      <w:r w:rsidR="0059080E" w:rsidRPr="00EF454C">
        <w:rPr>
          <w:b/>
          <w:sz w:val="24"/>
          <w:szCs w:val="24"/>
        </w:rPr>
        <w:t>:</w:t>
      </w:r>
      <w:r w:rsidR="005D7AF3" w:rsidRPr="00EF454C">
        <w:rPr>
          <w:b/>
          <w:sz w:val="24"/>
          <w:szCs w:val="24"/>
        </w:rPr>
        <w:tab/>
      </w:r>
      <w:r w:rsidR="001F4014" w:rsidRPr="00EF454C">
        <w:rPr>
          <w:b/>
          <w:sz w:val="24"/>
          <w:szCs w:val="24"/>
        </w:rPr>
        <w:t>ADMINISTRATIVE CHECK</w:t>
      </w:r>
      <w:r w:rsidR="008A5CD8" w:rsidRPr="00EF454C">
        <w:rPr>
          <w:b/>
          <w:sz w:val="24"/>
          <w:szCs w:val="24"/>
        </w:rPr>
        <w:t>S</w:t>
      </w:r>
      <w:r w:rsidR="00B66332" w:rsidRPr="00EF454C">
        <w:rPr>
          <w:b/>
          <w:sz w:val="24"/>
          <w:szCs w:val="24"/>
        </w:rPr>
        <w:t xml:space="preserve"> AND </w:t>
      </w:r>
      <w:r w:rsidR="008A5CD8" w:rsidRPr="00EF454C">
        <w:rPr>
          <w:b/>
          <w:sz w:val="24"/>
          <w:szCs w:val="24"/>
        </w:rPr>
        <w:t>CONCEPT NOTE EVALUATION</w:t>
      </w:r>
    </w:p>
    <w:p w14:paraId="2A1DFAC9" w14:textId="71581812" w:rsidR="00402677" w:rsidRPr="00EF454C" w:rsidRDefault="007C4578" w:rsidP="006F280A">
      <w:r w:rsidRPr="00EF454C">
        <w:t>During the</w:t>
      </w:r>
      <w:r w:rsidR="00C34EA3" w:rsidRPr="00EF454C">
        <w:t xml:space="preserve"> </w:t>
      </w:r>
      <w:r w:rsidRPr="00EF454C">
        <w:t>administrative check t</w:t>
      </w:r>
      <w:r w:rsidR="0059080E" w:rsidRPr="00EF454C">
        <w:t>he following will be assessed:</w:t>
      </w:r>
    </w:p>
    <w:p w14:paraId="5B2AB0A2" w14:textId="7D838C9C" w:rsidR="00A762B5" w:rsidRPr="00EF454C" w:rsidRDefault="00A762B5" w:rsidP="000E75FE">
      <w:pPr>
        <w:numPr>
          <w:ilvl w:val="2"/>
          <w:numId w:val="21"/>
        </w:numPr>
        <w:spacing w:before="120" w:after="120"/>
        <w:ind w:left="709"/>
      </w:pPr>
      <w:r w:rsidRPr="00EF454C">
        <w:t>If the deadline has been met. Otherwise, the application will be automatically rejected.</w:t>
      </w:r>
    </w:p>
    <w:p w14:paraId="0FC718DC" w14:textId="77777777" w:rsidR="0059080E" w:rsidRPr="00807DAF" w:rsidRDefault="00825A19" w:rsidP="000E75FE">
      <w:pPr>
        <w:numPr>
          <w:ilvl w:val="0"/>
          <w:numId w:val="21"/>
        </w:numPr>
      </w:pPr>
      <w:r w:rsidRPr="00EF454C">
        <w:t xml:space="preserve">If </w:t>
      </w:r>
      <w:proofErr w:type="gramStart"/>
      <w:r w:rsidRPr="00EF454C">
        <w:t>t</w:t>
      </w:r>
      <w:r w:rsidR="007A3169" w:rsidRPr="00EF454C">
        <w:t xml:space="preserve">he </w:t>
      </w:r>
      <w:r w:rsidR="008E27C2" w:rsidRPr="00EF454C">
        <w:t xml:space="preserve"> </w:t>
      </w:r>
      <w:r w:rsidR="005709E8" w:rsidRPr="00EF454C">
        <w:t>c</w:t>
      </w:r>
      <w:r w:rsidR="0084479D" w:rsidRPr="00EF454C">
        <w:t>oncept</w:t>
      </w:r>
      <w:proofErr w:type="gramEnd"/>
      <w:r w:rsidR="0084479D" w:rsidRPr="00EF454C">
        <w:t xml:space="preserve"> </w:t>
      </w:r>
      <w:r w:rsidR="005709E8" w:rsidRPr="00EF454C">
        <w:t>n</w:t>
      </w:r>
      <w:r w:rsidR="0084479D" w:rsidRPr="00EF454C">
        <w:t>ote</w:t>
      </w:r>
      <w:r w:rsidR="007B075A" w:rsidRPr="00EF454C">
        <w:t xml:space="preserve"> </w:t>
      </w:r>
      <w:r w:rsidR="006B6FC1" w:rsidRPr="00EF454C">
        <w:t xml:space="preserve"> satisfies all the criteria </w:t>
      </w:r>
      <w:r w:rsidR="00BD4B21" w:rsidRPr="00EF454C">
        <w:t xml:space="preserve">specified in </w:t>
      </w:r>
      <w:r w:rsidR="00C40B9B" w:rsidRPr="00EF454C">
        <w:t xml:space="preserve">the checklist in </w:t>
      </w:r>
      <w:r w:rsidR="00AC4154" w:rsidRPr="00EF454C">
        <w:t>Annex A</w:t>
      </w:r>
      <w:r w:rsidR="00F43773" w:rsidRPr="00EF454C">
        <w:t>.1, Instructions</w:t>
      </w:r>
      <w:r w:rsidR="007B075A" w:rsidRPr="00EF454C">
        <w:t xml:space="preserve"> </w:t>
      </w:r>
      <w:r w:rsidR="007A3169" w:rsidRPr="00EF454C">
        <w:t xml:space="preserve">of the </w:t>
      </w:r>
      <w:r w:rsidR="000A486E" w:rsidRPr="00EF454C">
        <w:t>g</w:t>
      </w:r>
      <w:r w:rsidR="007A3169" w:rsidRPr="00EF454C">
        <w:t>rant application form</w:t>
      </w:r>
      <w:r w:rsidR="005913EB" w:rsidRPr="00EF454C">
        <w:t>.</w:t>
      </w:r>
      <w:r w:rsidR="00962588" w:rsidRPr="00EF454C">
        <w:t xml:space="preserve"> </w:t>
      </w:r>
      <w:r w:rsidR="00803E07" w:rsidRPr="00EF454C">
        <w:t>This includes also an assessment of the eligibility of the action</w:t>
      </w:r>
      <w:r w:rsidR="00C40B9B" w:rsidRPr="00EF454C">
        <w:t>.</w:t>
      </w:r>
      <w:r w:rsidR="00803E07" w:rsidRPr="00EF454C">
        <w:t xml:space="preserve"> </w:t>
      </w:r>
      <w:r w:rsidR="0059080E" w:rsidRPr="00EF454C">
        <w:t xml:space="preserve">If any of the </w:t>
      </w:r>
      <w:r w:rsidR="00B85A17" w:rsidRPr="00EF454C">
        <w:t>requested</w:t>
      </w:r>
      <w:r w:rsidR="00B85A17" w:rsidRPr="00807DAF">
        <w:t xml:space="preserve">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r w:rsidR="0087633A" w:rsidRPr="00807DAF">
        <w:t>may</w:t>
      </w:r>
      <w:r w:rsidR="007A3169" w:rsidRPr="00807DAF">
        <w:t xml:space="preserve"> </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641179E0" w14:textId="77777777" w:rsidR="00C727EC" w:rsidRPr="00807DAF" w:rsidRDefault="00400B42" w:rsidP="006F280A">
      <w:r w:rsidRPr="00807DAF">
        <w:t xml:space="preserve">The </w:t>
      </w:r>
      <w:r w:rsidR="00717ADB">
        <w:t>c</w:t>
      </w:r>
      <w:r w:rsidRPr="00807DAF">
        <w:t xml:space="preserve">oncept </w:t>
      </w:r>
      <w:r w:rsidR="00717ADB">
        <w:t>n</w:t>
      </w:r>
      <w:r w:rsidRPr="00807DAF">
        <w:t xml:space="preserve">otes that pass </w:t>
      </w:r>
      <w:r w:rsidR="00803E07">
        <w:t xml:space="preserve">this </w:t>
      </w:r>
      <w:r w:rsidRPr="00807DAF">
        <w:t xml:space="preserve">check will </w:t>
      </w:r>
      <w:r w:rsidR="00B83541" w:rsidRPr="00807DAF">
        <w:t>be evaluated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action</w:t>
      </w:r>
      <w:r w:rsidR="0002503B" w:rsidRPr="00807DAF">
        <w:t>.</w:t>
      </w:r>
    </w:p>
    <w:p w14:paraId="0D7D6AEF" w14:textId="77777777" w:rsidR="00400B42" w:rsidRPr="00807DAF" w:rsidRDefault="00400B42" w:rsidP="006F280A">
      <w:r w:rsidRPr="00807DAF">
        <w:t xml:space="preserve">The </w:t>
      </w:r>
      <w:r w:rsidR="00717ADB">
        <w:t>c</w:t>
      </w:r>
      <w:r w:rsidRPr="00807DAF">
        <w:t xml:space="preserve">oncept </w:t>
      </w:r>
      <w:r w:rsidR="00717ADB">
        <w:t>n</w:t>
      </w:r>
      <w:r w:rsidRPr="00807DAF">
        <w:t>ote</w:t>
      </w:r>
      <w:r w:rsidR="00E80733">
        <w:t>s</w:t>
      </w:r>
      <w:r w:rsidRPr="00807DAF">
        <w:t xml:space="preserve"> will </w:t>
      </w:r>
      <w:r w:rsidR="00B83541" w:rsidRPr="00807DAF">
        <w:t>receive</w:t>
      </w:r>
      <w:r w:rsidRPr="00807DAF">
        <w:t xml:space="preserve"> an overall score out of 50 </w:t>
      </w:r>
      <w:r w:rsidR="00B83541" w:rsidRPr="00807DAF">
        <w:t>using</w:t>
      </w:r>
      <w:r w:rsidRPr="00807DAF">
        <w:t xml:space="preserve"> the breakdown in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check on</w:t>
      </w:r>
      <w:r w:rsidRPr="00807DAF">
        <w:t xml:space="preserve"> compliance with the </w:t>
      </w:r>
      <w:r w:rsidR="007B5847" w:rsidRPr="00807DAF">
        <w:t xml:space="preserve">instructions on </w:t>
      </w:r>
      <w:r w:rsidR="00990BD8">
        <w:t xml:space="preserve">how to complete </w:t>
      </w:r>
      <w:r w:rsidR="007B5847" w:rsidRPr="00807DAF">
        <w:t xml:space="preserve">the </w:t>
      </w:r>
      <w:r w:rsidR="00717ADB">
        <w:t>c</w:t>
      </w:r>
      <w:r w:rsidRPr="00807DAF">
        <w:t xml:space="preserve">oncept </w:t>
      </w:r>
      <w:r w:rsidR="00717ADB">
        <w:t>n</w:t>
      </w:r>
      <w:r w:rsidRPr="00807DAF">
        <w:t>ote</w:t>
      </w:r>
      <w:r w:rsidR="007B5847" w:rsidRPr="00807DAF">
        <w:t xml:space="preserve">, which can be found </w:t>
      </w:r>
      <w:r w:rsidR="008B1EA7" w:rsidRPr="00807DAF">
        <w:t xml:space="preserve">in </w:t>
      </w:r>
      <w:r w:rsidR="00E92E8A">
        <w:t>Annex A.1</w:t>
      </w:r>
      <w:r w:rsidR="007B5847" w:rsidRPr="00807DAF">
        <w:t>.</w:t>
      </w:r>
    </w:p>
    <w:p w14:paraId="1F7BFD29" w14:textId="77777777" w:rsidR="00ED5802" w:rsidRPr="00807DAF" w:rsidRDefault="00ED5802" w:rsidP="006F280A">
      <w:bookmarkStart w:id="36" w:name="_Toc159211906"/>
      <w:bookmarkStart w:id="37" w:name="_Toc159212662"/>
      <w:bookmarkStart w:id="38" w:name="_Toc159212881"/>
      <w:bookmarkStart w:id="39" w:name="_Toc159213197"/>
      <w:r w:rsidRPr="00807DAF">
        <w:t xml:space="preserve">The </w:t>
      </w:r>
      <w:r w:rsidRPr="00807DAF">
        <w:rPr>
          <w:u w:val="single"/>
        </w:rPr>
        <w:t>evaluation criteria</w:t>
      </w:r>
      <w:r w:rsidRPr="00807DAF">
        <w:t xml:space="preserve"> are divided into headings and subheadings. Each subheading will be given a score between 1 and 5 </w:t>
      </w:r>
      <w:r w:rsidR="006F44FB" w:rsidRPr="00807DAF">
        <w:t>as follows</w:t>
      </w:r>
      <w:r w:rsidRPr="00807DAF">
        <w:t>: 1 = very poor; 2 = poor; 3 = adequate; 4 = good; 5 = very good.</w:t>
      </w:r>
    </w:p>
    <w:bookmarkEnd w:id="36"/>
    <w:bookmarkEnd w:id="37"/>
    <w:bookmarkEnd w:id="38"/>
    <w:bookmarkEnd w:id="39"/>
    <w:p w14:paraId="72ABD96B" w14:textId="77777777" w:rsidR="00A6547C" w:rsidRDefault="00A6547C" w:rsidP="00A6547C">
      <w:pPr>
        <w:rPr>
          <w:b/>
        </w:rPr>
      </w:pPr>
      <w:r>
        <w:rPr>
          <w:b/>
        </w:rPr>
        <w:t>Evaluation Grid</w:t>
      </w:r>
    </w:p>
    <w:tbl>
      <w:tblPr>
        <w:tblW w:w="9990" w:type="dxa"/>
        <w:tblLayout w:type="fixed"/>
        <w:tblLook w:val="01E0" w:firstRow="1" w:lastRow="1" w:firstColumn="1" w:lastColumn="1" w:noHBand="0" w:noVBand="0"/>
      </w:tblPr>
      <w:tblGrid>
        <w:gridCol w:w="8682"/>
        <w:gridCol w:w="1308"/>
      </w:tblGrid>
      <w:tr w:rsidR="00A6547C" w14:paraId="3A9AAB6A"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0E1AC" w14:textId="77777777" w:rsidR="00A6547C" w:rsidRDefault="00A6547C" w:rsidP="00DF6F65">
            <w:pPr>
              <w:snapToGrid w:val="0"/>
              <w:rPr>
                <w:b/>
                <w:szCs w:val="22"/>
              </w:rPr>
            </w:pPr>
            <w:r>
              <w:rPr>
                <w:b/>
                <w:szCs w:val="22"/>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E4A72" w14:textId="77777777" w:rsidR="00A6547C" w:rsidRDefault="00A6547C" w:rsidP="00DF6F65">
            <w:pPr>
              <w:snapToGrid w:val="0"/>
              <w:jc w:val="center"/>
              <w:rPr>
                <w:b/>
                <w:szCs w:val="22"/>
              </w:rPr>
            </w:pPr>
            <w:r>
              <w:rPr>
                <w:b/>
                <w:szCs w:val="22"/>
              </w:rPr>
              <w:t>Maximum Score</w:t>
            </w:r>
          </w:p>
        </w:tc>
      </w:tr>
      <w:tr w:rsidR="00A6547C" w14:paraId="71B6E378"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AEDD98" w14:textId="77777777" w:rsidR="00A6547C" w:rsidRDefault="00A6547C" w:rsidP="00DF6F65">
            <w:pPr>
              <w:snapToGrid w:val="0"/>
              <w:jc w:val="left"/>
              <w:rPr>
                <w:b/>
                <w:szCs w:val="22"/>
              </w:rPr>
            </w:pPr>
            <w:r>
              <w:rPr>
                <w:b/>
                <w:szCs w:val="22"/>
              </w:rPr>
              <w:t>1. Relevance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0177F321" w14:textId="77777777" w:rsidR="00A6547C" w:rsidRDefault="00A6547C" w:rsidP="00A6547C">
            <w:pPr>
              <w:snapToGrid w:val="0"/>
              <w:spacing w:before="120" w:after="120"/>
              <w:rPr>
                <w:b/>
                <w:szCs w:val="22"/>
              </w:rPr>
            </w:pPr>
            <w:r>
              <w:rPr>
                <w:b/>
                <w:noProof/>
                <w:szCs w:val="22"/>
              </w:rPr>
              <w:t>20</w:t>
            </w:r>
          </w:p>
        </w:tc>
      </w:tr>
      <w:tr w:rsidR="00A6547C" w14:paraId="6786E5AD"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1041726D" w14:textId="77777777" w:rsidR="00A6547C" w:rsidRDefault="00A6547C" w:rsidP="00A6547C">
            <w:pPr>
              <w:snapToGrid w:val="0"/>
              <w:spacing w:before="120" w:after="120"/>
              <w:ind w:left="340" w:hanging="340"/>
              <w:rPr>
                <w:szCs w:val="22"/>
              </w:rPr>
            </w:pPr>
            <w:r>
              <w:rPr>
                <w:noProof/>
                <w:szCs w:val="22"/>
              </w:rPr>
              <w:t>1.1.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308" w:type="dxa"/>
            <w:tcBorders>
              <w:top w:val="single" w:sz="4" w:space="0" w:color="auto"/>
              <w:left w:val="single" w:sz="4" w:space="0" w:color="auto"/>
              <w:bottom w:val="single" w:sz="4" w:space="0" w:color="auto"/>
              <w:right w:val="single" w:sz="4" w:space="0" w:color="auto"/>
            </w:tcBorders>
            <w:hideMark/>
          </w:tcPr>
          <w:p w14:paraId="39CF79F8" w14:textId="77777777" w:rsidR="00A6547C" w:rsidRDefault="00A6547C" w:rsidP="00A6547C">
            <w:pPr>
              <w:snapToGrid w:val="0"/>
              <w:spacing w:before="120" w:after="120"/>
              <w:rPr>
                <w:szCs w:val="22"/>
                <w:u w:val="single"/>
              </w:rPr>
            </w:pPr>
            <w:r>
              <w:rPr>
                <w:noProof/>
                <w:szCs w:val="22"/>
              </w:rPr>
              <w:t>5</w:t>
            </w:r>
          </w:p>
        </w:tc>
      </w:tr>
      <w:tr w:rsidR="00A6547C" w14:paraId="5FAB4C28"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3D25FBBC" w14:textId="77777777" w:rsidR="00A6547C" w:rsidRDefault="00A6547C" w:rsidP="00A6547C">
            <w:pPr>
              <w:snapToGrid w:val="0"/>
              <w:spacing w:before="120" w:after="120"/>
              <w:ind w:left="340" w:hanging="340"/>
              <w:rPr>
                <w:szCs w:val="22"/>
              </w:rPr>
            </w:pPr>
            <w:r>
              <w:rPr>
                <w:noProof/>
                <w:szCs w:val="22"/>
              </w:rPr>
              <w:t>1.2. How relevant is the proposal to the particular needs and constraints of the target country(ies), region(s) and/or relevant sectors (including synergy with other development initiatives and avoidance of duplication)?</w:t>
            </w:r>
          </w:p>
        </w:tc>
        <w:tc>
          <w:tcPr>
            <w:tcW w:w="1308" w:type="dxa"/>
            <w:tcBorders>
              <w:top w:val="single" w:sz="4" w:space="0" w:color="auto"/>
              <w:left w:val="single" w:sz="4" w:space="0" w:color="auto"/>
              <w:bottom w:val="single" w:sz="4" w:space="0" w:color="auto"/>
              <w:right w:val="single" w:sz="4" w:space="0" w:color="auto"/>
            </w:tcBorders>
            <w:hideMark/>
          </w:tcPr>
          <w:p w14:paraId="7537259F" w14:textId="77777777" w:rsidR="00A6547C" w:rsidRDefault="00A6547C" w:rsidP="00A6547C">
            <w:pPr>
              <w:snapToGrid w:val="0"/>
              <w:spacing w:before="120" w:after="120"/>
              <w:rPr>
                <w:szCs w:val="22"/>
                <w:u w:val="single"/>
              </w:rPr>
            </w:pPr>
            <w:r>
              <w:rPr>
                <w:noProof/>
                <w:szCs w:val="22"/>
              </w:rPr>
              <w:t>5</w:t>
            </w:r>
          </w:p>
        </w:tc>
      </w:tr>
      <w:tr w:rsidR="00A6547C" w14:paraId="18E009C9"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49957D10" w14:textId="77777777" w:rsidR="00A6547C" w:rsidRDefault="00A6547C" w:rsidP="00A6547C">
            <w:pPr>
              <w:snapToGrid w:val="0"/>
              <w:spacing w:before="120" w:after="120"/>
              <w:ind w:left="340" w:hanging="340"/>
              <w:rPr>
                <w:szCs w:val="22"/>
              </w:rPr>
            </w:pPr>
            <w:r>
              <w:rPr>
                <w:noProof/>
                <w:szCs w:val="22"/>
              </w:rPr>
              <w:t>1.3. How clearly defined and strategically chosen are those involved (final beneficiaries, target groups)? Have their needs (as rights holders and/or duty bearers) and constraints been clearly defined and does the proposal address them appropriately?</w:t>
            </w:r>
          </w:p>
        </w:tc>
        <w:tc>
          <w:tcPr>
            <w:tcW w:w="1308" w:type="dxa"/>
            <w:tcBorders>
              <w:top w:val="single" w:sz="4" w:space="0" w:color="auto"/>
              <w:left w:val="single" w:sz="4" w:space="0" w:color="auto"/>
              <w:bottom w:val="single" w:sz="4" w:space="0" w:color="auto"/>
              <w:right w:val="single" w:sz="4" w:space="0" w:color="auto"/>
            </w:tcBorders>
            <w:hideMark/>
          </w:tcPr>
          <w:p w14:paraId="06EBA330" w14:textId="77777777" w:rsidR="00A6547C" w:rsidRDefault="00A6547C" w:rsidP="00A6547C">
            <w:pPr>
              <w:snapToGrid w:val="0"/>
              <w:spacing w:before="120" w:after="120"/>
              <w:rPr>
                <w:szCs w:val="22"/>
                <w:u w:val="single"/>
              </w:rPr>
            </w:pPr>
            <w:r>
              <w:rPr>
                <w:noProof/>
                <w:szCs w:val="22"/>
              </w:rPr>
              <w:t>5</w:t>
            </w:r>
          </w:p>
        </w:tc>
      </w:tr>
      <w:tr w:rsidR="00A6547C" w14:paraId="4416C61A"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65E410F9" w14:textId="77777777" w:rsidR="00A6547C" w:rsidRDefault="00A6547C" w:rsidP="00A6547C">
            <w:pPr>
              <w:snapToGrid w:val="0"/>
              <w:spacing w:before="120" w:after="120"/>
              <w:ind w:left="340" w:hanging="340"/>
              <w:rPr>
                <w:szCs w:val="22"/>
              </w:rPr>
            </w:pPr>
            <w:r>
              <w:rPr>
                <w:noProof/>
                <w:szCs w:val="22"/>
              </w:rPr>
              <w:t>1.4. Does the proposal contain particular added-value elements (e.g. innovation, best practices) ? [and the other additional elements indicated under 1.2. of the guidelines for applicants]</w:t>
            </w:r>
          </w:p>
        </w:tc>
        <w:tc>
          <w:tcPr>
            <w:tcW w:w="1308" w:type="dxa"/>
            <w:tcBorders>
              <w:top w:val="single" w:sz="4" w:space="0" w:color="auto"/>
              <w:left w:val="single" w:sz="4" w:space="0" w:color="auto"/>
              <w:bottom w:val="single" w:sz="4" w:space="0" w:color="auto"/>
              <w:right w:val="single" w:sz="4" w:space="0" w:color="auto"/>
            </w:tcBorders>
            <w:hideMark/>
          </w:tcPr>
          <w:p w14:paraId="796C200F" w14:textId="77777777" w:rsidR="00A6547C" w:rsidRDefault="00A6547C" w:rsidP="00A6547C">
            <w:pPr>
              <w:snapToGrid w:val="0"/>
              <w:spacing w:before="120" w:after="120"/>
              <w:rPr>
                <w:szCs w:val="22"/>
                <w:u w:val="single"/>
              </w:rPr>
            </w:pPr>
            <w:r>
              <w:rPr>
                <w:noProof/>
                <w:szCs w:val="22"/>
              </w:rPr>
              <w:t>5</w:t>
            </w:r>
          </w:p>
        </w:tc>
      </w:tr>
      <w:tr w:rsidR="00A6547C" w14:paraId="2BE51080" w14:textId="77777777" w:rsidTr="00DF6F65">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BAA797" w14:textId="77777777" w:rsidR="00A6547C" w:rsidRDefault="00A6547C" w:rsidP="00DF6F65">
            <w:pPr>
              <w:snapToGrid w:val="0"/>
              <w:jc w:val="left"/>
              <w:rPr>
                <w:b/>
                <w:szCs w:val="22"/>
              </w:rPr>
            </w:pPr>
            <w:r>
              <w:rPr>
                <w:b/>
                <w:szCs w:val="22"/>
              </w:rPr>
              <w:t xml:space="preserve">2. </w:t>
            </w:r>
            <w:r>
              <w:rPr>
                <w:b/>
                <w:noProof/>
                <w:szCs w:val="22"/>
              </w:rPr>
              <w:t>Design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6BBC2505" w14:textId="77777777" w:rsidR="00A6547C" w:rsidRDefault="00A6547C" w:rsidP="00A6547C">
            <w:pPr>
              <w:snapToGrid w:val="0"/>
              <w:spacing w:before="120" w:after="120"/>
              <w:rPr>
                <w:b/>
                <w:szCs w:val="22"/>
              </w:rPr>
            </w:pPr>
            <w:r>
              <w:rPr>
                <w:b/>
                <w:bCs/>
                <w:noProof/>
                <w:szCs w:val="22"/>
              </w:rPr>
              <w:t>30</w:t>
            </w:r>
          </w:p>
        </w:tc>
      </w:tr>
      <w:tr w:rsidR="00A6547C" w14:paraId="39F88A97"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0DB6D6B2" w14:textId="77777777" w:rsidR="00A6547C" w:rsidRDefault="00A6547C" w:rsidP="00A6547C">
            <w:pPr>
              <w:snapToGrid w:val="0"/>
              <w:spacing w:before="120" w:after="120"/>
              <w:rPr>
                <w:szCs w:val="22"/>
              </w:rPr>
            </w:pPr>
            <w:r>
              <w:rPr>
                <w:noProof/>
                <w:szCs w:val="22"/>
              </w:rPr>
              <w:t>2.1. How coherent is the overall design of the action? Does the proposal indicate the expected results to be achieved by the action? Does the intervention logic explain the rationale to achieve the expected results?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3A571620" w14:textId="77777777" w:rsidR="00A6547C" w:rsidRDefault="00A6547C" w:rsidP="00A6547C">
            <w:pPr>
              <w:snapToGrid w:val="0"/>
              <w:spacing w:before="120" w:after="120"/>
              <w:rPr>
                <w:szCs w:val="22"/>
                <w:u w:val="single"/>
              </w:rPr>
            </w:pPr>
            <w:r>
              <w:rPr>
                <w:noProof/>
                <w:szCs w:val="22"/>
              </w:rPr>
              <w:t>5x2**</w:t>
            </w:r>
          </w:p>
        </w:tc>
      </w:tr>
      <w:tr w:rsidR="00A6547C" w14:paraId="3FDA619B"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0EE988D8" w14:textId="77777777" w:rsidR="00A6547C" w:rsidRDefault="00A6547C" w:rsidP="00A6547C">
            <w:pPr>
              <w:snapToGrid w:val="0"/>
              <w:spacing w:before="120" w:after="120"/>
              <w:rPr>
                <w:szCs w:val="22"/>
              </w:rPr>
            </w:pPr>
            <w:r>
              <w:rPr>
                <w:noProof/>
                <w:szCs w:val="22"/>
              </w:rPr>
              <w:t>2.2. Does the design reflect a robust analysis of the problems involved, and the capacities of the relevant stakeholders?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30336C9C" w14:textId="77777777" w:rsidR="00A6547C" w:rsidRDefault="00A6547C" w:rsidP="00A6547C">
            <w:pPr>
              <w:snapToGrid w:val="0"/>
              <w:spacing w:before="120" w:after="120"/>
              <w:rPr>
                <w:szCs w:val="22"/>
                <w:u w:val="single"/>
              </w:rPr>
            </w:pPr>
            <w:r>
              <w:rPr>
                <w:noProof/>
                <w:szCs w:val="22"/>
              </w:rPr>
              <w:t>5</w:t>
            </w:r>
          </w:p>
        </w:tc>
      </w:tr>
      <w:tr w:rsidR="00A6547C" w14:paraId="7BD57B95"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37DF5558" w14:textId="77777777" w:rsidR="00A6547C" w:rsidRDefault="00A6547C" w:rsidP="00A6547C">
            <w:pPr>
              <w:snapToGrid w:val="0"/>
              <w:spacing w:before="120" w:after="120"/>
              <w:rPr>
                <w:szCs w:val="22"/>
              </w:rPr>
            </w:pPr>
            <w:r>
              <w:rPr>
                <w:noProof/>
                <w:szCs w:val="22"/>
              </w:rPr>
              <w:t>2.3. Does the design take into account external factors (risks and assumptions)?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0DD9E93D" w14:textId="77777777" w:rsidR="00A6547C" w:rsidRDefault="00A6547C" w:rsidP="00A6547C">
            <w:pPr>
              <w:snapToGrid w:val="0"/>
              <w:spacing w:before="120" w:after="120"/>
              <w:rPr>
                <w:szCs w:val="22"/>
                <w:u w:val="single"/>
              </w:rPr>
            </w:pPr>
            <w:r>
              <w:rPr>
                <w:noProof/>
                <w:szCs w:val="22"/>
              </w:rPr>
              <w:t>5</w:t>
            </w:r>
          </w:p>
        </w:tc>
      </w:tr>
      <w:tr w:rsidR="00A6547C" w14:paraId="3AE49FF2"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47F30CB2" w14:textId="77777777" w:rsidR="00A6547C" w:rsidRDefault="00A6547C" w:rsidP="00A6547C">
            <w:pPr>
              <w:snapToGrid w:val="0"/>
              <w:spacing w:before="120" w:after="120"/>
              <w:rPr>
                <w:szCs w:val="22"/>
              </w:rPr>
            </w:pPr>
            <w:r>
              <w:rPr>
                <w:noProof/>
                <w:szCs w:val="22"/>
              </w:rPr>
              <w:t>2.4. Are the activities feasible and consistent in relation to the expected results (including timeframe)? Are results (output, outcome and impact) realistic?</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523AF562" w14:textId="77777777" w:rsidR="00A6547C" w:rsidRDefault="00A6547C" w:rsidP="00A6547C">
            <w:pPr>
              <w:snapToGrid w:val="0"/>
              <w:spacing w:before="120" w:after="120"/>
              <w:rPr>
                <w:szCs w:val="22"/>
                <w:u w:val="single"/>
              </w:rPr>
            </w:pPr>
            <w:r>
              <w:rPr>
                <w:noProof/>
                <w:szCs w:val="22"/>
              </w:rPr>
              <w:t>5</w:t>
            </w:r>
          </w:p>
        </w:tc>
      </w:tr>
      <w:tr w:rsidR="00A6547C" w14:paraId="227D2201"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6FD8DD9A" w14:textId="77777777" w:rsidR="00A6547C" w:rsidRDefault="00A6547C" w:rsidP="00A6547C">
            <w:pPr>
              <w:snapToGrid w:val="0"/>
              <w:spacing w:before="120" w:after="120"/>
              <w:rPr>
                <w:szCs w:val="22"/>
              </w:rPr>
            </w:pPr>
            <w:r>
              <w:rPr>
                <w:noProof/>
                <w:szCs w:val="22"/>
              </w:rPr>
              <w:t>2.5. 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6DBA6337" w14:textId="77777777" w:rsidR="00A6547C" w:rsidRDefault="00A6547C" w:rsidP="00A6547C">
            <w:pPr>
              <w:snapToGrid w:val="0"/>
              <w:spacing w:before="120" w:after="120"/>
              <w:rPr>
                <w:szCs w:val="22"/>
                <w:u w:val="single"/>
              </w:rPr>
            </w:pPr>
            <w:r>
              <w:rPr>
                <w:noProof/>
                <w:szCs w:val="22"/>
              </w:rPr>
              <w:t>5</w:t>
            </w:r>
          </w:p>
        </w:tc>
      </w:tr>
      <w:tr w:rsidR="00A6547C" w14:paraId="7FDF337F" w14:textId="77777777" w:rsidTr="00A6547C">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14:paraId="358E3EEE" w14:textId="77777777" w:rsidR="00A6547C" w:rsidRPr="008F32AC" w:rsidRDefault="00A6547C" w:rsidP="00DF6F65">
            <w:pPr>
              <w:jc w:val="left"/>
              <w:rPr>
                <w:szCs w:val="22"/>
              </w:rPr>
            </w:pPr>
            <w:r w:rsidRPr="00F75093">
              <w:rPr>
                <w:b/>
                <w:szCs w:val="22"/>
              </w:rPr>
              <w:t>Maximum total score</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14:paraId="2D10FDA3" w14:textId="77777777" w:rsidR="00A6547C" w:rsidRPr="008F32AC" w:rsidRDefault="00A6547C" w:rsidP="00A6547C">
            <w:pPr>
              <w:keepNext/>
              <w:spacing w:before="120" w:after="120"/>
              <w:jc w:val="center"/>
              <w:rPr>
                <w:szCs w:val="22"/>
              </w:rPr>
            </w:pPr>
            <w:r w:rsidRPr="008F32AC">
              <w:rPr>
                <w:b/>
                <w:noProof/>
                <w:szCs w:val="22"/>
              </w:rPr>
              <w:t>50</w:t>
            </w:r>
          </w:p>
        </w:tc>
      </w:tr>
    </w:tbl>
    <w:p w14:paraId="30C794CF" w14:textId="77777777" w:rsidR="005240D9" w:rsidRDefault="005B7EA6" w:rsidP="00A6547C">
      <w:pPr>
        <w:pStyle w:val="Caption"/>
        <w:rPr>
          <w:highlight w:val="yellow"/>
        </w:rPr>
      </w:pPr>
      <w:r w:rsidRPr="005B7EA6">
        <w:t>**: this score is multiplied by 2 because of its importance</w:t>
      </w:r>
    </w:p>
    <w:p w14:paraId="73A4A4D5" w14:textId="2B28E386" w:rsidR="00682B40" w:rsidRPr="00807DAF" w:rsidRDefault="00043A54" w:rsidP="006F280A">
      <w:r w:rsidRPr="00043A54">
        <w:rPr>
          <w:lang w:eastAsia="en-GB"/>
        </w:rPr>
        <w:t>Note:</w:t>
      </w:r>
      <w:r>
        <w:rPr>
          <w:lang w:eastAsia="en-GB"/>
        </w:rPr>
        <w:t xml:space="preserve"> </w:t>
      </w:r>
      <w:r w:rsidR="00682B40" w:rsidRPr="00807DAF">
        <w:rPr>
          <w:lang w:eastAsia="en-GB"/>
        </w:rPr>
        <w:t xml:space="preserve">A score of 5 (very good) will only be allocated if the proposal specifically addresses </w:t>
      </w:r>
      <w:r w:rsidR="00682B40" w:rsidRPr="00807DAF">
        <w:rPr>
          <w:bCs/>
          <w:lang w:eastAsia="en-GB"/>
        </w:rPr>
        <w:t xml:space="preserve">more than the required minimum number of priorities as indicated in </w:t>
      </w:r>
      <w:r w:rsidR="00896ECA" w:rsidRPr="00807DAF">
        <w:rPr>
          <w:bCs/>
          <w:lang w:eastAsia="en-GB"/>
        </w:rPr>
        <w:t>Section</w:t>
      </w:r>
      <w:r w:rsidR="00682B40" w:rsidRPr="00807DAF">
        <w:rPr>
          <w:bCs/>
          <w:lang w:eastAsia="en-GB"/>
        </w:rPr>
        <w:t xml:space="preserve"> 1.2 (</w:t>
      </w:r>
      <w:r w:rsidR="00B114D9">
        <w:rPr>
          <w:bCs/>
          <w:lang w:eastAsia="en-GB"/>
        </w:rPr>
        <w:t>o</w:t>
      </w:r>
      <w:r w:rsidR="00682B40" w:rsidRPr="00807DAF">
        <w:rPr>
          <w:bCs/>
          <w:lang w:eastAsia="en-GB"/>
        </w:rPr>
        <w:t>bjectives of the programme) of</w:t>
      </w:r>
      <w:r w:rsidR="00790B79" w:rsidRPr="00807DAF">
        <w:rPr>
          <w:bCs/>
          <w:lang w:eastAsia="en-GB"/>
        </w:rPr>
        <w:t xml:space="preserve"> the</w:t>
      </w:r>
      <w:r w:rsidR="000636F3" w:rsidRPr="00807DAF">
        <w:rPr>
          <w:bCs/>
          <w:lang w:eastAsia="en-GB"/>
        </w:rPr>
        <w:t>se g</w:t>
      </w:r>
      <w:r w:rsidR="00682B40" w:rsidRPr="00807DAF">
        <w:rPr>
          <w:bCs/>
          <w:lang w:eastAsia="en-GB"/>
        </w:rPr>
        <w:t>uidelines</w:t>
      </w:r>
      <w:r w:rsidR="00682B40" w:rsidRPr="00807DAF">
        <w:t>.</w:t>
      </w:r>
    </w:p>
    <w:p w14:paraId="0E548534" w14:textId="77777777" w:rsidR="00400B42" w:rsidRPr="00807DAF" w:rsidRDefault="00400B42" w:rsidP="006F280A">
      <w:r w:rsidRPr="00807DAF">
        <w:t xml:space="preserve">Once all </w:t>
      </w:r>
      <w:r w:rsidR="00717ADB">
        <w:t>c</w:t>
      </w:r>
      <w:r w:rsidRPr="00807DAF">
        <w:t xml:space="preserve">oncept </w:t>
      </w:r>
      <w:r w:rsidR="00717ADB">
        <w:t>n</w:t>
      </w:r>
      <w:r w:rsidRPr="00807DAF">
        <w:t xml:space="preserve">otes have been assessed, a list will be </w:t>
      </w:r>
      <w:r w:rsidR="00C85211" w:rsidRPr="00807DAF">
        <w:t xml:space="preserve">drawn up </w:t>
      </w:r>
      <w:r w:rsidRPr="00807DAF">
        <w:t xml:space="preserve">with the proposed actions ranked according to their total score. </w:t>
      </w:r>
    </w:p>
    <w:p w14:paraId="5B86DF40" w14:textId="77777777" w:rsidR="00400B42" w:rsidRPr="00807DAF" w:rsidRDefault="001A4F8E" w:rsidP="006F280A">
      <w:r w:rsidRPr="00807DAF">
        <w:t>First</w:t>
      </w:r>
      <w:r w:rsidR="00F90A41" w:rsidRPr="00807DAF">
        <w:t>ly</w:t>
      </w:r>
      <w:r w:rsidR="008F021C" w:rsidRPr="00807DAF">
        <w:t xml:space="preserve">, </w:t>
      </w:r>
      <w:r w:rsidR="0074095C" w:rsidRPr="00807DAF">
        <w:t>o</w:t>
      </w:r>
      <w:r w:rsidR="00400B42" w:rsidRPr="00807DAF">
        <w:t xml:space="preserve">nly the </w:t>
      </w:r>
      <w:r w:rsidR="00717ADB">
        <w:t>c</w:t>
      </w:r>
      <w:r w:rsidR="00400B42" w:rsidRPr="00807DAF">
        <w:t xml:space="preserve">oncept </w:t>
      </w:r>
      <w:r w:rsidR="00717ADB">
        <w:t>n</w:t>
      </w:r>
      <w:r w:rsidR="00400B42" w:rsidRPr="00807DAF">
        <w:t xml:space="preserve">otes </w:t>
      </w:r>
      <w:r w:rsidR="00C85211" w:rsidRPr="00807DAF">
        <w:t>with</w:t>
      </w:r>
      <w:r w:rsidR="00400B42" w:rsidRPr="00807DAF">
        <w:t xml:space="preserve"> a score of a</w:t>
      </w:r>
      <w:r w:rsidR="00C85211" w:rsidRPr="00807DAF">
        <w:t xml:space="preserve">t least </w:t>
      </w:r>
      <w:r w:rsidR="00DF7723" w:rsidRPr="00EF6970">
        <w:t>30</w:t>
      </w:r>
      <w:r w:rsidR="00682B40" w:rsidRPr="00807DAF">
        <w:t xml:space="preserve"> </w:t>
      </w:r>
      <w:r w:rsidR="00400B42" w:rsidRPr="00807DAF">
        <w:t xml:space="preserve">will be considered for pre-selection. </w:t>
      </w:r>
    </w:p>
    <w:p w14:paraId="602F7F67" w14:textId="2611FDE0" w:rsidR="00806B63" w:rsidRPr="00807DAF" w:rsidRDefault="00806B63" w:rsidP="006F280A">
      <w:r w:rsidRPr="00807DAF">
        <w:t xml:space="preserve">Secondly, the number of </w:t>
      </w:r>
      <w:r w:rsidR="00717ADB">
        <w:t>c</w:t>
      </w:r>
      <w:r w:rsidRPr="00807DAF">
        <w:t xml:space="preserve">oncept </w:t>
      </w:r>
      <w:r w:rsidR="00717ADB">
        <w:t>n</w:t>
      </w:r>
      <w:r w:rsidRPr="00807DAF">
        <w:t xml:space="preserve">otes will be reduced, taking account of the ranking, to the number of </w:t>
      </w:r>
      <w:r w:rsidR="00717ADB">
        <w:t>c</w:t>
      </w:r>
      <w:r w:rsidRPr="00807DAF">
        <w:t xml:space="preserve">oncept </w:t>
      </w:r>
      <w:r w:rsidR="00717ADB">
        <w:t>n</w:t>
      </w:r>
      <w:r w:rsidRPr="00807DAF">
        <w:t>otes whose total aggregate amount of requested contributions is equal to</w:t>
      </w:r>
      <w:r w:rsidR="00624A8D">
        <w:t xml:space="preserve"> at least 200</w:t>
      </w:r>
      <w:proofErr w:type="gramStart"/>
      <w:r w:rsidR="00624A8D">
        <w:t xml:space="preserve">% </w:t>
      </w:r>
      <w:r w:rsidRPr="00807DAF">
        <w:t xml:space="preserve"> of</w:t>
      </w:r>
      <w:proofErr w:type="gramEnd"/>
      <w:r w:rsidRPr="00807DAF">
        <w:t xml:space="preserve"> the available budget for this </w:t>
      </w:r>
      <w:r w:rsidR="00717ADB">
        <w:t>c</w:t>
      </w:r>
      <w:r w:rsidRPr="00807DAF">
        <w:t xml:space="preserve">all for </w:t>
      </w:r>
      <w:r w:rsidR="00717ADB">
        <w:t>p</w:t>
      </w:r>
      <w:r w:rsidRPr="00807DAF">
        <w:t>roposals. The amount of requested contributions of each concept note will be based on the indicative financial envelopes for each lot</w:t>
      </w:r>
      <w:r w:rsidR="00B114D9">
        <w:t>, where relevant</w:t>
      </w:r>
      <w:r w:rsidRPr="00807DAF">
        <w:t>.</w:t>
      </w:r>
    </w:p>
    <w:p w14:paraId="19377480" w14:textId="26E4FE6F" w:rsidR="004458CA" w:rsidRPr="00BC4288" w:rsidRDefault="004458CA" w:rsidP="004458CA">
      <w:r>
        <w:t>Lead a</w:t>
      </w:r>
      <w:r w:rsidRPr="00807DAF">
        <w:t xml:space="preserve">pplicants </w:t>
      </w:r>
      <w:r>
        <w:t xml:space="preserve">will receive a letter </w:t>
      </w:r>
      <w:r w:rsidRPr="00807DAF">
        <w:t xml:space="preserve">indicating </w:t>
      </w:r>
      <w:r>
        <w:t xml:space="preserve">the reference number of their application and the respective results. </w:t>
      </w:r>
      <w:r w:rsidRPr="00FE05D4">
        <w:t>Th</w:t>
      </w:r>
      <w:r>
        <w:t>is</w:t>
      </w:r>
      <w:r w:rsidRPr="00FE05D4">
        <w:t xml:space="preserve"> letter will automatically appear online in the PROSPECT profile of the</w:t>
      </w:r>
      <w:r>
        <w:t xml:space="preserve"> lead a</w:t>
      </w:r>
      <w:r w:rsidRPr="00FE05D4">
        <w:t>pplicant.</w:t>
      </w:r>
      <w:r w:rsidR="001B6189">
        <w:t xml:space="preserve"> </w:t>
      </w:r>
    </w:p>
    <w:p w14:paraId="7F7D236B" w14:textId="77777777" w:rsidR="00400B42" w:rsidRPr="00807DAF" w:rsidRDefault="004458CA" w:rsidP="004458CA">
      <w:r w:rsidRPr="00FE05D4">
        <w:t xml:space="preserve">The pre-selected </w:t>
      </w:r>
      <w:r>
        <w:t>lead a</w:t>
      </w:r>
      <w:r w:rsidRPr="00FE05D4">
        <w:t>pplicants will subsequently be invited to submit full applications</w:t>
      </w:r>
      <w:r w:rsidRPr="00BC4288">
        <w:t>.</w:t>
      </w:r>
    </w:p>
    <w:p w14:paraId="7EC4C6AA" w14:textId="77777777" w:rsidR="007A3169" w:rsidRPr="00807DAF" w:rsidRDefault="00267E4F" w:rsidP="000E75FE">
      <w:pPr>
        <w:numPr>
          <w:ilvl w:val="0"/>
          <w:numId w:val="20"/>
        </w:numPr>
        <w:spacing w:before="240"/>
        <w:ind w:left="357" w:hanging="357"/>
        <w:jc w:val="left"/>
        <w:rPr>
          <w:b/>
          <w:sz w:val="24"/>
          <w:szCs w:val="24"/>
        </w:rPr>
      </w:pPr>
      <w:r w:rsidRPr="00807DAF">
        <w:rPr>
          <w:b/>
          <w:sz w:val="24"/>
          <w:szCs w:val="24"/>
        </w:rPr>
        <w:br w:type="page"/>
      </w:r>
      <w:r w:rsidR="009A51CA" w:rsidRPr="00807DAF">
        <w:rPr>
          <w:b/>
          <w:sz w:val="24"/>
          <w:szCs w:val="24"/>
        </w:rPr>
        <w:t xml:space="preserve">STEP </w:t>
      </w:r>
      <w:r w:rsidR="00B66332" w:rsidRPr="00807DAF">
        <w:rPr>
          <w:b/>
          <w:sz w:val="24"/>
          <w:szCs w:val="24"/>
        </w:rPr>
        <w:t>2</w:t>
      </w:r>
      <w:r w:rsidR="009A51CA" w:rsidRPr="00807DAF">
        <w:rPr>
          <w:b/>
          <w:sz w:val="24"/>
          <w:szCs w:val="24"/>
        </w:rPr>
        <w:t xml:space="preserve">: </w:t>
      </w:r>
      <w:r w:rsidR="00C61B44" w:rsidRPr="00807DAF">
        <w:rPr>
          <w:b/>
          <w:sz w:val="24"/>
          <w:szCs w:val="24"/>
        </w:rPr>
        <w:t>EVALU</w:t>
      </w:r>
      <w:r w:rsidR="00AA6F1C" w:rsidRPr="00807DAF">
        <w:rPr>
          <w:b/>
          <w:sz w:val="24"/>
          <w:szCs w:val="24"/>
        </w:rPr>
        <w:t>A</w:t>
      </w:r>
      <w:r w:rsidR="00C61B44" w:rsidRPr="00807DAF">
        <w:rPr>
          <w:b/>
          <w:sz w:val="24"/>
          <w:szCs w:val="24"/>
        </w:rPr>
        <w:t xml:space="preserve">TION </w:t>
      </w:r>
      <w:r w:rsidR="001566CE" w:rsidRPr="00807DAF">
        <w:rPr>
          <w:b/>
          <w:sz w:val="24"/>
          <w:szCs w:val="24"/>
        </w:rPr>
        <w:t xml:space="preserve">OF THE </w:t>
      </w:r>
      <w:r w:rsidR="0084479D" w:rsidRPr="00807DAF">
        <w:rPr>
          <w:b/>
          <w:sz w:val="24"/>
          <w:szCs w:val="24"/>
        </w:rPr>
        <w:t xml:space="preserve">FULL </w:t>
      </w:r>
      <w:r w:rsidR="002A730B" w:rsidRPr="00807DAF">
        <w:rPr>
          <w:b/>
          <w:sz w:val="24"/>
          <w:szCs w:val="24"/>
        </w:rPr>
        <w:t>APPLICATION</w:t>
      </w:r>
      <w:r w:rsidR="0007408E" w:rsidRPr="00807DAF">
        <w:rPr>
          <w:b/>
          <w:sz w:val="24"/>
          <w:szCs w:val="24"/>
        </w:rPr>
        <w:t xml:space="preserve"> </w:t>
      </w:r>
    </w:p>
    <w:p w14:paraId="5E065F44" w14:textId="77777777" w:rsidR="00047C7D" w:rsidRPr="00807DAF" w:rsidRDefault="00047C7D" w:rsidP="006F280A">
      <w:r w:rsidRPr="00807DAF">
        <w:rPr>
          <w:szCs w:val="24"/>
        </w:rPr>
        <w:t>First</w:t>
      </w:r>
      <w:r w:rsidR="00C4575C" w:rsidRPr="00807DAF">
        <w:rPr>
          <w:szCs w:val="24"/>
        </w:rPr>
        <w:t>ly</w:t>
      </w:r>
      <w:r w:rsidRPr="00807DAF">
        <w:rPr>
          <w:szCs w:val="24"/>
        </w:rPr>
        <w:t xml:space="preserve">, </w:t>
      </w:r>
      <w:r w:rsidRPr="00807DAF">
        <w:t>the following will be assessed:</w:t>
      </w:r>
    </w:p>
    <w:p w14:paraId="3581A91E" w14:textId="77777777" w:rsidR="00047C7D" w:rsidRPr="00BA6979" w:rsidRDefault="00606AF7" w:rsidP="000E75FE">
      <w:pPr>
        <w:numPr>
          <w:ilvl w:val="0"/>
          <w:numId w:val="22"/>
        </w:numPr>
      </w:pPr>
      <w:r w:rsidRPr="00BA6979">
        <w:t xml:space="preserve">If the </w:t>
      </w:r>
      <w:r w:rsidR="00047C7D" w:rsidRPr="00BA6979">
        <w:t>submission deadline</w:t>
      </w:r>
      <w:r w:rsidRPr="00BA6979">
        <w:t xml:space="preserve"> has been met</w:t>
      </w:r>
      <w:r w:rsidR="00047C7D" w:rsidRPr="00BA6979">
        <w:t xml:space="preserve">. </w:t>
      </w:r>
      <w:r w:rsidRPr="00BA6979">
        <w:t>Otherwise</w:t>
      </w:r>
      <w:r w:rsidR="00F149E4" w:rsidRPr="00BA6979">
        <w:t xml:space="preserve">, </w:t>
      </w:r>
      <w:r w:rsidR="00047C7D" w:rsidRPr="00BA6979">
        <w:t xml:space="preserve">the application </w:t>
      </w:r>
      <w:r w:rsidR="00E97E2D" w:rsidRPr="00BA6979">
        <w:t>will automatically be rejected.</w:t>
      </w:r>
    </w:p>
    <w:p w14:paraId="4A41AF93" w14:textId="77777777" w:rsidR="00047C7D" w:rsidRPr="00807DAF" w:rsidRDefault="00606AF7" w:rsidP="000E75FE">
      <w:pPr>
        <w:numPr>
          <w:ilvl w:val="0"/>
          <w:numId w:val="22"/>
        </w:numPr>
      </w:pPr>
      <w:r>
        <w:t>If t</w:t>
      </w:r>
      <w:r w:rsidR="00047C7D" w:rsidRPr="00807DAF">
        <w:t>he full application satisfies all the criteria</w:t>
      </w:r>
      <w:r>
        <w:t xml:space="preserve"> </w:t>
      </w:r>
      <w:r w:rsidR="00047C7D" w:rsidRPr="00807DAF">
        <w:t xml:space="preserve">specified in the </w:t>
      </w:r>
      <w:r w:rsidR="0092399A">
        <w:t>c</w:t>
      </w:r>
      <w:r w:rsidR="00047C7D" w:rsidRPr="00807DAF">
        <w:t>hecklist (</w:t>
      </w:r>
      <w:r w:rsidR="00F43773">
        <w:t>Annex A.2, Instructions</w:t>
      </w:r>
      <w:r w:rsidR="00047C7D" w:rsidRPr="00807DAF">
        <w:t xml:space="preserve">). </w:t>
      </w:r>
      <w:r w:rsidR="0092399A">
        <w:t xml:space="preserve">This includes also an assessment of the eligibility of the action. </w:t>
      </w:r>
      <w:r w:rsidR="0092399A" w:rsidRPr="00807DAF">
        <w:t xml:space="preserve"> </w:t>
      </w:r>
      <w:r w:rsidR="00047C7D" w:rsidRPr="00807DAF">
        <w:t xml:space="preserve">If any of the requested information is missing or is incorrect, the application may be rejected on that </w:t>
      </w:r>
      <w:r w:rsidR="00047C7D" w:rsidRPr="00807DAF">
        <w:rPr>
          <w:b/>
          <w:u w:val="single"/>
        </w:rPr>
        <w:t>sole</w:t>
      </w:r>
      <w:r w:rsidR="00047C7D" w:rsidRPr="00807DAF">
        <w:t xml:space="preserve"> basis and the application will not be evaluated further.</w:t>
      </w:r>
    </w:p>
    <w:p w14:paraId="54F985C6" w14:textId="77777777" w:rsidR="0007408E" w:rsidRPr="00807DAF" w:rsidRDefault="0086780C" w:rsidP="006F280A">
      <w:r w:rsidRPr="00807DAF">
        <w:t xml:space="preserve">The </w:t>
      </w:r>
      <w:r>
        <w:t>full applications</w:t>
      </w:r>
      <w:r w:rsidRPr="00807DAF">
        <w:t xml:space="preserve"> that pass </w:t>
      </w:r>
      <w:r>
        <w:t>this</w:t>
      </w:r>
      <w:r w:rsidRPr="00807DAF">
        <w:t xml:space="preserve"> check will be </w:t>
      </w:r>
      <w:r>
        <w:t xml:space="preserve">further </w:t>
      </w:r>
      <w:r w:rsidRPr="00807DAF">
        <w:t>evaluated</w:t>
      </w:r>
      <w:r>
        <w:t xml:space="preserve"> on their</w:t>
      </w:r>
      <w:r w:rsidRPr="00807DAF">
        <w:t xml:space="preserve"> quality</w:t>
      </w:r>
      <w:r w:rsidR="00047C7D" w:rsidRPr="00807DAF">
        <w:t>, including the proposed budget and capacity of the applicant</w:t>
      </w:r>
      <w:r w:rsidR="000D40CC" w:rsidRPr="00807DAF">
        <w:t>s</w:t>
      </w:r>
      <w:r w:rsidR="00047C7D" w:rsidRPr="00807DAF">
        <w:t xml:space="preserve"> and </w:t>
      </w:r>
      <w:r w:rsidR="000D40CC" w:rsidRPr="00807DAF">
        <w:t xml:space="preserve">affiliated </w:t>
      </w:r>
      <w:proofErr w:type="gramStart"/>
      <w:r w:rsidR="000D40CC" w:rsidRPr="00807DAF">
        <w:t>entity(</w:t>
      </w:r>
      <w:proofErr w:type="spellStart"/>
      <w:proofErr w:type="gramEnd"/>
      <w:r w:rsidR="000D40CC" w:rsidRPr="00807DAF">
        <w:t>ies</w:t>
      </w:r>
      <w:proofErr w:type="spellEnd"/>
      <w:r w:rsidR="000D40CC" w:rsidRPr="00807DAF">
        <w:t>)</w:t>
      </w:r>
      <w:r w:rsidR="00606AF7">
        <w:t>. They</w:t>
      </w:r>
      <w:r w:rsidR="00047C7D" w:rsidRPr="00807DAF">
        <w:t xml:space="preserve"> will be </w:t>
      </w:r>
      <w:r w:rsidR="00F149E4" w:rsidRPr="00807DAF">
        <w:t>evaluated using</w:t>
      </w:r>
      <w:r w:rsidR="00047C7D" w:rsidRPr="00807DAF">
        <w:t xml:space="preserve"> the evaluation criteria in the </w:t>
      </w:r>
      <w:r w:rsidR="00F149E4" w:rsidRPr="00807DAF">
        <w:t>e</w:t>
      </w:r>
      <w:r w:rsidR="00047C7D" w:rsidRPr="00807DAF">
        <w:t xml:space="preserve">valuation </w:t>
      </w:r>
      <w:r w:rsidR="00F149E4" w:rsidRPr="00807DAF">
        <w:t>g</w:t>
      </w:r>
      <w:r w:rsidR="00047C7D" w:rsidRPr="00807DAF">
        <w:t>rid below. There are two types of evaluation criteria: selection and award criteria.</w:t>
      </w:r>
    </w:p>
    <w:p w14:paraId="038DE1F0" w14:textId="77777777" w:rsidR="0007408E" w:rsidRPr="00807DAF" w:rsidRDefault="0007408E" w:rsidP="006F280A">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544E5D" w:rsidRPr="00807DAF">
        <w:t>'s</w:t>
      </w:r>
      <w:r w:rsidR="00FA2479" w:rsidRPr="00807DAF">
        <w:t xml:space="preserve"> and affiliated </w:t>
      </w:r>
      <w:proofErr w:type="gramStart"/>
      <w:r w:rsidR="00FA2479" w:rsidRPr="00807DAF">
        <w:t>en</w:t>
      </w:r>
      <w:r w:rsidR="00A8066A" w:rsidRPr="00807DAF">
        <w:t>t</w:t>
      </w:r>
      <w:r w:rsidR="00FA2479" w:rsidRPr="00807DAF">
        <w:t>ity(</w:t>
      </w:r>
      <w:proofErr w:type="spellStart"/>
      <w:proofErr w:type="gramEnd"/>
      <w:r w:rsidR="00FA2479" w:rsidRPr="00807DAF">
        <w:t>ies</w:t>
      </w:r>
      <w:proofErr w:type="spellEnd"/>
      <w:r w:rsidR="00FA2479" w:rsidRPr="00807DAF">
        <w:t>)</w:t>
      </w:r>
      <w:r w:rsidR="003664DD" w:rsidRPr="00807DAF">
        <w:t>'s</w:t>
      </w:r>
      <w:r w:rsidRPr="00807DAF">
        <w:t xml:space="preserve"> operational capacity</w:t>
      </w:r>
      <w:r w:rsidR="000C1624" w:rsidRPr="00807DAF">
        <w:t xml:space="preserve"> and the </w:t>
      </w:r>
      <w:r w:rsidR="00504963">
        <w:t>lead a</w:t>
      </w:r>
      <w:r w:rsidR="000C1624" w:rsidRPr="00807DAF">
        <w:t>pplicant</w:t>
      </w:r>
      <w:r w:rsidR="00544E5D" w:rsidRPr="00807DAF">
        <w:t>'s</w:t>
      </w:r>
      <w:r w:rsidR="000C1624" w:rsidRPr="00807DAF">
        <w:t xml:space="preserve"> financial capacity and </w:t>
      </w:r>
      <w:r w:rsidR="0086780C">
        <w:t xml:space="preserve">are used to verify </w:t>
      </w:r>
      <w:r w:rsidRPr="00807DAF">
        <w:t>that they:</w:t>
      </w:r>
    </w:p>
    <w:p w14:paraId="752161F7" w14:textId="77777777" w:rsidR="0007408E" w:rsidRPr="00807DAF" w:rsidRDefault="0007408E" w:rsidP="000E75FE">
      <w:pPr>
        <w:numPr>
          <w:ilvl w:val="0"/>
          <w:numId w:val="23"/>
        </w:numPr>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064836">
        <w:t xml:space="preserve"> (this only applies to lead applicants);</w:t>
      </w:r>
    </w:p>
    <w:p w14:paraId="1CB84043" w14:textId="77777777" w:rsidR="0007408E" w:rsidRDefault="0007408E" w:rsidP="000E75FE">
      <w:pPr>
        <w:numPr>
          <w:ilvl w:val="0"/>
          <w:numId w:val="23"/>
        </w:numPr>
      </w:pPr>
      <w:proofErr w:type="gramStart"/>
      <w:r w:rsidRPr="00807DAF">
        <w:t>have</w:t>
      </w:r>
      <w:proofErr w:type="gramEnd"/>
      <w:r w:rsidRPr="00807DAF">
        <w:t xml:space="preser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064836">
        <w:t>applies to applicants and</w:t>
      </w:r>
      <w:r w:rsidR="00064836" w:rsidRPr="00807DAF">
        <w:t xml:space="preserve"> </w:t>
      </w:r>
      <w:r w:rsidRPr="00807DAF">
        <w:t xml:space="preserve">any </w:t>
      </w:r>
      <w:r w:rsidR="000C1624" w:rsidRPr="00807DAF">
        <w:t xml:space="preserve">affiliated </w:t>
      </w:r>
      <w:proofErr w:type="gramStart"/>
      <w:r w:rsidR="000C1624" w:rsidRPr="00807DAF">
        <w:t>entity(</w:t>
      </w:r>
      <w:proofErr w:type="spellStart"/>
      <w:proofErr w:type="gramEnd"/>
      <w:r w:rsidR="000C1624" w:rsidRPr="00807DAF">
        <w:t>ies</w:t>
      </w:r>
      <w:proofErr w:type="spellEnd"/>
      <w:r w:rsidR="000C1624" w:rsidRPr="00807DAF">
        <w:t>)</w:t>
      </w:r>
      <w:r w:rsidRPr="00807DAF">
        <w:t>.</w:t>
      </w:r>
    </w:p>
    <w:p w14:paraId="638603CF" w14:textId="77777777" w:rsidR="00CA310C" w:rsidRPr="00807DAF" w:rsidRDefault="00CA310C" w:rsidP="00CA310C">
      <w:bookmarkStart w:id="40" w:name="_Hlk522123628"/>
      <w:r w:rsidRPr="007904B1">
        <w:t xml:space="preserve">For the purpose of the evaluation of the financial capacity, </w:t>
      </w:r>
      <w:r>
        <w:t>lead a</w:t>
      </w:r>
      <w:r w:rsidRPr="007904B1">
        <w:t xml:space="preserve">pplicants must ensure that the relevant information and documents </w:t>
      </w:r>
      <w:r>
        <w:t xml:space="preserve">(i.e. </w:t>
      </w:r>
      <w:r w:rsidRPr="0086420D">
        <w:rPr>
          <w:szCs w:val="22"/>
          <w:lang w:eastAsia="en-GB"/>
        </w:rPr>
        <w:t>accounts of the latest financial year</w:t>
      </w:r>
      <w:r>
        <w:rPr>
          <w:szCs w:val="22"/>
          <w:lang w:eastAsia="en-GB"/>
        </w:rPr>
        <w:t xml:space="preserve"> and external audit report, where applicable</w:t>
      </w:r>
      <w:proofErr w:type="gramStart"/>
      <w:r>
        <w:t xml:space="preserve">) </w:t>
      </w:r>
      <w:r w:rsidRPr="007904B1">
        <w:t xml:space="preserve"> are</w:t>
      </w:r>
      <w:proofErr w:type="gramEnd"/>
      <w:r w:rsidRPr="007904B1">
        <w:t xml:space="preserve"> up to date</w:t>
      </w:r>
      <w:r w:rsidR="00980028">
        <w:t xml:space="preserve"> </w:t>
      </w:r>
      <w:r w:rsidR="00980028" w:rsidRPr="00980028">
        <w:t xml:space="preserve">either in their </w:t>
      </w:r>
      <w:proofErr w:type="spellStart"/>
      <w:r w:rsidR="00980028" w:rsidRPr="00980028">
        <w:t>PADOR</w:t>
      </w:r>
      <w:proofErr w:type="spellEnd"/>
      <w:r w:rsidR="00980028" w:rsidRPr="00980028">
        <w:t xml:space="preserve"> profile or when submitting the requested documents with </w:t>
      </w:r>
      <w:proofErr w:type="spellStart"/>
      <w:r w:rsidR="00980028" w:rsidRPr="00980028">
        <w:t>PADOR</w:t>
      </w:r>
      <w:proofErr w:type="spellEnd"/>
      <w:r w:rsidR="00980028" w:rsidRPr="00980028">
        <w:t xml:space="preserve"> </w:t>
      </w:r>
      <w:r w:rsidR="00C92A95">
        <w:t>registration form</w:t>
      </w:r>
      <w:r w:rsidRPr="007904B1">
        <w:t xml:space="preserve">. If the information and documents </w:t>
      </w:r>
      <w:r w:rsidR="00980028">
        <w:t>requested</w:t>
      </w:r>
      <w:r w:rsidRPr="007904B1">
        <w:t xml:space="preserve"> are outdated and do not allow for a proper evaluation of the financial capacity</w:t>
      </w:r>
      <w:r>
        <w:t>, the application may be rejected.</w:t>
      </w:r>
      <w:bookmarkEnd w:id="40"/>
    </w:p>
    <w:p w14:paraId="274D0241" w14:textId="77777777" w:rsidR="0007408E" w:rsidRPr="00807DAF" w:rsidRDefault="0007408E" w:rsidP="006F280A">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86780C">
        <w:t xml:space="preserve"> set forth in the guidelines</w:t>
      </w:r>
      <w:r w:rsidR="006C1232" w:rsidRPr="00807DAF">
        <w:t xml:space="preserve">, and </w:t>
      </w:r>
      <w:r w:rsidR="006F44FB" w:rsidRPr="00807DAF">
        <w:t xml:space="preserve">to award </w:t>
      </w:r>
      <w:r w:rsidR="006C1232" w:rsidRPr="00807DAF">
        <w:t>grant</w:t>
      </w:r>
      <w:r w:rsidR="004977D3" w:rsidRPr="00807DAF">
        <w:t>s</w:t>
      </w:r>
      <w:r w:rsidRPr="00807DAF">
        <w:t xml:space="preserve"> to </w:t>
      </w:r>
      <w:r w:rsidR="00CF5740" w:rsidRPr="00807DAF">
        <w:t>project</w:t>
      </w:r>
      <w:r w:rsidRPr="00807DAF">
        <w:t xml:space="preserve">s which maximise the overall effectiveness of the </w:t>
      </w:r>
      <w:r w:rsidR="00717ADB">
        <w:t>c</w:t>
      </w:r>
      <w:r w:rsidR="001D0C7B" w:rsidRPr="00807DAF">
        <w:t xml:space="preserve">all for </w:t>
      </w:r>
      <w:r w:rsidR="00717ADB">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r w:rsidR="006459C5" w:rsidRPr="00807DAF">
        <w:t>application</w:t>
      </w:r>
      <w:r w:rsidR="0035206C" w:rsidRPr="00807DAF">
        <w:t>s which t</w:t>
      </w:r>
      <w:r w:rsidR="00D959F0" w:rsidRPr="00807DAF">
        <w:t xml:space="preserve">he </w:t>
      </w:r>
      <w:r w:rsidR="00A11755">
        <w:t>c</w:t>
      </w:r>
      <w:r w:rsidR="00D959F0" w:rsidRPr="00807DAF">
        <w:t xml:space="preserve">ontracting </w:t>
      </w:r>
      <w:r w:rsidR="00A11755">
        <w:t>a</w:t>
      </w:r>
      <w:r w:rsidR="00D959F0" w:rsidRPr="00807DAF">
        <w:t>uthority</w:t>
      </w:r>
      <w:r w:rsidR="00833F09" w:rsidRPr="00807DAF">
        <w:t xml:space="preserve"> can be confident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717ADB">
        <w:t>c</w:t>
      </w:r>
      <w:r w:rsidR="001D0C7B" w:rsidRPr="00807DAF">
        <w:t xml:space="preserve">all for </w:t>
      </w:r>
      <w:r w:rsidR="00717ADB">
        <w:t>p</w:t>
      </w:r>
      <w:r w:rsidR="001D0C7B" w:rsidRPr="00807DAF">
        <w:t>roposals</w:t>
      </w:r>
      <w:r w:rsidRPr="00807DAF">
        <w:t>, quality, expected impact, sustainability and cost-effectiveness.</w:t>
      </w:r>
    </w:p>
    <w:p w14:paraId="505C3A39" w14:textId="77777777" w:rsidR="00ED5802" w:rsidRPr="00807DAF" w:rsidRDefault="00ED5802" w:rsidP="006F280A">
      <w:pPr>
        <w:rPr>
          <w:i/>
        </w:rPr>
      </w:pPr>
      <w:r w:rsidRPr="00807DAF">
        <w:rPr>
          <w:i/>
        </w:rPr>
        <w:t>Scoring:</w:t>
      </w:r>
    </w:p>
    <w:p w14:paraId="7D3288E6" w14:textId="77777777" w:rsidR="00ED5802" w:rsidRPr="00807DAF" w:rsidRDefault="00ED5802" w:rsidP="006F280A">
      <w:r w:rsidRPr="00807DAF">
        <w:t xml:space="preserve">The evaluation </w:t>
      </w:r>
      <w:r w:rsidR="00613863" w:rsidRPr="00807DAF">
        <w:t xml:space="preserve">grid is </w:t>
      </w:r>
      <w:r w:rsidRPr="00807DAF">
        <w:t xml:space="preserve">divided into </w:t>
      </w:r>
      <w:r w:rsidR="00853E40">
        <w:t>S</w:t>
      </w:r>
      <w:r w:rsidRPr="00807DAF">
        <w:t xml:space="preserve">ections and subsections. </w:t>
      </w:r>
      <w:r w:rsidR="007017C5" w:rsidRPr="00807DAF">
        <w:t xml:space="preserve">Each subsection </w:t>
      </w:r>
      <w:r w:rsidRPr="00807DAF">
        <w:t xml:space="preserve">will be given a score between 1 and 5 </w:t>
      </w:r>
      <w:r w:rsidR="006F44FB" w:rsidRPr="00807DAF">
        <w:t>as</w:t>
      </w:r>
      <w:r w:rsidRPr="00807DAF">
        <w:t xml:space="preserve"> follow</w:t>
      </w:r>
      <w:r w:rsidR="006F44FB" w:rsidRPr="00807DAF">
        <w:t>s</w:t>
      </w:r>
      <w:r w:rsidRPr="00807DAF">
        <w:t xml:space="preserve">: 1 = very poor; 2 = poor; 3 = adequate; 4 = good; 5 = very good. </w:t>
      </w:r>
    </w:p>
    <w:p w14:paraId="16BAEAD9" w14:textId="77777777" w:rsidR="0007408E" w:rsidRPr="00807DAF" w:rsidRDefault="004B7BC2" w:rsidP="006F280A">
      <w:pPr>
        <w:rPr>
          <w:b/>
        </w:rPr>
      </w:pPr>
      <w:r>
        <w:rPr>
          <w:b/>
        </w:rPr>
        <w:br w:type="page"/>
      </w:r>
      <w:r w:rsidR="0007408E" w:rsidRPr="00807DAF">
        <w:rPr>
          <w:b/>
        </w:rPr>
        <w:t xml:space="preserve">Evaluation </w:t>
      </w:r>
      <w:r w:rsidR="00A11755">
        <w:rPr>
          <w:b/>
        </w:rPr>
        <w:t>g</w:t>
      </w:r>
      <w:r w:rsidR="0007408E" w:rsidRPr="00807DAF">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7F332A" w:rsidRPr="00807DAF" w14:paraId="21EDF24B" w14:textId="77777777" w:rsidTr="00DF6F65">
        <w:tc>
          <w:tcPr>
            <w:tcW w:w="8472" w:type="dxa"/>
            <w:vAlign w:val="center"/>
          </w:tcPr>
          <w:p w14:paraId="1BD05416" w14:textId="77777777" w:rsidR="007F332A" w:rsidRPr="00E94A3D" w:rsidRDefault="007F332A" w:rsidP="00DF6F65">
            <w:pPr>
              <w:rPr>
                <w:b/>
                <w:szCs w:val="22"/>
              </w:rPr>
            </w:pPr>
            <w:r w:rsidRPr="00E94A3D">
              <w:rPr>
                <w:b/>
                <w:szCs w:val="22"/>
              </w:rPr>
              <w:t>Section</w:t>
            </w:r>
          </w:p>
        </w:tc>
        <w:tc>
          <w:tcPr>
            <w:tcW w:w="1275" w:type="dxa"/>
            <w:vAlign w:val="center"/>
          </w:tcPr>
          <w:p w14:paraId="22368DE3" w14:textId="77777777" w:rsidR="007F332A" w:rsidRPr="00E94A3D" w:rsidRDefault="007F332A" w:rsidP="00DF6F65">
            <w:pPr>
              <w:jc w:val="center"/>
              <w:rPr>
                <w:b/>
                <w:szCs w:val="22"/>
              </w:rPr>
            </w:pPr>
            <w:r w:rsidRPr="00E94A3D">
              <w:rPr>
                <w:b/>
                <w:szCs w:val="22"/>
              </w:rPr>
              <w:t>Maximum Score</w:t>
            </w:r>
          </w:p>
        </w:tc>
      </w:tr>
      <w:tr w:rsidR="007F332A" w:rsidRPr="00807DAF" w14:paraId="020FDBF6" w14:textId="77777777" w:rsidTr="00DF6F65">
        <w:tc>
          <w:tcPr>
            <w:tcW w:w="8472" w:type="dxa"/>
            <w:shd w:val="pct10" w:color="auto" w:fill="FFFFFF"/>
            <w:vAlign w:val="center"/>
          </w:tcPr>
          <w:p w14:paraId="4074DCE5" w14:textId="77777777" w:rsidR="007F332A" w:rsidRPr="00E94A3D" w:rsidRDefault="007F332A" w:rsidP="00DF6F65">
            <w:pPr>
              <w:rPr>
                <w:szCs w:val="22"/>
              </w:rPr>
            </w:pPr>
            <w:r w:rsidRPr="00E94A3D">
              <w:rPr>
                <w:b/>
                <w:szCs w:val="22"/>
              </w:rPr>
              <w:t xml:space="preserve">1. </w:t>
            </w:r>
            <w:r w:rsidRPr="00E94A3D">
              <w:rPr>
                <w:b/>
                <w:noProof/>
                <w:szCs w:val="22"/>
              </w:rPr>
              <w:t>Financial and operational capacity</w:t>
            </w:r>
          </w:p>
        </w:tc>
        <w:tc>
          <w:tcPr>
            <w:tcW w:w="1275" w:type="dxa"/>
            <w:shd w:val="pct10" w:color="auto" w:fill="FFFFFF"/>
            <w:vAlign w:val="center"/>
          </w:tcPr>
          <w:p w14:paraId="5E4B1920" w14:textId="77777777" w:rsidR="007F332A" w:rsidRPr="00E94A3D" w:rsidRDefault="007F332A" w:rsidP="007F332A">
            <w:pPr>
              <w:spacing w:before="120" w:after="120"/>
              <w:jc w:val="center"/>
              <w:rPr>
                <w:b/>
                <w:szCs w:val="22"/>
              </w:rPr>
            </w:pPr>
            <w:r w:rsidRPr="00E94A3D">
              <w:rPr>
                <w:b/>
                <w:noProof/>
                <w:szCs w:val="22"/>
              </w:rPr>
              <w:t>20</w:t>
            </w:r>
          </w:p>
        </w:tc>
      </w:tr>
      <w:tr w:rsidR="007F332A" w:rsidRPr="00807DAF" w14:paraId="307DF991" w14:textId="77777777" w:rsidTr="00DF6F65">
        <w:tc>
          <w:tcPr>
            <w:tcW w:w="8472" w:type="dxa"/>
          </w:tcPr>
          <w:p w14:paraId="35761F18" w14:textId="77777777" w:rsidR="007F332A" w:rsidRPr="00E94A3D" w:rsidRDefault="007F332A" w:rsidP="007F332A">
            <w:pPr>
              <w:spacing w:before="120" w:after="120"/>
              <w:ind w:left="340" w:hanging="340"/>
              <w:rPr>
                <w:szCs w:val="22"/>
              </w:rPr>
            </w:pPr>
            <w:r w:rsidRPr="00E94A3D">
              <w:rPr>
                <w:noProof/>
                <w:szCs w:val="22"/>
              </w:rPr>
              <w:t>1.1. Do the applicants and, if applicable, their affiliated entity(ies) have sufficient in-house experience of project management?</w:t>
            </w:r>
          </w:p>
        </w:tc>
        <w:tc>
          <w:tcPr>
            <w:tcW w:w="1275" w:type="dxa"/>
          </w:tcPr>
          <w:p w14:paraId="0F93B471"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386FA129" w14:textId="77777777" w:rsidTr="00DF6F65">
        <w:tc>
          <w:tcPr>
            <w:tcW w:w="8472" w:type="dxa"/>
          </w:tcPr>
          <w:p w14:paraId="6BDBF116" w14:textId="77777777" w:rsidR="007F332A" w:rsidRPr="00E94A3D" w:rsidRDefault="007F332A" w:rsidP="007F332A">
            <w:pPr>
              <w:spacing w:before="120" w:after="120"/>
              <w:ind w:left="340" w:hanging="340"/>
              <w:rPr>
                <w:szCs w:val="22"/>
              </w:rPr>
            </w:pPr>
            <w:r w:rsidRPr="00E94A3D">
              <w:rPr>
                <w:noProof/>
                <w:szCs w:val="22"/>
              </w:rPr>
              <w:t>1.2. Do the applicants and, if applicable, their affiliated entity(ies) have sufficient technical in-house expertise (especially knowledge of the issues to be addressed)?</w:t>
            </w:r>
          </w:p>
        </w:tc>
        <w:tc>
          <w:tcPr>
            <w:tcW w:w="1275" w:type="dxa"/>
          </w:tcPr>
          <w:p w14:paraId="6FBCC8C8"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06D2EA9A" w14:textId="77777777" w:rsidTr="00DF6F65">
        <w:tc>
          <w:tcPr>
            <w:tcW w:w="8472" w:type="dxa"/>
          </w:tcPr>
          <w:p w14:paraId="2D866927" w14:textId="77777777" w:rsidR="007F332A" w:rsidRPr="00E94A3D" w:rsidRDefault="007F332A" w:rsidP="007F332A">
            <w:pPr>
              <w:spacing w:before="120" w:after="120"/>
              <w:ind w:left="340" w:hanging="340"/>
              <w:rPr>
                <w:szCs w:val="22"/>
              </w:rPr>
            </w:pPr>
            <w:r w:rsidRPr="00E94A3D">
              <w:rPr>
                <w:noProof/>
                <w:szCs w:val="22"/>
              </w:rPr>
              <w:t>1.3. Do the applicants and, if applicable, their affiliated entity(ies) have sufficient management in-house capacity (including staff, equipment and ability to handle the budget for the action)?</w:t>
            </w:r>
          </w:p>
        </w:tc>
        <w:tc>
          <w:tcPr>
            <w:tcW w:w="1275" w:type="dxa"/>
          </w:tcPr>
          <w:p w14:paraId="187CCD0B"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7871C140" w14:textId="77777777" w:rsidTr="00DF6F65">
        <w:tc>
          <w:tcPr>
            <w:tcW w:w="8472" w:type="dxa"/>
          </w:tcPr>
          <w:p w14:paraId="647ED3FC" w14:textId="77777777" w:rsidR="007F332A" w:rsidRPr="00E94A3D" w:rsidRDefault="007F332A" w:rsidP="007F332A">
            <w:pPr>
              <w:spacing w:before="120" w:after="120"/>
              <w:ind w:left="340" w:hanging="340"/>
              <w:rPr>
                <w:szCs w:val="22"/>
              </w:rPr>
            </w:pPr>
            <w:r w:rsidRPr="00E94A3D">
              <w:rPr>
                <w:noProof/>
                <w:szCs w:val="22"/>
              </w:rPr>
              <w:t>1.4. Does the lead applicant have stable and sufficient sources of finance?</w:t>
            </w:r>
          </w:p>
        </w:tc>
        <w:tc>
          <w:tcPr>
            <w:tcW w:w="1275" w:type="dxa"/>
          </w:tcPr>
          <w:p w14:paraId="709753AB"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12F24B74" w14:textId="77777777" w:rsidTr="00DF6F65">
        <w:tc>
          <w:tcPr>
            <w:tcW w:w="8472" w:type="dxa"/>
            <w:shd w:val="pct10" w:color="auto" w:fill="FFFFFF"/>
            <w:vAlign w:val="center"/>
          </w:tcPr>
          <w:p w14:paraId="3F0FB773" w14:textId="77777777" w:rsidR="007F332A" w:rsidRPr="00E94A3D" w:rsidRDefault="007F332A" w:rsidP="00DF6F65">
            <w:pPr>
              <w:jc w:val="left"/>
              <w:rPr>
                <w:szCs w:val="22"/>
              </w:rPr>
            </w:pPr>
            <w:r w:rsidRPr="00E94A3D">
              <w:rPr>
                <w:b/>
                <w:szCs w:val="22"/>
              </w:rPr>
              <w:t xml:space="preserve">2. </w:t>
            </w:r>
            <w:r w:rsidRPr="00E94A3D">
              <w:rPr>
                <w:b/>
                <w:noProof/>
                <w:szCs w:val="22"/>
              </w:rPr>
              <w:t>Relevance of the action</w:t>
            </w:r>
          </w:p>
        </w:tc>
        <w:tc>
          <w:tcPr>
            <w:tcW w:w="1275" w:type="dxa"/>
            <w:shd w:val="pct10" w:color="auto" w:fill="FFFFFF"/>
            <w:vAlign w:val="center"/>
          </w:tcPr>
          <w:p w14:paraId="58FD92B7" w14:textId="77777777" w:rsidR="007F332A" w:rsidRPr="00E94A3D" w:rsidRDefault="007F332A" w:rsidP="007F332A">
            <w:pPr>
              <w:spacing w:before="120" w:after="120"/>
              <w:jc w:val="center"/>
              <w:rPr>
                <w:b/>
                <w:szCs w:val="22"/>
              </w:rPr>
            </w:pPr>
            <w:r w:rsidRPr="00E94A3D">
              <w:rPr>
                <w:b/>
                <w:noProof/>
                <w:szCs w:val="22"/>
              </w:rPr>
              <w:t>20</w:t>
            </w:r>
          </w:p>
        </w:tc>
      </w:tr>
      <w:tr w:rsidR="007F332A" w:rsidRPr="00807DAF" w14:paraId="38DE8006" w14:textId="77777777" w:rsidTr="00DF6F65">
        <w:tc>
          <w:tcPr>
            <w:tcW w:w="8472" w:type="dxa"/>
            <w:shd w:val="clear" w:color="auto" w:fill="FFFFFF"/>
          </w:tcPr>
          <w:p w14:paraId="744553DD" w14:textId="77777777" w:rsidR="007F332A" w:rsidRPr="00E94A3D" w:rsidRDefault="007F332A" w:rsidP="007F332A">
            <w:pPr>
              <w:spacing w:before="120" w:after="120"/>
              <w:rPr>
                <w:i/>
                <w:szCs w:val="22"/>
              </w:rPr>
            </w:pPr>
            <w:r w:rsidRPr="00E94A3D">
              <w:rPr>
                <w:noProof/>
                <w:szCs w:val="22"/>
              </w:rPr>
              <w:t>2.1.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275" w:type="dxa"/>
            <w:shd w:val="clear" w:color="auto" w:fill="FFFFFF"/>
            <w:vAlign w:val="center"/>
          </w:tcPr>
          <w:p w14:paraId="22AF445E"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3914B637" w14:textId="77777777" w:rsidTr="00DF6F65">
        <w:tc>
          <w:tcPr>
            <w:tcW w:w="8472" w:type="dxa"/>
            <w:shd w:val="clear" w:color="auto" w:fill="FFFFFF"/>
          </w:tcPr>
          <w:p w14:paraId="4AE230A8" w14:textId="77777777" w:rsidR="007F332A" w:rsidRPr="00E94A3D" w:rsidRDefault="007F332A" w:rsidP="007F332A">
            <w:pPr>
              <w:spacing w:before="120" w:after="120"/>
              <w:rPr>
                <w:i/>
                <w:szCs w:val="22"/>
              </w:rPr>
            </w:pPr>
            <w:r w:rsidRPr="00E94A3D">
              <w:rPr>
                <w:noProof/>
                <w:szCs w:val="22"/>
              </w:rPr>
              <w:t>2.2. How relevant is the proposal to the particular needs and constraints of the target country(ies), region(s) and/or relevant sectors (including synergy with other development initiatives and avoidance of duplication)?</w:t>
            </w:r>
          </w:p>
        </w:tc>
        <w:tc>
          <w:tcPr>
            <w:tcW w:w="1275" w:type="dxa"/>
            <w:shd w:val="clear" w:color="auto" w:fill="FFFFFF"/>
            <w:vAlign w:val="center"/>
          </w:tcPr>
          <w:p w14:paraId="62718C00"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265751D1" w14:textId="77777777" w:rsidTr="00DF6F65">
        <w:tc>
          <w:tcPr>
            <w:tcW w:w="8472" w:type="dxa"/>
            <w:shd w:val="clear" w:color="auto" w:fill="FFFFFF"/>
          </w:tcPr>
          <w:p w14:paraId="6A9F2A21" w14:textId="77777777" w:rsidR="007F332A" w:rsidRPr="00E94A3D" w:rsidRDefault="007F332A" w:rsidP="007F332A">
            <w:pPr>
              <w:spacing w:before="120" w:after="120"/>
              <w:rPr>
                <w:i/>
                <w:szCs w:val="22"/>
              </w:rPr>
            </w:pPr>
            <w:r w:rsidRPr="00E94A3D">
              <w:rPr>
                <w:noProof/>
                <w:szCs w:val="22"/>
              </w:rPr>
              <w:t>2.3. How clearly defined and strategically chosen are those involved (final beneficiaries, target groups)? Have their needs (as rights holders and/or duty bearers) and constraints been clearly defined and does the proposal address them appropriately?</w:t>
            </w:r>
          </w:p>
        </w:tc>
        <w:tc>
          <w:tcPr>
            <w:tcW w:w="1275" w:type="dxa"/>
            <w:shd w:val="clear" w:color="auto" w:fill="FFFFFF"/>
            <w:vAlign w:val="center"/>
          </w:tcPr>
          <w:p w14:paraId="77201F22"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34F8A4E8" w14:textId="77777777" w:rsidTr="00DF6F65">
        <w:tc>
          <w:tcPr>
            <w:tcW w:w="8472" w:type="dxa"/>
            <w:shd w:val="clear" w:color="auto" w:fill="FFFFFF"/>
          </w:tcPr>
          <w:p w14:paraId="7EEA7924" w14:textId="77777777" w:rsidR="007F332A" w:rsidRPr="00E94A3D" w:rsidRDefault="007F332A" w:rsidP="007F332A">
            <w:pPr>
              <w:spacing w:before="120" w:after="120"/>
              <w:rPr>
                <w:i/>
                <w:szCs w:val="22"/>
              </w:rPr>
            </w:pPr>
            <w:r w:rsidRPr="00E94A3D">
              <w:rPr>
                <w:noProof/>
                <w:szCs w:val="22"/>
              </w:rPr>
              <w:t>2.4. Does the proposal contain particular added-value elements (e.g. innovation, best practices) ? [and the other additional elements indicated under 1.2. of the guidelines for applicants]</w:t>
            </w:r>
          </w:p>
        </w:tc>
        <w:tc>
          <w:tcPr>
            <w:tcW w:w="1275" w:type="dxa"/>
            <w:shd w:val="clear" w:color="auto" w:fill="FFFFFF"/>
            <w:vAlign w:val="center"/>
          </w:tcPr>
          <w:p w14:paraId="04365F74"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656107F0" w14:textId="77777777" w:rsidTr="00DF6F65">
        <w:tc>
          <w:tcPr>
            <w:tcW w:w="8472" w:type="dxa"/>
            <w:shd w:val="pct10" w:color="auto" w:fill="FFFFFF"/>
            <w:vAlign w:val="center"/>
          </w:tcPr>
          <w:p w14:paraId="41DB21DC" w14:textId="77777777" w:rsidR="007F332A" w:rsidRPr="00E94A3D" w:rsidRDefault="007F332A" w:rsidP="00DF6F65">
            <w:pPr>
              <w:rPr>
                <w:szCs w:val="22"/>
              </w:rPr>
            </w:pPr>
            <w:r w:rsidRPr="00E94A3D">
              <w:rPr>
                <w:b/>
                <w:szCs w:val="22"/>
              </w:rPr>
              <w:t xml:space="preserve">3. </w:t>
            </w:r>
            <w:r w:rsidRPr="00E94A3D">
              <w:rPr>
                <w:b/>
                <w:noProof/>
                <w:szCs w:val="22"/>
              </w:rPr>
              <w:t>Design of the action</w:t>
            </w:r>
          </w:p>
        </w:tc>
        <w:tc>
          <w:tcPr>
            <w:tcW w:w="1275" w:type="dxa"/>
            <w:shd w:val="pct10" w:color="auto" w:fill="FFFFFF"/>
            <w:vAlign w:val="center"/>
          </w:tcPr>
          <w:p w14:paraId="0EAEDD00" w14:textId="77777777" w:rsidR="007F332A" w:rsidRPr="00E94A3D" w:rsidRDefault="007F332A" w:rsidP="007F332A">
            <w:pPr>
              <w:spacing w:before="120" w:after="120"/>
              <w:jc w:val="center"/>
              <w:rPr>
                <w:b/>
                <w:szCs w:val="22"/>
              </w:rPr>
            </w:pPr>
            <w:r w:rsidRPr="00E94A3D">
              <w:rPr>
                <w:b/>
                <w:noProof/>
                <w:szCs w:val="22"/>
              </w:rPr>
              <w:t>15</w:t>
            </w:r>
          </w:p>
        </w:tc>
      </w:tr>
      <w:tr w:rsidR="007F332A" w:rsidRPr="00807DAF" w14:paraId="5F7B6901" w14:textId="77777777" w:rsidTr="00DF6F65">
        <w:tc>
          <w:tcPr>
            <w:tcW w:w="8472" w:type="dxa"/>
          </w:tcPr>
          <w:p w14:paraId="567A7234" w14:textId="77777777" w:rsidR="007F332A" w:rsidRPr="00E94A3D" w:rsidRDefault="007F332A" w:rsidP="007F332A">
            <w:pPr>
              <w:spacing w:before="120" w:after="120"/>
              <w:ind w:left="340" w:hanging="340"/>
              <w:rPr>
                <w:szCs w:val="22"/>
              </w:rPr>
            </w:pPr>
            <w:r w:rsidRPr="00E94A3D">
              <w:rPr>
                <w:noProof/>
                <w:szCs w:val="22"/>
              </w:rPr>
              <w:t>3.1. 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tcPr>
          <w:p w14:paraId="327C23EF"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5237A7CA" w14:textId="77777777" w:rsidTr="00DF6F65">
        <w:tc>
          <w:tcPr>
            <w:tcW w:w="8472" w:type="dxa"/>
          </w:tcPr>
          <w:p w14:paraId="1C783BC2" w14:textId="77777777" w:rsidR="007F332A" w:rsidRPr="00E94A3D" w:rsidRDefault="007F332A" w:rsidP="007F332A">
            <w:pPr>
              <w:spacing w:before="120" w:after="120"/>
              <w:ind w:left="340" w:hanging="340"/>
              <w:rPr>
                <w:szCs w:val="22"/>
              </w:rPr>
            </w:pPr>
            <w:r w:rsidRPr="00E94A3D">
              <w:rPr>
                <w:noProof/>
                <w:szCs w:val="22"/>
              </w:rPr>
              <w:t>3.2. Does the proposal/Logical Framework include credible baseline, targets and sources of verification? If not, is a baseline study foreseen (and is the study budgeted appropriately in the proposal)?</w:t>
            </w:r>
          </w:p>
        </w:tc>
        <w:tc>
          <w:tcPr>
            <w:tcW w:w="1275" w:type="dxa"/>
          </w:tcPr>
          <w:p w14:paraId="4B9946A3"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117D40FD" w14:textId="77777777" w:rsidTr="00DF6F65">
        <w:tc>
          <w:tcPr>
            <w:tcW w:w="8472" w:type="dxa"/>
          </w:tcPr>
          <w:p w14:paraId="3C2CE2A6" w14:textId="77777777" w:rsidR="007F332A" w:rsidRPr="00E94A3D" w:rsidRDefault="007F332A" w:rsidP="007F332A">
            <w:pPr>
              <w:spacing w:before="120" w:after="120"/>
              <w:ind w:left="340" w:hanging="340"/>
              <w:rPr>
                <w:szCs w:val="22"/>
              </w:rPr>
            </w:pPr>
            <w:r w:rsidRPr="00E94A3D">
              <w:rPr>
                <w:noProof/>
                <w:szCs w:val="22"/>
              </w:rPr>
              <w:t>3.3. Does the design reflect a robust analysis of the problems involved, and the capacities of the relevant stakeholders?</w:t>
            </w:r>
          </w:p>
        </w:tc>
        <w:tc>
          <w:tcPr>
            <w:tcW w:w="1275" w:type="dxa"/>
          </w:tcPr>
          <w:p w14:paraId="20FFD439"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154C3B47" w14:textId="77777777" w:rsidTr="00DF6F65">
        <w:tc>
          <w:tcPr>
            <w:tcW w:w="8472" w:type="dxa"/>
            <w:shd w:val="pct10" w:color="auto" w:fill="FFFFFF"/>
            <w:vAlign w:val="center"/>
          </w:tcPr>
          <w:p w14:paraId="0D32D8D2" w14:textId="77777777" w:rsidR="007F332A" w:rsidRPr="00E94A3D" w:rsidRDefault="007F332A" w:rsidP="00DF6F65">
            <w:pPr>
              <w:rPr>
                <w:szCs w:val="22"/>
              </w:rPr>
            </w:pPr>
            <w:r w:rsidRPr="00E94A3D">
              <w:rPr>
                <w:szCs w:val="22"/>
              </w:rPr>
              <w:br w:type="page"/>
            </w:r>
            <w:r w:rsidRPr="00E94A3D">
              <w:rPr>
                <w:b/>
                <w:szCs w:val="22"/>
              </w:rPr>
              <w:t xml:space="preserve">4. </w:t>
            </w:r>
            <w:r w:rsidRPr="00E94A3D">
              <w:rPr>
                <w:b/>
                <w:noProof/>
                <w:szCs w:val="22"/>
              </w:rPr>
              <w:t>Implementation approach</w:t>
            </w:r>
          </w:p>
        </w:tc>
        <w:tc>
          <w:tcPr>
            <w:tcW w:w="1275" w:type="dxa"/>
            <w:shd w:val="pct10" w:color="auto" w:fill="FFFFFF"/>
            <w:vAlign w:val="center"/>
          </w:tcPr>
          <w:p w14:paraId="72B49886" w14:textId="77777777" w:rsidR="007F332A" w:rsidRPr="00E94A3D" w:rsidRDefault="007F332A" w:rsidP="007F332A">
            <w:pPr>
              <w:spacing w:before="120" w:after="120"/>
              <w:jc w:val="center"/>
              <w:rPr>
                <w:b/>
                <w:szCs w:val="22"/>
              </w:rPr>
            </w:pPr>
            <w:r w:rsidRPr="00E94A3D">
              <w:rPr>
                <w:b/>
                <w:noProof/>
                <w:szCs w:val="22"/>
              </w:rPr>
              <w:t>15</w:t>
            </w:r>
          </w:p>
        </w:tc>
      </w:tr>
      <w:tr w:rsidR="007F332A" w:rsidRPr="00807DAF" w14:paraId="4BF3AC5D" w14:textId="77777777" w:rsidTr="00DF6F65">
        <w:tc>
          <w:tcPr>
            <w:tcW w:w="8472" w:type="dxa"/>
          </w:tcPr>
          <w:p w14:paraId="288ACA2B" w14:textId="77777777" w:rsidR="007F332A" w:rsidRPr="00E94A3D" w:rsidRDefault="007F332A" w:rsidP="007F332A">
            <w:pPr>
              <w:spacing w:before="120" w:after="120"/>
              <w:ind w:left="340" w:hanging="340"/>
              <w:rPr>
                <w:szCs w:val="22"/>
              </w:rPr>
            </w:pPr>
            <w:r w:rsidRPr="00E94A3D">
              <w:rPr>
                <w:noProof/>
                <w:szCs w:val="22"/>
              </w:rPr>
              <w:t>4.1. Is the action plan for implementing the action clear and feasible? Is the timeline realistic?</w:t>
            </w:r>
          </w:p>
        </w:tc>
        <w:tc>
          <w:tcPr>
            <w:tcW w:w="1275" w:type="dxa"/>
          </w:tcPr>
          <w:p w14:paraId="6F7A9003"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3A622FE9" w14:textId="77777777" w:rsidTr="00DF6F65">
        <w:tc>
          <w:tcPr>
            <w:tcW w:w="8472" w:type="dxa"/>
          </w:tcPr>
          <w:p w14:paraId="5E284D91" w14:textId="77777777" w:rsidR="007F332A" w:rsidRPr="00E94A3D" w:rsidRDefault="007F332A" w:rsidP="007F332A">
            <w:pPr>
              <w:spacing w:before="120" w:after="120"/>
              <w:ind w:left="340" w:hanging="340"/>
              <w:rPr>
                <w:szCs w:val="22"/>
              </w:rPr>
            </w:pPr>
            <w:r w:rsidRPr="00E94A3D">
              <w:rPr>
                <w:noProof/>
                <w:szCs w:val="22"/>
              </w:rPr>
              <w:t>4.2. Does the proposal include an effective and efficient monitoring system? Is there an evaluation planned (previous, during or/and at the end of the implementation)?</w:t>
            </w:r>
          </w:p>
        </w:tc>
        <w:tc>
          <w:tcPr>
            <w:tcW w:w="1275" w:type="dxa"/>
          </w:tcPr>
          <w:p w14:paraId="4B348F17"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08DD9E37" w14:textId="77777777" w:rsidTr="00DF6F65">
        <w:tc>
          <w:tcPr>
            <w:tcW w:w="8472" w:type="dxa"/>
          </w:tcPr>
          <w:p w14:paraId="63D4CD37" w14:textId="77777777" w:rsidR="007F332A" w:rsidRPr="00E94A3D" w:rsidRDefault="007F332A" w:rsidP="007F332A">
            <w:pPr>
              <w:spacing w:before="120" w:after="120"/>
              <w:ind w:left="340" w:hanging="340"/>
              <w:rPr>
                <w:szCs w:val="22"/>
              </w:rPr>
            </w:pPr>
            <w:r w:rsidRPr="00E94A3D">
              <w:rPr>
                <w:noProof/>
                <w:szCs w:val="22"/>
              </w:rPr>
              <w:t>4.3. Is the co-applicant(s)'s and affiliated entity(ies)'s level of involvement and participation in the action satisfactory?</w:t>
            </w:r>
          </w:p>
        </w:tc>
        <w:tc>
          <w:tcPr>
            <w:tcW w:w="1275" w:type="dxa"/>
          </w:tcPr>
          <w:p w14:paraId="75D1B36F"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4B34B49E" w14:textId="77777777" w:rsidTr="00DF6F65">
        <w:tc>
          <w:tcPr>
            <w:tcW w:w="8472" w:type="dxa"/>
            <w:shd w:val="pct10" w:color="auto" w:fill="FFFFFF"/>
            <w:vAlign w:val="center"/>
          </w:tcPr>
          <w:p w14:paraId="390B653E" w14:textId="77777777" w:rsidR="007F332A" w:rsidRPr="00E94A3D" w:rsidRDefault="007F332A" w:rsidP="00DF6F65">
            <w:pPr>
              <w:rPr>
                <w:szCs w:val="22"/>
              </w:rPr>
            </w:pPr>
            <w:r w:rsidRPr="00E94A3D">
              <w:rPr>
                <w:szCs w:val="22"/>
              </w:rPr>
              <w:br w:type="page"/>
            </w:r>
            <w:r w:rsidRPr="00E94A3D">
              <w:rPr>
                <w:b/>
                <w:szCs w:val="22"/>
              </w:rPr>
              <w:t xml:space="preserve">5. </w:t>
            </w:r>
            <w:r w:rsidRPr="00E94A3D">
              <w:rPr>
                <w:b/>
                <w:noProof/>
                <w:szCs w:val="22"/>
              </w:rPr>
              <w:t>Sustainability of the action</w:t>
            </w:r>
          </w:p>
        </w:tc>
        <w:tc>
          <w:tcPr>
            <w:tcW w:w="1275" w:type="dxa"/>
            <w:shd w:val="pct10" w:color="auto" w:fill="FFFFFF"/>
            <w:vAlign w:val="center"/>
          </w:tcPr>
          <w:p w14:paraId="0537DD62" w14:textId="77777777" w:rsidR="007F332A" w:rsidRPr="00E94A3D" w:rsidRDefault="007F332A" w:rsidP="007F332A">
            <w:pPr>
              <w:spacing w:before="120" w:after="120"/>
              <w:jc w:val="center"/>
              <w:rPr>
                <w:b/>
                <w:szCs w:val="22"/>
              </w:rPr>
            </w:pPr>
            <w:r w:rsidRPr="00E94A3D">
              <w:rPr>
                <w:b/>
                <w:noProof/>
                <w:szCs w:val="22"/>
              </w:rPr>
              <w:t>15</w:t>
            </w:r>
          </w:p>
        </w:tc>
      </w:tr>
      <w:tr w:rsidR="007F332A" w:rsidRPr="00807DAF" w14:paraId="311BEF1B" w14:textId="77777777" w:rsidTr="00DF6F65">
        <w:tc>
          <w:tcPr>
            <w:tcW w:w="8472" w:type="dxa"/>
          </w:tcPr>
          <w:p w14:paraId="4001FE32" w14:textId="77777777" w:rsidR="007F332A" w:rsidRPr="00E94A3D" w:rsidRDefault="007F332A" w:rsidP="007F332A">
            <w:pPr>
              <w:spacing w:before="120" w:after="120"/>
              <w:ind w:left="340" w:hanging="340"/>
              <w:rPr>
                <w:szCs w:val="22"/>
              </w:rPr>
            </w:pPr>
            <w:r w:rsidRPr="00E94A3D">
              <w:rPr>
                <w:noProof/>
                <w:szCs w:val="22"/>
              </w:rPr>
              <w:t>5.1. Is the action likely to have a tangible impact on its target groups?</w:t>
            </w:r>
          </w:p>
        </w:tc>
        <w:tc>
          <w:tcPr>
            <w:tcW w:w="1275" w:type="dxa"/>
          </w:tcPr>
          <w:p w14:paraId="2781941D"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7569A7CE" w14:textId="77777777" w:rsidTr="00DF6F65">
        <w:tc>
          <w:tcPr>
            <w:tcW w:w="8472" w:type="dxa"/>
          </w:tcPr>
          <w:p w14:paraId="17B0BF18" w14:textId="77777777" w:rsidR="007F332A" w:rsidRPr="00E94A3D" w:rsidRDefault="007F332A" w:rsidP="007F332A">
            <w:pPr>
              <w:spacing w:before="120" w:after="120"/>
              <w:ind w:left="340" w:hanging="340"/>
              <w:rPr>
                <w:szCs w:val="22"/>
              </w:rPr>
            </w:pPr>
            <w:r w:rsidRPr="00E94A3D">
              <w:rPr>
                <w:noProof/>
                <w:szCs w:val="22"/>
              </w:rPr>
              <w:t>5.2. Is the action likely to have multiplier effects, including scope for replication, extension capitalisation on experience and knowledge sharing?</w:t>
            </w:r>
          </w:p>
        </w:tc>
        <w:tc>
          <w:tcPr>
            <w:tcW w:w="1275" w:type="dxa"/>
          </w:tcPr>
          <w:p w14:paraId="729FBEDA"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7B089279" w14:textId="77777777" w:rsidTr="00DF6F65">
        <w:tc>
          <w:tcPr>
            <w:tcW w:w="8472" w:type="dxa"/>
          </w:tcPr>
          <w:p w14:paraId="7157785A" w14:textId="77777777" w:rsidR="007F332A" w:rsidRPr="00E94A3D" w:rsidRDefault="007F332A" w:rsidP="007F332A">
            <w:pPr>
              <w:spacing w:before="120" w:after="120"/>
              <w:ind w:left="340" w:hanging="340"/>
              <w:rPr>
                <w:szCs w:val="22"/>
              </w:rPr>
            </w:pPr>
            <w:r w:rsidRPr="00E94A3D">
              <w:rPr>
                <w:noProof/>
                <w:szCs w:val="22"/>
              </w:rPr>
              <w:t>5.3. Are the expected results of the proposed action sustainable?- Financially (e.g. financing of follow-up activities, sources of revenue for covering all future operating and maintenance costs)- Institutionally (will structures allow the results of the action to be sustained at the end of the action? Will there be local ‘ownership’ of the results of the action?)- At policy level (where applicable) (what will be the structural impact of the action — e.g. improved legislation, codes of conduct, methods) - Environmentally (if applicable) (will the action have a negative/positive environmental impact?)</w:t>
            </w:r>
          </w:p>
        </w:tc>
        <w:tc>
          <w:tcPr>
            <w:tcW w:w="1275" w:type="dxa"/>
          </w:tcPr>
          <w:p w14:paraId="43B111E7"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3D3F51A8" w14:textId="77777777" w:rsidTr="00F254E7">
        <w:tc>
          <w:tcPr>
            <w:tcW w:w="8472" w:type="dxa"/>
            <w:shd w:val="clear" w:color="auto" w:fill="E5E5E5"/>
            <w:vAlign w:val="center"/>
          </w:tcPr>
          <w:p w14:paraId="12E817B5" w14:textId="77777777" w:rsidR="007F332A" w:rsidRPr="00E94A3D" w:rsidRDefault="007F332A" w:rsidP="007F332A">
            <w:pPr>
              <w:rPr>
                <w:szCs w:val="22"/>
              </w:rPr>
            </w:pPr>
            <w:r w:rsidRPr="00E94A3D">
              <w:rPr>
                <w:szCs w:val="22"/>
              </w:rPr>
              <w:br w:type="page"/>
            </w:r>
            <w:r w:rsidR="00C8195B">
              <w:rPr>
                <w:b/>
                <w:szCs w:val="22"/>
              </w:rPr>
              <w:t>6</w:t>
            </w:r>
            <w:r w:rsidRPr="00E94A3D">
              <w:rPr>
                <w:b/>
                <w:szCs w:val="22"/>
              </w:rPr>
              <w:t xml:space="preserve">. </w:t>
            </w:r>
            <w:r>
              <w:rPr>
                <w:b/>
                <w:noProof/>
                <w:szCs w:val="22"/>
              </w:rPr>
              <w:t>Budget and cost-effectiveness of the action</w:t>
            </w:r>
          </w:p>
        </w:tc>
        <w:tc>
          <w:tcPr>
            <w:tcW w:w="1275" w:type="dxa"/>
            <w:shd w:val="clear" w:color="auto" w:fill="E5E5E5"/>
            <w:vAlign w:val="center"/>
          </w:tcPr>
          <w:p w14:paraId="6CE23605" w14:textId="77777777" w:rsidR="007F332A" w:rsidRPr="00E94A3D" w:rsidRDefault="007F332A" w:rsidP="00DF6F65">
            <w:pPr>
              <w:spacing w:before="120" w:after="120"/>
              <w:jc w:val="center"/>
              <w:rPr>
                <w:b/>
                <w:szCs w:val="22"/>
              </w:rPr>
            </w:pPr>
            <w:r>
              <w:rPr>
                <w:b/>
                <w:noProof/>
                <w:szCs w:val="22"/>
              </w:rPr>
              <w:t>15</w:t>
            </w:r>
          </w:p>
        </w:tc>
      </w:tr>
      <w:tr w:rsidR="007F332A" w:rsidRPr="00807DAF" w14:paraId="005A1C07" w14:textId="77777777" w:rsidTr="00DF6F65">
        <w:tc>
          <w:tcPr>
            <w:tcW w:w="8472" w:type="dxa"/>
          </w:tcPr>
          <w:p w14:paraId="412C6CFA" w14:textId="77777777" w:rsidR="007F332A" w:rsidRPr="00E94A3D" w:rsidRDefault="007F332A" w:rsidP="00DF6F65">
            <w:pPr>
              <w:spacing w:before="120" w:after="120"/>
              <w:ind w:left="340" w:hanging="340"/>
              <w:rPr>
                <w:szCs w:val="22"/>
              </w:rPr>
            </w:pPr>
            <w:r>
              <w:rPr>
                <w:noProof/>
                <w:szCs w:val="22"/>
              </w:rPr>
              <w:t>6.1. Are the activities appropriately reflected in the budget?</w:t>
            </w:r>
          </w:p>
        </w:tc>
        <w:tc>
          <w:tcPr>
            <w:tcW w:w="1275" w:type="dxa"/>
          </w:tcPr>
          <w:p w14:paraId="605D8F94" w14:textId="77777777" w:rsidR="007F332A" w:rsidRPr="00E94A3D" w:rsidRDefault="007F332A" w:rsidP="00DF6F65">
            <w:pPr>
              <w:spacing w:before="120" w:after="120"/>
              <w:jc w:val="center"/>
              <w:rPr>
                <w:szCs w:val="22"/>
              </w:rPr>
            </w:pPr>
            <w:r>
              <w:rPr>
                <w:noProof/>
                <w:szCs w:val="22"/>
              </w:rPr>
              <w:t>5</w:t>
            </w:r>
          </w:p>
        </w:tc>
      </w:tr>
      <w:tr w:rsidR="007F332A" w:rsidRPr="00807DAF" w14:paraId="346D0173" w14:textId="77777777" w:rsidTr="00DF6F65">
        <w:tc>
          <w:tcPr>
            <w:tcW w:w="8472" w:type="dxa"/>
          </w:tcPr>
          <w:p w14:paraId="1BF1E44E" w14:textId="77777777" w:rsidR="007F332A" w:rsidRPr="00E94A3D" w:rsidRDefault="007F332A" w:rsidP="00DF6F65">
            <w:pPr>
              <w:spacing w:before="120" w:after="120"/>
              <w:ind w:left="340" w:hanging="340"/>
              <w:rPr>
                <w:szCs w:val="22"/>
              </w:rPr>
            </w:pPr>
            <w:r>
              <w:rPr>
                <w:noProof/>
                <w:szCs w:val="22"/>
              </w:rPr>
              <w:t>6.2. Is the ratio between the estimated costs and the expected results satisfactory?</w:t>
            </w:r>
          </w:p>
        </w:tc>
        <w:tc>
          <w:tcPr>
            <w:tcW w:w="1275" w:type="dxa"/>
          </w:tcPr>
          <w:p w14:paraId="29D03AD0" w14:textId="77777777" w:rsidR="007F332A" w:rsidRPr="00E94A3D" w:rsidRDefault="007F332A" w:rsidP="00DF6F65">
            <w:pPr>
              <w:spacing w:before="120" w:after="120"/>
              <w:jc w:val="center"/>
              <w:rPr>
                <w:szCs w:val="22"/>
              </w:rPr>
            </w:pPr>
            <w:r>
              <w:rPr>
                <w:noProof/>
                <w:szCs w:val="22"/>
              </w:rPr>
              <w:t>5x2**</w:t>
            </w:r>
          </w:p>
        </w:tc>
      </w:tr>
      <w:tr w:rsidR="007F332A" w:rsidRPr="00807DAF" w14:paraId="6E245D33" w14:textId="77777777" w:rsidTr="00DF6F65">
        <w:tc>
          <w:tcPr>
            <w:tcW w:w="8472" w:type="dxa"/>
            <w:shd w:val="pct10" w:color="auto" w:fill="FFFFFF"/>
            <w:vAlign w:val="center"/>
          </w:tcPr>
          <w:p w14:paraId="54DD61FB" w14:textId="77777777" w:rsidR="007F332A" w:rsidRPr="00E94A3D" w:rsidRDefault="007F332A" w:rsidP="00DF6F65">
            <w:pPr>
              <w:rPr>
                <w:b/>
                <w:szCs w:val="22"/>
              </w:rPr>
            </w:pPr>
            <w:r w:rsidRPr="00E94A3D">
              <w:rPr>
                <w:b/>
                <w:szCs w:val="22"/>
              </w:rPr>
              <w:t>Maximum total score</w:t>
            </w:r>
          </w:p>
        </w:tc>
        <w:tc>
          <w:tcPr>
            <w:tcW w:w="1275" w:type="dxa"/>
            <w:shd w:val="pct10" w:color="auto" w:fill="FFFFFF"/>
            <w:vAlign w:val="center"/>
          </w:tcPr>
          <w:p w14:paraId="4C04C5C8" w14:textId="77777777" w:rsidR="007F332A" w:rsidRPr="00E94A3D" w:rsidRDefault="007F332A" w:rsidP="007F332A">
            <w:pPr>
              <w:keepNext/>
              <w:spacing w:before="120" w:after="120"/>
              <w:jc w:val="center"/>
              <w:rPr>
                <w:b/>
                <w:szCs w:val="22"/>
              </w:rPr>
            </w:pPr>
            <w:r w:rsidRPr="00E94A3D">
              <w:rPr>
                <w:b/>
                <w:noProof/>
                <w:szCs w:val="22"/>
              </w:rPr>
              <w:t>100</w:t>
            </w:r>
          </w:p>
        </w:tc>
      </w:tr>
    </w:tbl>
    <w:p w14:paraId="04185BAD" w14:textId="77777777" w:rsidR="0086780C" w:rsidRDefault="005B7EA6" w:rsidP="007F332A">
      <w:pPr>
        <w:pStyle w:val="Caption"/>
      </w:pPr>
      <w:r w:rsidRPr="005B7EA6">
        <w:t>**: this score is multiplied by 2 because of its importance</w:t>
      </w:r>
    </w:p>
    <w:p w14:paraId="3581AFEC" w14:textId="77777777" w:rsidR="00F248A3" w:rsidRDefault="00F248A3" w:rsidP="006F280A">
      <w:r w:rsidRPr="00807DAF">
        <w:t xml:space="preserve">If the </w:t>
      </w:r>
      <w:r w:rsidR="00281295" w:rsidRPr="00807DAF">
        <w:t xml:space="preserve">total score for </w:t>
      </w:r>
      <w:r w:rsidR="00853E40">
        <w:t>S</w:t>
      </w:r>
      <w:r w:rsidR="00281295" w:rsidRPr="00807DAF">
        <w:t xml:space="preserve">ection 1 </w:t>
      </w:r>
      <w:r w:rsidR="0086780C">
        <w:t xml:space="preserve">(financial and operational capacity) </w:t>
      </w:r>
      <w:r w:rsidR="00281295" w:rsidRPr="00807DAF">
        <w:t>is less than 12 points</w:t>
      </w:r>
      <w:r w:rsidR="00B10F3E" w:rsidRPr="00807DAF">
        <w:t>,</w:t>
      </w:r>
      <w:r w:rsidRPr="00807DAF">
        <w:t xml:space="preserve"> the application will be rejected.</w:t>
      </w:r>
      <w:r w:rsidR="00281295" w:rsidRPr="00807DAF">
        <w:t xml:space="preserve"> If the score for at least one of the subsections under </w:t>
      </w:r>
      <w:r w:rsidR="00853E40">
        <w:t>S</w:t>
      </w:r>
      <w:r w:rsidR="00281295" w:rsidRPr="00807DAF">
        <w:t>ection 1 is 1, the application will also be rejected.</w:t>
      </w:r>
    </w:p>
    <w:p w14:paraId="4B46D3CA" w14:textId="77777777" w:rsidR="00B975FF" w:rsidRPr="00807DAF" w:rsidRDefault="00B975FF" w:rsidP="006F280A">
      <w:r>
        <w:t xml:space="preserve">If the lead applicant applies without co-applicants or affiliated entities the score for point </w:t>
      </w:r>
      <w:r w:rsidR="00520145">
        <w:t>4</w:t>
      </w:r>
      <w:r w:rsidR="00F21DAD">
        <w:t>.3</w:t>
      </w:r>
      <w:r>
        <w:t xml:space="preserve"> shall be 5 unless the involvement of co-applicants or affiliated entities is mandatory according to these guidelines for applicants.  </w:t>
      </w:r>
    </w:p>
    <w:p w14:paraId="7737CB2A" w14:textId="77777777" w:rsidR="00ED5802" w:rsidRPr="00807DAF" w:rsidRDefault="00ED5802" w:rsidP="006F280A">
      <w:pPr>
        <w:rPr>
          <w:i/>
        </w:rPr>
      </w:pPr>
      <w:r w:rsidRPr="00807DAF">
        <w:rPr>
          <w:i/>
        </w:rPr>
        <w:t>Provisional selection</w:t>
      </w:r>
    </w:p>
    <w:p w14:paraId="327A01D8" w14:textId="77777777" w:rsidR="00ED5802" w:rsidRPr="00807DAF" w:rsidRDefault="008F3758" w:rsidP="006F280A">
      <w:r w:rsidRPr="00807DAF">
        <w:t xml:space="preserve">After </w:t>
      </w:r>
      <w:r w:rsidR="00ED5802" w:rsidRPr="00807DAF">
        <w:t xml:space="preserve">the evaluation, a table </w:t>
      </w:r>
      <w:r w:rsidRPr="00807DAF">
        <w:t xml:space="preserve">will be drawn up </w:t>
      </w:r>
      <w:r w:rsidR="00ED5802" w:rsidRPr="00807DAF">
        <w:t xml:space="preserve">listing the </w:t>
      </w:r>
      <w:r w:rsidR="006459C5" w:rsidRPr="00807DAF">
        <w:t>application</w:t>
      </w:r>
      <w:r w:rsidR="00ED5802" w:rsidRPr="00807DAF">
        <w:t>s ranked according to their score</w:t>
      </w:r>
      <w:r w:rsidR="0086780C">
        <w:t>.</w:t>
      </w:r>
      <w:r w:rsidR="00ED5802" w:rsidRPr="00807DAF">
        <w:t xml:space="preserve"> </w:t>
      </w:r>
      <w:r w:rsidR="0086780C">
        <w:t xml:space="preserve">The highest scoring applications will be provisionally selected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r w:rsidR="004113FC" w:rsidRPr="00807DAF">
        <w:t xml:space="preserve">will be drawn up </w:t>
      </w:r>
      <w:r w:rsidR="00ED5802" w:rsidRPr="00807DAF">
        <w:t>following the same criteria</w:t>
      </w:r>
      <w:r w:rsidR="002A1D7C">
        <w:t>.</w:t>
      </w:r>
      <w:r w:rsidR="004113FC" w:rsidRPr="00807DAF">
        <w:t xml:space="preserve"> </w:t>
      </w:r>
      <w:r w:rsidR="002A1D7C">
        <w:t xml:space="preserve">This list will be </w:t>
      </w:r>
      <w:r w:rsidR="004113FC" w:rsidRPr="00807DAF">
        <w:t>used if more funds become available during the validity period of the reserve list</w:t>
      </w:r>
      <w:r w:rsidR="00ED5802" w:rsidRPr="00807DAF">
        <w:t>.</w:t>
      </w:r>
    </w:p>
    <w:p w14:paraId="0DA5916A" w14:textId="77777777" w:rsidR="00F20A9C" w:rsidRPr="00807DAF" w:rsidRDefault="00267E4F" w:rsidP="000E75FE">
      <w:pPr>
        <w:numPr>
          <w:ilvl w:val="0"/>
          <w:numId w:val="20"/>
        </w:numPr>
        <w:tabs>
          <w:tab w:val="left" w:pos="426"/>
        </w:tabs>
        <w:spacing w:before="240"/>
        <w:ind w:left="1418" w:hanging="1418"/>
        <w:jc w:val="left"/>
        <w:rPr>
          <w:b/>
          <w:sz w:val="24"/>
          <w:szCs w:val="24"/>
        </w:rPr>
      </w:pPr>
      <w:r w:rsidRPr="00807DAF">
        <w:rPr>
          <w:b/>
          <w:sz w:val="24"/>
          <w:szCs w:val="24"/>
        </w:rPr>
        <w:br w:type="page"/>
      </w:r>
      <w:r w:rsidR="00F20A9C" w:rsidRPr="00807DAF">
        <w:rPr>
          <w:b/>
          <w:sz w:val="24"/>
          <w:szCs w:val="24"/>
        </w:rPr>
        <w:t xml:space="preserve">STEP </w:t>
      </w:r>
      <w:r w:rsidR="00B66332" w:rsidRPr="00807DAF">
        <w:rPr>
          <w:b/>
          <w:sz w:val="24"/>
          <w:szCs w:val="24"/>
        </w:rPr>
        <w:t>3</w:t>
      </w:r>
      <w:r w:rsidR="00F20A9C" w:rsidRPr="00807DAF">
        <w:rPr>
          <w:b/>
          <w:sz w:val="24"/>
          <w:szCs w:val="24"/>
        </w:rPr>
        <w:t>:</w:t>
      </w:r>
      <w:r w:rsidR="007C4C56" w:rsidRPr="00807DAF">
        <w:rPr>
          <w:b/>
          <w:sz w:val="24"/>
          <w:szCs w:val="24"/>
        </w:rPr>
        <w:tab/>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807DAF">
        <w:rPr>
          <w:b/>
          <w:sz w:val="24"/>
          <w:szCs w:val="24"/>
        </w:rPr>
        <w:t>AFFILIATED ENTITY(IES)</w:t>
      </w:r>
    </w:p>
    <w:p w14:paraId="23C85019" w14:textId="77777777" w:rsidR="00F20A9C" w:rsidRPr="00807DAF" w:rsidRDefault="006C1232" w:rsidP="006F280A">
      <w:r w:rsidRPr="00807DAF">
        <w:t>T</w:t>
      </w:r>
      <w:r w:rsidR="00F20A9C" w:rsidRPr="00807DAF">
        <w:t>he eligibility verification</w:t>
      </w:r>
      <w:r w:rsidR="00E43789">
        <w:t xml:space="preserve"> will be performed on the basis of </w:t>
      </w:r>
      <w:r w:rsidR="0087633A" w:rsidRPr="00807DAF">
        <w:t xml:space="preserve">the supporting documents requested </w:t>
      </w:r>
      <w:r w:rsidR="006D1FC0" w:rsidRPr="00807DAF">
        <w:t xml:space="preserve">by </w:t>
      </w:r>
      <w:r w:rsidR="0087633A" w:rsidRPr="00807DAF">
        <w:t xml:space="preserve">the </w:t>
      </w:r>
      <w:r w:rsidR="00A11755">
        <w:t>c</w:t>
      </w:r>
      <w:r w:rsidR="0087633A" w:rsidRPr="00807DAF">
        <w:t xml:space="preserve">ontracting </w:t>
      </w:r>
      <w:r w:rsidR="00A11755">
        <w:t>a</w:t>
      </w:r>
      <w:r w:rsidR="0087633A" w:rsidRPr="00807DAF">
        <w:t xml:space="preserve">uthority (see </w:t>
      </w:r>
      <w:r w:rsidR="00A11755">
        <w:t>S</w:t>
      </w:r>
      <w:r w:rsidR="00896ECA" w:rsidRPr="00807DAF">
        <w:t>ection</w:t>
      </w:r>
      <w:r w:rsidR="00ED5802" w:rsidRPr="00807DAF">
        <w:t xml:space="preserve"> </w:t>
      </w:r>
      <w:r w:rsidR="0087633A" w:rsidRPr="00807DAF">
        <w:t>2.4)</w:t>
      </w:r>
      <w:r w:rsidR="00E43789">
        <w:t>. It</w:t>
      </w:r>
      <w:r w:rsidR="00F20A9C" w:rsidRPr="00807DAF">
        <w:t xml:space="preserve"> will </w:t>
      </w:r>
      <w:r w:rsidR="000E2AF6">
        <w:t xml:space="preserve">by default </w:t>
      </w:r>
      <w:r w:rsidR="00F20A9C" w:rsidRPr="00807DAF">
        <w:rPr>
          <w:u w:val="single"/>
        </w:rPr>
        <w:t>only</w:t>
      </w:r>
      <w:r w:rsidR="00F20A9C" w:rsidRPr="00807DAF">
        <w:t xml:space="preserve"> be performed for the </w:t>
      </w:r>
      <w:r w:rsidR="00577465" w:rsidRPr="00807DAF">
        <w:t xml:space="preserve">applications </w:t>
      </w:r>
      <w:r w:rsidRPr="00807DAF">
        <w:t xml:space="preserve">that have been </w:t>
      </w:r>
      <w:r w:rsidR="0049630B" w:rsidRPr="00807DAF">
        <w:t>provisionally</w:t>
      </w:r>
      <w:r w:rsidR="009C1C8B" w:rsidRPr="00807DAF">
        <w:t xml:space="preserve"> </w:t>
      </w:r>
      <w:r w:rsidR="007A3169" w:rsidRPr="00807DAF">
        <w:t>selected</w:t>
      </w:r>
      <w:r w:rsidRPr="00807DAF">
        <w:t xml:space="preserve"> according to their score and within the available </w:t>
      </w:r>
      <w:r w:rsidR="00E43789">
        <w:t>budget for this call for proposals</w:t>
      </w:r>
      <w:r w:rsidRPr="00807DAF">
        <w:t xml:space="preserve">. </w:t>
      </w:r>
    </w:p>
    <w:p w14:paraId="56B59896" w14:textId="77777777" w:rsidR="00FC4EAA" w:rsidRPr="00807DAF" w:rsidRDefault="007A3169" w:rsidP="000E75FE">
      <w:pPr>
        <w:numPr>
          <w:ilvl w:val="0"/>
          <w:numId w:val="24"/>
        </w:numPr>
      </w:pPr>
      <w:r w:rsidRPr="00807DAF">
        <w:t xml:space="preserve">The </w:t>
      </w:r>
      <w:r w:rsidR="00717ADB">
        <w:t>d</w:t>
      </w:r>
      <w:r w:rsidR="007F1763" w:rsidRPr="00807DAF">
        <w:t>eclaration</w:t>
      </w:r>
      <w:r w:rsidRPr="00807DAF">
        <w:t xml:space="preserve"> by the </w:t>
      </w:r>
      <w:r w:rsidR="00504963">
        <w:t>lead a</w:t>
      </w:r>
      <w:r w:rsidRPr="00807DAF">
        <w:t>pplicant (</w:t>
      </w:r>
      <w:r w:rsidR="00A11755">
        <w:t>S</w:t>
      </w:r>
      <w:r w:rsidRPr="00807DAF">
        <w:t xml:space="preserve">ection </w:t>
      </w:r>
      <w:r w:rsidR="00E92E8A">
        <w:t>5</w:t>
      </w:r>
      <w:r w:rsidR="00B971F7" w:rsidRPr="00807DAF">
        <w:t xml:space="preserve"> </w:t>
      </w:r>
      <w:r w:rsidRPr="00807DAF">
        <w:t xml:space="preserve">of </w:t>
      </w:r>
      <w:r w:rsidR="00E92E8A">
        <w:t>Annex A.2</w:t>
      </w:r>
      <w:r w:rsidRPr="00807DAF">
        <w:t>) will be cross-</w:t>
      </w:r>
      <w:r w:rsidR="00CF3CC3" w:rsidRPr="00807DAF">
        <w:t xml:space="preserve">checked </w:t>
      </w:r>
      <w:r w:rsidRPr="00807DAF">
        <w:t xml:space="preserve">with the supporting documents provided by the </w:t>
      </w:r>
      <w:r w:rsidR="00504963">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717ADB">
        <w:t>d</w:t>
      </w:r>
      <w:r w:rsidR="00F20A9C" w:rsidRPr="00807DAF">
        <w:t xml:space="preserve">eclaration by the </w:t>
      </w:r>
      <w:r w:rsidR="00504963">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14:paraId="0FAB939A" w14:textId="77777777" w:rsidR="00FC4EAA" w:rsidRPr="00807DAF" w:rsidRDefault="0029175E" w:rsidP="000E75FE">
      <w:pPr>
        <w:numPr>
          <w:ilvl w:val="0"/>
          <w:numId w:val="24"/>
        </w:numPr>
      </w:pPr>
      <w:r w:rsidRPr="00807DAF">
        <w:t>T</w:t>
      </w:r>
      <w:r w:rsidR="007F45D1" w:rsidRPr="00807DAF">
        <w:t>he eligibility of</w:t>
      </w:r>
      <w:r w:rsidR="00FC4EAA" w:rsidRPr="00807DAF">
        <w:t xml:space="preserve"> applicant</w:t>
      </w:r>
      <w:r w:rsidR="009901E5" w:rsidRPr="00807DAF">
        <w:t>s</w:t>
      </w:r>
      <w:r w:rsidR="00E80733">
        <w:t xml:space="preserve"> and</w:t>
      </w:r>
      <w:r w:rsidR="00FC4EAA" w:rsidRPr="00807DAF">
        <w:t xml:space="preserve"> the </w:t>
      </w:r>
      <w:r w:rsidR="009901E5" w:rsidRPr="00807DAF">
        <w:t xml:space="preserve">affiliated </w:t>
      </w:r>
      <w:proofErr w:type="gramStart"/>
      <w:r w:rsidR="009901E5" w:rsidRPr="00807DAF">
        <w:t>entit</w:t>
      </w:r>
      <w:r w:rsidR="007D4CA7" w:rsidRPr="00807DAF">
        <w:t>y</w:t>
      </w:r>
      <w:r w:rsidR="009901E5" w:rsidRPr="00807DAF">
        <w:t>(</w:t>
      </w:r>
      <w:proofErr w:type="spellStart"/>
      <w:proofErr w:type="gramEnd"/>
      <w:r w:rsidR="009901E5" w:rsidRPr="00807DAF">
        <w:t>ies</w:t>
      </w:r>
      <w:proofErr w:type="spellEnd"/>
      <w:r w:rsidR="009901E5" w:rsidRPr="00807DAF">
        <w:t>)</w:t>
      </w:r>
      <w:r w:rsidR="00FC4EAA" w:rsidRPr="00807DAF">
        <w:t xml:space="preserve"> </w:t>
      </w:r>
      <w:r w:rsidR="007F45D1" w:rsidRPr="00807DAF">
        <w:t>will be verified</w:t>
      </w:r>
      <w:r w:rsidR="00FC4EAA" w:rsidRPr="00807DAF">
        <w:t xml:space="preserve"> according to the criteria set out in </w:t>
      </w:r>
      <w:r w:rsidR="00A11755">
        <w:t>S</w:t>
      </w:r>
      <w:r w:rsidR="00896ECA" w:rsidRPr="00807DAF">
        <w:t>ection</w:t>
      </w:r>
      <w:r w:rsidR="00FC4EAA" w:rsidRPr="00807DAF">
        <w:t xml:space="preserve"> 2.1.1</w:t>
      </w:r>
      <w:r w:rsidR="00CB450B">
        <w:t>.</w:t>
      </w:r>
    </w:p>
    <w:p w14:paraId="444A3E02" w14:textId="77777777" w:rsidR="005D7AF3" w:rsidRPr="00807DAF" w:rsidRDefault="008F3758" w:rsidP="006F280A">
      <w:r w:rsidRPr="00807DAF">
        <w:t>A</w:t>
      </w:r>
      <w:r w:rsidR="00CF3CC3" w:rsidRPr="00807DAF">
        <w:t xml:space="preserve">ny rejected </w:t>
      </w:r>
      <w:r w:rsidR="006459C5" w:rsidRPr="00807DAF">
        <w:t>application</w:t>
      </w:r>
      <w:r w:rsidR="005E65D9" w:rsidRPr="00807DAF">
        <w:t xml:space="preserve"> will be replaced by the next best placed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E43789">
        <w:t>budget for this call for proposals</w:t>
      </w:r>
      <w:r w:rsidR="00A214A2" w:rsidRPr="00807DAF">
        <w:t>.</w:t>
      </w:r>
      <w:bookmarkStart w:id="41" w:name="_Toc40507654"/>
    </w:p>
    <w:p w14:paraId="6F399C01" w14:textId="77777777" w:rsidR="0007408E" w:rsidRPr="00807DAF" w:rsidRDefault="005D7AF3" w:rsidP="000E75FE">
      <w:pPr>
        <w:pStyle w:val="Guidelines2"/>
        <w:numPr>
          <w:ilvl w:val="1"/>
          <w:numId w:val="9"/>
        </w:numPr>
      </w:pPr>
      <w:r w:rsidRPr="00807DAF">
        <w:br w:type="page"/>
      </w:r>
      <w:bookmarkStart w:id="42" w:name="_Toc74830965"/>
      <w:r w:rsidR="00B67806" w:rsidRPr="00807DAF">
        <w:t xml:space="preserve">Submission of supporting documents </w:t>
      </w:r>
      <w:bookmarkEnd w:id="41"/>
      <w:bookmarkEnd w:id="42"/>
    </w:p>
    <w:p w14:paraId="1022C4EF" w14:textId="77777777" w:rsidR="00C1046E" w:rsidRDefault="00C1046E" w:rsidP="006F280A">
      <w:r>
        <w:t>The lead applicant s</w:t>
      </w:r>
      <w:r w:rsidR="00C92A95">
        <w:t>hall</w:t>
      </w:r>
      <w:r>
        <w:t xml:space="preserve"> submit the documents listed in section 2.2.5.</w:t>
      </w:r>
    </w:p>
    <w:p w14:paraId="20E9ADF6" w14:textId="77777777" w:rsidR="00984331" w:rsidRPr="008503BC" w:rsidRDefault="00517845" w:rsidP="00BA6979">
      <w:pPr>
        <w:tabs>
          <w:tab w:val="left" w:pos="567"/>
          <w:tab w:val="left" w:pos="2126"/>
          <w:tab w:val="left" w:pos="2835"/>
        </w:tabs>
        <w:spacing w:before="120"/>
        <w:rPr>
          <w:szCs w:val="22"/>
        </w:rPr>
      </w:pPr>
      <w:r>
        <w:t>In addition, a</w:t>
      </w:r>
      <w:r w:rsidR="00504963">
        <w:t xml:space="preserve"> lead a</w:t>
      </w:r>
      <w:r w:rsidR="0007408E" w:rsidRPr="00807DAF">
        <w:t xml:space="preserve">pplicant </w:t>
      </w:r>
      <w:r w:rsidR="004B3788">
        <w:t xml:space="preserve">whose application has </w:t>
      </w:r>
      <w:r w:rsidR="00DE7018" w:rsidRPr="00807DAF">
        <w:t xml:space="preserve">been </w:t>
      </w:r>
      <w:r w:rsidR="001D5B79" w:rsidRPr="00807DAF">
        <w:t xml:space="preserve">provisionally </w:t>
      </w:r>
      <w:r w:rsidR="00DE7018" w:rsidRPr="00807DAF">
        <w:t xml:space="preserve">selected or </w:t>
      </w:r>
      <w:r w:rsidR="002379BB" w:rsidRPr="00807DAF">
        <w:t>placed on</w:t>
      </w:r>
      <w:r w:rsidR="00DE7018" w:rsidRPr="00807DAF">
        <w:t xml:space="preserve"> the reserve list </w:t>
      </w:r>
      <w:r w:rsidR="0007408E" w:rsidRPr="00807DAF">
        <w:t xml:space="preserve">will be informed in writing </w:t>
      </w:r>
      <w:r w:rsidR="00DE7018" w:rsidRPr="00807DAF">
        <w:t>by</w:t>
      </w:r>
      <w:r w:rsidR="0007408E" w:rsidRPr="00807DAF">
        <w:t xml:space="preserve"> the </w:t>
      </w:r>
      <w:r w:rsidR="00A11755">
        <w:t>c</w:t>
      </w:r>
      <w:r w:rsidR="0007408E" w:rsidRPr="00807DAF">
        <w:t xml:space="preserve">ontracting </w:t>
      </w:r>
      <w:r w:rsidR="00A11755">
        <w:t>a</w:t>
      </w:r>
      <w:r w:rsidR="00DE7018" w:rsidRPr="00807DAF">
        <w:t>uthority</w:t>
      </w:r>
      <w:r w:rsidR="009C1C8B" w:rsidRPr="00807DAF">
        <w:t xml:space="preserve">. </w:t>
      </w:r>
      <w:r w:rsidR="00725B7A" w:rsidRPr="00807DAF">
        <w:t xml:space="preserve">It </w:t>
      </w:r>
      <w:r w:rsidR="00DE7018" w:rsidRPr="00807DAF">
        <w:t xml:space="preserve">will be requested to supply the following documents </w:t>
      </w:r>
      <w:r w:rsidR="00C1046E">
        <w:t xml:space="preserve">via PROSPECT: </w:t>
      </w:r>
    </w:p>
    <w:p w14:paraId="3FC3857E" w14:textId="77777777" w:rsidR="00420D0B" w:rsidRPr="00BA6979" w:rsidRDefault="0041369D" w:rsidP="000E75FE">
      <w:pPr>
        <w:numPr>
          <w:ilvl w:val="6"/>
          <w:numId w:val="25"/>
        </w:numPr>
        <w:ind w:left="567"/>
        <w:rPr>
          <w:sz w:val="20"/>
          <w:szCs w:val="22"/>
        </w:rPr>
      </w:pPr>
      <w:r>
        <w:rPr>
          <w:szCs w:val="22"/>
        </w:rPr>
        <w:t xml:space="preserve">Declaration on honour: </w:t>
      </w:r>
      <w:r>
        <w:t>t</w:t>
      </w:r>
      <w:r w:rsidRPr="003660DB">
        <w:t xml:space="preserve">he lead applicant as well as all co-applicants and affiliated entities shall fill </w:t>
      </w:r>
      <w:r>
        <w:t xml:space="preserve">in </w:t>
      </w:r>
      <w:r w:rsidRPr="003660DB">
        <w:t xml:space="preserve">and sign the declaration on honour certifying that they are not in one of the exclusion situations (see Section 2.6.10.1 of the </w:t>
      </w:r>
      <w:proofErr w:type="spellStart"/>
      <w:r w:rsidRPr="003660DB">
        <w:t>PRAG</w:t>
      </w:r>
      <w:proofErr w:type="spellEnd"/>
      <w:r w:rsidRPr="003660DB">
        <w:t>)</w:t>
      </w:r>
      <w:r>
        <w:t xml:space="preserve"> where the amount of the grant exceeds EUR 15 000</w:t>
      </w:r>
      <w:r w:rsidRPr="003660DB">
        <w:t>.</w:t>
      </w:r>
      <w:r>
        <w:t xml:space="preserve"> </w:t>
      </w:r>
      <w:r w:rsidR="00420D0B">
        <w:t>Please note that the declaration on honour should be submitted via PROSPECT.</w:t>
      </w:r>
    </w:p>
    <w:p w14:paraId="4AE5056B" w14:textId="77777777" w:rsidR="00C92A95" w:rsidRPr="00853981" w:rsidRDefault="00420D0B" w:rsidP="000E75FE">
      <w:pPr>
        <w:numPr>
          <w:ilvl w:val="6"/>
          <w:numId w:val="25"/>
        </w:numPr>
        <w:ind w:left="567"/>
      </w:pPr>
      <w:r w:rsidRPr="00420D0B">
        <w:rPr>
          <w:szCs w:val="22"/>
        </w:rPr>
        <w:t xml:space="preserve">Self-evaluation questionnaire on SEA-H: the lead applicant as well as all co-applicants and affiliated entities shall fill in the self-evaluation questionnaire assessing the organisation’s internal policy and procedure against sexual exploitation, abuse and harassment (SEA-H) (Annex L) where the amount of grant exceeds EUR 60 000 (see Section 2.5.6 of the </w:t>
      </w:r>
      <w:proofErr w:type="spellStart"/>
      <w:r w:rsidRPr="00420D0B">
        <w:rPr>
          <w:szCs w:val="22"/>
        </w:rPr>
        <w:t>PRAG</w:t>
      </w:r>
      <w:proofErr w:type="spellEnd"/>
      <w:r w:rsidRPr="00420D0B">
        <w:rPr>
          <w:szCs w:val="22"/>
        </w:rPr>
        <w:t>)</w:t>
      </w:r>
      <w:r w:rsidR="000030E5">
        <w:rPr>
          <w:rStyle w:val="FootnoteReference"/>
          <w:szCs w:val="22"/>
        </w:rPr>
        <w:footnoteReference w:id="19"/>
      </w:r>
      <w:r w:rsidRPr="00420D0B">
        <w:rPr>
          <w:szCs w:val="22"/>
        </w:rPr>
        <w:t xml:space="preserve">. Please note that the self-evaluation questionnaire on SEA-H should be submitted via </w:t>
      </w:r>
      <w:proofErr w:type="spellStart"/>
      <w:r w:rsidRPr="00420D0B">
        <w:rPr>
          <w:szCs w:val="22"/>
        </w:rPr>
        <w:t>PADOR</w:t>
      </w:r>
      <w:proofErr w:type="spellEnd"/>
      <w:r w:rsidRPr="00420D0B">
        <w:rPr>
          <w:szCs w:val="22"/>
        </w:rPr>
        <w:t xml:space="preserve">. </w:t>
      </w:r>
    </w:p>
    <w:p w14:paraId="5DB6A7A3" w14:textId="77777777" w:rsidR="00517845" w:rsidRDefault="00517845" w:rsidP="00984331">
      <w:pPr>
        <w:rPr>
          <w:szCs w:val="22"/>
        </w:rPr>
      </w:pPr>
      <w:r w:rsidRPr="00517845">
        <w:rPr>
          <w:szCs w:val="22"/>
        </w:rPr>
        <w:t>If it is impossible for the lead applicants to supply the abovementioned documents via PROSPECT</w:t>
      </w:r>
      <w:r w:rsidR="00420D0B">
        <w:rPr>
          <w:szCs w:val="22"/>
        </w:rPr>
        <w:t xml:space="preserve"> or </w:t>
      </w:r>
      <w:proofErr w:type="spellStart"/>
      <w:r w:rsidR="00420D0B">
        <w:rPr>
          <w:szCs w:val="22"/>
        </w:rPr>
        <w:t>PADOR</w:t>
      </w:r>
      <w:proofErr w:type="spellEnd"/>
      <w:r w:rsidRPr="00517845">
        <w:rPr>
          <w:szCs w:val="22"/>
        </w:rPr>
        <w:t xml:space="preserve"> for technical reasons, they must submit the requested supporting documents in a sealed envelope by registered mail, private courier service or by hand-delivery to the postal address described in section</w:t>
      </w:r>
      <w:r>
        <w:rPr>
          <w:szCs w:val="22"/>
        </w:rPr>
        <w:t>s 2.2.2 and 2.2.6</w:t>
      </w:r>
      <w:r w:rsidRPr="00517845">
        <w:rPr>
          <w:szCs w:val="22"/>
        </w:rPr>
        <w:t xml:space="preserve"> and according to the instructions therein.  </w:t>
      </w:r>
    </w:p>
    <w:p w14:paraId="0B360274" w14:textId="77777777" w:rsidR="00DB5567" w:rsidRPr="00807DAF" w:rsidRDefault="008B3646" w:rsidP="00984331">
      <w:pPr>
        <w:rPr>
          <w:szCs w:val="22"/>
        </w:rPr>
      </w:pPr>
      <w:r w:rsidRPr="00807DAF">
        <w:rPr>
          <w:szCs w:val="22"/>
        </w:rPr>
        <w:t xml:space="preserve">After </w:t>
      </w:r>
      <w:r w:rsidR="00DB5567" w:rsidRPr="00807DAF">
        <w:rPr>
          <w:szCs w:val="22"/>
        </w:rPr>
        <w:t>verif</w:t>
      </w:r>
      <w:r w:rsidRPr="00807DAF">
        <w:rPr>
          <w:szCs w:val="22"/>
        </w:rPr>
        <w:t>ying</w:t>
      </w:r>
      <w:r w:rsidR="00DB5567" w:rsidRPr="00807DAF">
        <w:rPr>
          <w:szCs w:val="22"/>
        </w:rPr>
        <w:t xml:space="preserve"> the supporting documents</w:t>
      </w:r>
      <w:r w:rsidRPr="00807DAF">
        <w:rPr>
          <w:szCs w:val="22"/>
        </w:rPr>
        <w:t>,</w:t>
      </w:r>
      <w:r w:rsidR="00DB5567" w:rsidRPr="00807DAF">
        <w:rPr>
          <w:szCs w:val="22"/>
        </w:rPr>
        <w:t xml:space="preserve"> the </w:t>
      </w:r>
      <w:r w:rsidR="00F65B55">
        <w:rPr>
          <w:szCs w:val="22"/>
        </w:rPr>
        <w:t>e</w:t>
      </w:r>
      <w:r w:rsidR="00DB5567" w:rsidRPr="00807DAF">
        <w:rPr>
          <w:szCs w:val="22"/>
        </w:rPr>
        <w:t xml:space="preserve">valuation </w:t>
      </w:r>
      <w:r w:rsidR="00F65B55">
        <w:rPr>
          <w:szCs w:val="22"/>
        </w:rPr>
        <w:t>c</w:t>
      </w:r>
      <w:r w:rsidR="00DB5567" w:rsidRPr="00807DAF">
        <w:rPr>
          <w:szCs w:val="22"/>
        </w:rPr>
        <w:t xml:space="preserve">ommittee will make a final recommendation to the </w:t>
      </w:r>
      <w:r w:rsidR="00A33874">
        <w:rPr>
          <w:szCs w:val="22"/>
        </w:rPr>
        <w:t>c</w:t>
      </w:r>
      <w:r w:rsidR="00DB5567" w:rsidRPr="00807DAF">
        <w:rPr>
          <w:szCs w:val="22"/>
        </w:rPr>
        <w:t xml:space="preserve">ontracting </w:t>
      </w:r>
      <w:r w:rsidR="00A33874">
        <w:rPr>
          <w:szCs w:val="22"/>
        </w:rPr>
        <w:t>a</w:t>
      </w:r>
      <w:r w:rsidR="00DB5567" w:rsidRPr="00807DAF">
        <w:rPr>
          <w:szCs w:val="22"/>
        </w:rPr>
        <w:t>uthority</w:t>
      </w:r>
      <w:r w:rsidRPr="00807DAF">
        <w:rPr>
          <w:szCs w:val="22"/>
        </w:rPr>
        <w:t>,</w:t>
      </w:r>
      <w:r w:rsidR="00DB5567" w:rsidRPr="00807DAF">
        <w:rPr>
          <w:szCs w:val="22"/>
        </w:rPr>
        <w:t xml:space="preserve"> which will decide on the award of grants.</w:t>
      </w:r>
    </w:p>
    <w:p w14:paraId="3208D756" w14:textId="77777777" w:rsidR="001E10DA" w:rsidRPr="00807DAF" w:rsidRDefault="001E10DA" w:rsidP="002D4ACD">
      <w:pPr>
        <w:ind w:left="567" w:hanging="567"/>
        <w:rPr>
          <w:szCs w:val="22"/>
        </w:rPr>
      </w:pPr>
      <w:r w:rsidRPr="00807DAF">
        <w:t>NB</w:t>
      </w:r>
      <w:r w:rsidR="007C4C56" w:rsidRPr="00807DAF">
        <w:t>:</w:t>
      </w:r>
      <w:r w:rsidR="007C4C56" w:rsidRPr="00807DAF">
        <w:tab/>
      </w:r>
      <w:r w:rsidRPr="00807DAF">
        <w:t xml:space="preserve">In the eventuality that the </w:t>
      </w:r>
      <w:r w:rsidR="00A33874">
        <w:t>c</w:t>
      </w:r>
      <w:r w:rsidRPr="00807DAF">
        <w:t xml:space="preserve">ontracting </w:t>
      </w:r>
      <w:r w:rsidR="00A33874">
        <w:t>a</w:t>
      </w:r>
      <w:r w:rsidRPr="00807DAF">
        <w:t xml:space="preserve">uthority is not satisfied with the strength, solidity, and guarantee offered by the </w:t>
      </w:r>
      <w:r w:rsidR="00991F51" w:rsidRPr="00807DAF">
        <w:t>structural</w:t>
      </w:r>
      <w:r w:rsidRPr="00807DAF">
        <w:t xml:space="preserve"> link between one of the applicants and its affiliated entity, it can require the submission of the missing documents allowing for its conversion into co-applicant.</w:t>
      </w:r>
      <w:r w:rsidR="00154428" w:rsidRPr="00807DAF">
        <w:t xml:space="preserve"> If all the missing documents for co-applicants are submitted, and provided all necessary eligibility criteria are fulfilled, the above mentioned entity becomes a co-applicant for all purposes. The </w:t>
      </w:r>
      <w:r w:rsidR="00E80733">
        <w:t>lead a</w:t>
      </w:r>
      <w:r w:rsidR="00154428" w:rsidRPr="00807DAF">
        <w:t>pplicant has to submit the application form revised accordingly.</w:t>
      </w:r>
    </w:p>
    <w:p w14:paraId="1839C4C1" w14:textId="77777777" w:rsidR="009348D1" w:rsidRPr="00807DAF" w:rsidRDefault="00B67806" w:rsidP="000E75FE">
      <w:pPr>
        <w:pStyle w:val="Guidelines2"/>
        <w:numPr>
          <w:ilvl w:val="1"/>
          <w:numId w:val="9"/>
        </w:numPr>
      </w:pPr>
      <w:bookmarkStart w:id="43" w:name="_Toc74830966"/>
      <w:r w:rsidRPr="00807DAF">
        <w:t>Notification of the Contracting Authority’s decision</w:t>
      </w:r>
      <w:bookmarkEnd w:id="43"/>
    </w:p>
    <w:p w14:paraId="7B3DD0AA" w14:textId="2E53166D" w:rsidR="00A57627" w:rsidRPr="00807DAF" w:rsidRDefault="00A57627" w:rsidP="000E75FE">
      <w:pPr>
        <w:pStyle w:val="Guidelines3"/>
        <w:numPr>
          <w:ilvl w:val="2"/>
          <w:numId w:val="9"/>
        </w:numPr>
      </w:pPr>
      <w:bookmarkStart w:id="44" w:name="_Toc74830967"/>
      <w:r w:rsidRPr="00807DAF">
        <w:t>Content of the decision</w:t>
      </w:r>
      <w:bookmarkEnd w:id="44"/>
    </w:p>
    <w:p w14:paraId="0D7AFE93" w14:textId="77777777" w:rsidR="00AA4FE0" w:rsidRPr="00807DAF" w:rsidRDefault="006B3FDD" w:rsidP="00984331">
      <w:pPr>
        <w:spacing w:before="240"/>
      </w:pPr>
      <w:r w:rsidRPr="00807DAF">
        <w:t xml:space="preserve">The </w:t>
      </w:r>
      <w:r>
        <w:t>lead a</w:t>
      </w:r>
      <w:r w:rsidRPr="00807DAF">
        <w:t>pplicants will be informed in writing of the Contracting Authority’s decision concerning their application and, if rejected, the reasons for the negative decision.</w:t>
      </w:r>
      <w:r>
        <w:t xml:space="preserve"> </w:t>
      </w:r>
      <w:r w:rsidRPr="00FE05D4">
        <w:t>This letter will</w:t>
      </w:r>
      <w:r>
        <w:t xml:space="preserve"> be sent by e-mail and will</w:t>
      </w:r>
      <w:r w:rsidRPr="00FE05D4">
        <w:t xml:space="preserve"> appear online automatically in the PROSPECT profile of the</w:t>
      </w:r>
      <w:r>
        <w:t xml:space="preserve"> user who submitted the application</w:t>
      </w:r>
      <w:r w:rsidRPr="00FE05D4">
        <w:t xml:space="preserve">. </w:t>
      </w:r>
      <w:r>
        <w:t>Lead a</w:t>
      </w:r>
      <w:r w:rsidRPr="00FE05D4">
        <w:t xml:space="preserve">pplicants who, in exceptional cases (see </w:t>
      </w:r>
      <w:r>
        <w:t>s</w:t>
      </w:r>
      <w:r w:rsidRPr="00FE05D4">
        <w:t>ection 2.2), had to submit their application by post</w:t>
      </w:r>
      <w:r w:rsidR="00657C92">
        <w:t>, private courier</w:t>
      </w:r>
      <w:r w:rsidRPr="00FE05D4">
        <w:t xml:space="preserve"> or hand-delivery, will</w:t>
      </w:r>
      <w:r>
        <w:t xml:space="preserve"> </w:t>
      </w:r>
      <w:r w:rsidRPr="00FE05D4">
        <w:t xml:space="preserve">be informed </w:t>
      </w:r>
      <w:r>
        <w:t>by email or by post if they did not provide any e-mail address</w:t>
      </w:r>
      <w:r w:rsidRPr="00FE05D4">
        <w:t>.</w:t>
      </w:r>
      <w:r>
        <w:t xml:space="preserve"> Therefore, please check regularly your PROSPECT profile, taking into account the indicative timetable below.</w:t>
      </w:r>
      <w:r w:rsidR="0007498A">
        <w:t xml:space="preserve"> </w:t>
      </w:r>
      <w:r w:rsidR="0007498A" w:rsidRPr="007B1B61">
        <w:t>Please note that the lead applicant is the intermediary for all communications between applicants and the contracting authority</w:t>
      </w:r>
      <w:r w:rsidR="0007498A">
        <w:t xml:space="preserve"> during the procedure</w:t>
      </w:r>
      <w:r w:rsidR="0007498A" w:rsidRPr="007B1B61">
        <w:t>.</w:t>
      </w:r>
    </w:p>
    <w:p w14:paraId="428507C6" w14:textId="77777777" w:rsidR="000D5F55" w:rsidRDefault="008A7A99" w:rsidP="00984331">
      <w:r w:rsidRPr="00807DAF">
        <w:t>An a</w:t>
      </w:r>
      <w:r w:rsidR="000D5F55" w:rsidRPr="00807DAF">
        <w:t xml:space="preserve">pplicant believing that </w:t>
      </w:r>
      <w:r w:rsidRPr="00807DAF">
        <w:t xml:space="preserve">it has </w:t>
      </w:r>
      <w:r w:rsidR="000D5F55" w:rsidRPr="00807DAF">
        <w:t xml:space="preserve">been harmed by an error or irregularity during the award process may </w:t>
      </w:r>
      <w:r w:rsidR="008B3646" w:rsidRPr="00807DAF">
        <w:t xml:space="preserve">lodge </w:t>
      </w:r>
      <w:r w:rsidR="00260548" w:rsidRPr="00807DAF">
        <w:t xml:space="preserve">a complaint. See further </w:t>
      </w:r>
      <w:r w:rsidR="00A33874">
        <w:t>S</w:t>
      </w:r>
      <w:r w:rsidR="00896ECA" w:rsidRPr="00807DAF">
        <w:t>ection</w:t>
      </w:r>
      <w:r w:rsidR="00260548" w:rsidRPr="00807DAF">
        <w:t xml:space="preserve"> 2.</w:t>
      </w:r>
      <w:r w:rsidR="0007498A">
        <w:t>12</w:t>
      </w:r>
      <w:r w:rsidR="00260548" w:rsidRPr="00807DAF">
        <w:t xml:space="preserve"> of the </w:t>
      </w:r>
      <w:r w:rsidR="009D7AC9">
        <w:t>p</w:t>
      </w:r>
      <w:r w:rsidR="00260548" w:rsidRPr="00807DAF">
        <w:t xml:space="preserve">ractical </w:t>
      </w:r>
      <w:r w:rsidR="009D7AC9">
        <w:t>g</w:t>
      </w:r>
      <w:r w:rsidR="00260548" w:rsidRPr="00807DAF">
        <w:t xml:space="preserve">uide. </w:t>
      </w:r>
    </w:p>
    <w:p w14:paraId="0487FD84" w14:textId="77777777" w:rsidR="00657C92" w:rsidRDefault="00657C92" w:rsidP="00657C92">
      <w:pPr>
        <w:spacing w:after="60"/>
        <w:rPr>
          <w:szCs w:val="22"/>
        </w:rPr>
      </w:pPr>
      <w:r>
        <w:rPr>
          <w:szCs w:val="22"/>
        </w:rPr>
        <w:t>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r w:rsidR="008C52C3">
        <w:rPr>
          <w:szCs w:val="22"/>
        </w:rPr>
        <w:t xml:space="preserve"> </w:t>
      </w:r>
      <w:r>
        <w:rPr>
          <w:szCs w:val="22"/>
        </w:rPr>
        <w:t xml:space="preserve">For more information, you may consult the privacy statement available on </w:t>
      </w:r>
      <w:hyperlink r:id="rId31" w:history="1">
        <w:r w:rsidRPr="00657C92">
          <w:rPr>
            <w:rStyle w:val="Hyperlink"/>
            <w:szCs w:val="22"/>
          </w:rPr>
          <w:t>http://ec.europa.eu/budget/explained/management/protecting/protect_en.cfm</w:t>
        </w:r>
      </w:hyperlink>
      <w:r>
        <w:rPr>
          <w:szCs w:val="22"/>
        </w:rPr>
        <w:t xml:space="preserve"> </w:t>
      </w:r>
    </w:p>
    <w:p w14:paraId="70156879" w14:textId="77777777" w:rsidR="004841AA" w:rsidRPr="00807DAF" w:rsidRDefault="004841AA" w:rsidP="00984331"/>
    <w:p w14:paraId="0055DAA7" w14:textId="77777777" w:rsidR="0097715A" w:rsidRPr="00807DAF" w:rsidRDefault="0097715A" w:rsidP="000E75FE">
      <w:pPr>
        <w:pStyle w:val="Guidelines3"/>
        <w:numPr>
          <w:ilvl w:val="2"/>
          <w:numId w:val="9"/>
        </w:numPr>
      </w:pPr>
      <w:bookmarkStart w:id="45" w:name="_Toc74830968"/>
      <w:r w:rsidRPr="00807DAF">
        <w:t>Indicative timetable</w:t>
      </w:r>
      <w:bookmarkEnd w:id="45"/>
      <w:r w:rsidRPr="00807DAF">
        <w:t xml:space="preserve"> </w:t>
      </w:r>
    </w:p>
    <w:p w14:paraId="78B1F355" w14:textId="77777777"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7FD92A55" w14:textId="77777777" w:rsidTr="008503BC">
        <w:tc>
          <w:tcPr>
            <w:tcW w:w="4678" w:type="dxa"/>
          </w:tcPr>
          <w:p w14:paraId="5DD10CB3" w14:textId="77777777" w:rsidR="0013435B" w:rsidRPr="00807DAF" w:rsidRDefault="0013435B" w:rsidP="00F15864">
            <w:pPr>
              <w:spacing w:before="120"/>
              <w:rPr>
                <w:szCs w:val="22"/>
              </w:rPr>
            </w:pPr>
          </w:p>
        </w:tc>
        <w:tc>
          <w:tcPr>
            <w:tcW w:w="2552" w:type="dxa"/>
            <w:shd w:val="pct10" w:color="auto" w:fill="FFFFFF"/>
          </w:tcPr>
          <w:p w14:paraId="37E10AD1" w14:textId="77777777" w:rsidR="0013435B" w:rsidRPr="00807DAF" w:rsidRDefault="0013435B" w:rsidP="00F15864">
            <w:pPr>
              <w:spacing w:before="120"/>
              <w:jc w:val="center"/>
              <w:rPr>
                <w:b/>
                <w:szCs w:val="22"/>
              </w:rPr>
            </w:pPr>
            <w:r w:rsidRPr="00807DAF">
              <w:rPr>
                <w:b/>
                <w:szCs w:val="22"/>
              </w:rPr>
              <w:t>DATE</w:t>
            </w:r>
          </w:p>
        </w:tc>
        <w:tc>
          <w:tcPr>
            <w:tcW w:w="2551" w:type="dxa"/>
            <w:shd w:val="pct10" w:color="auto" w:fill="FFFFFF"/>
          </w:tcPr>
          <w:p w14:paraId="4F68BAF5" w14:textId="77777777" w:rsidR="0013435B" w:rsidRPr="00807DAF" w:rsidRDefault="0013435B" w:rsidP="00F15864">
            <w:pPr>
              <w:spacing w:before="120"/>
              <w:jc w:val="center"/>
              <w:rPr>
                <w:b/>
                <w:szCs w:val="22"/>
              </w:rPr>
            </w:pPr>
            <w:r w:rsidRPr="00807DAF">
              <w:rPr>
                <w:b/>
                <w:szCs w:val="22"/>
              </w:rPr>
              <w:t>TIME</w:t>
            </w:r>
          </w:p>
        </w:tc>
      </w:tr>
      <w:tr w:rsidR="0013435B" w:rsidRPr="00807DAF" w14:paraId="57FF9DB9" w14:textId="77777777" w:rsidTr="008503BC">
        <w:tc>
          <w:tcPr>
            <w:tcW w:w="4678" w:type="dxa"/>
            <w:shd w:val="pct10" w:color="auto" w:fill="FFFFFF"/>
          </w:tcPr>
          <w:p w14:paraId="4939FD35" w14:textId="77777777" w:rsidR="0013435B" w:rsidRPr="00807DAF" w:rsidRDefault="00273299" w:rsidP="001C4D3A">
            <w:pPr>
              <w:spacing w:before="120"/>
              <w:ind w:left="318" w:hanging="318"/>
              <w:jc w:val="left"/>
              <w:rPr>
                <w:b/>
                <w:szCs w:val="22"/>
              </w:rPr>
            </w:pPr>
            <w:r>
              <w:rPr>
                <w:b/>
                <w:szCs w:val="22"/>
              </w:rPr>
              <w:t>1.</w:t>
            </w:r>
            <w:r w:rsidR="001C4D3A">
              <w:rPr>
                <w:b/>
                <w:szCs w:val="22"/>
              </w:rPr>
              <w:tab/>
            </w:r>
            <w:r w:rsidR="0013435B" w:rsidRPr="00807DAF">
              <w:rPr>
                <w:b/>
                <w:szCs w:val="22"/>
              </w:rPr>
              <w:t>Information meeting (if any)</w:t>
            </w:r>
          </w:p>
        </w:tc>
        <w:tc>
          <w:tcPr>
            <w:tcW w:w="2552" w:type="dxa"/>
          </w:tcPr>
          <w:p w14:paraId="50B3BDAF" w14:textId="10CF5529" w:rsidR="0013435B" w:rsidRPr="007830C4" w:rsidRDefault="00AD4B84" w:rsidP="009215DF">
            <w:pPr>
              <w:spacing w:before="120"/>
              <w:jc w:val="center"/>
              <w:rPr>
                <w:szCs w:val="22"/>
              </w:rPr>
            </w:pPr>
            <w:r w:rsidRPr="00C503D9">
              <w:rPr>
                <w:szCs w:val="22"/>
              </w:rPr>
              <w:t xml:space="preserve">28 </w:t>
            </w:r>
            <w:r w:rsidR="009215DF" w:rsidRPr="00C503D9">
              <w:rPr>
                <w:szCs w:val="22"/>
              </w:rPr>
              <w:t>March</w:t>
            </w:r>
            <w:r w:rsidR="001B6189" w:rsidRPr="00C503D9">
              <w:rPr>
                <w:szCs w:val="22"/>
              </w:rPr>
              <w:t xml:space="preserve"> 2024</w:t>
            </w:r>
          </w:p>
        </w:tc>
        <w:tc>
          <w:tcPr>
            <w:tcW w:w="2551" w:type="dxa"/>
          </w:tcPr>
          <w:p w14:paraId="1A80BDD7" w14:textId="0898BDAA" w:rsidR="0013435B" w:rsidRPr="00FB05F0" w:rsidRDefault="00FB05F0" w:rsidP="00FB05F0">
            <w:pPr>
              <w:spacing w:before="120"/>
              <w:jc w:val="center"/>
              <w:rPr>
                <w:szCs w:val="22"/>
              </w:rPr>
            </w:pPr>
            <w:r>
              <w:rPr>
                <w:szCs w:val="22"/>
              </w:rPr>
              <w:t>10:00-12:</w:t>
            </w:r>
            <w:r w:rsidR="009215DF" w:rsidRPr="007830C4">
              <w:rPr>
                <w:szCs w:val="22"/>
              </w:rPr>
              <w:t>00</w:t>
            </w:r>
            <w:r>
              <w:rPr>
                <w:szCs w:val="22"/>
              </w:rPr>
              <w:t xml:space="preserve"> (</w:t>
            </w:r>
            <w:r w:rsidR="001B6189" w:rsidRPr="00FB05F0">
              <w:rPr>
                <w:szCs w:val="22"/>
              </w:rPr>
              <w:t>Brussels time</w:t>
            </w:r>
            <w:r w:rsidR="001B6189" w:rsidRPr="00FB05F0" w:rsidDel="009215DF">
              <w:rPr>
                <w:szCs w:val="22"/>
              </w:rPr>
              <w:t xml:space="preserve"> </w:t>
            </w:r>
            <w:r>
              <w:rPr>
                <w:szCs w:val="22"/>
              </w:rPr>
              <w:t>)</w:t>
            </w:r>
          </w:p>
        </w:tc>
      </w:tr>
      <w:tr w:rsidR="0013435B" w:rsidRPr="00807DAF" w14:paraId="4A8B3282" w14:textId="77777777" w:rsidTr="00984331">
        <w:tc>
          <w:tcPr>
            <w:tcW w:w="4678" w:type="dxa"/>
            <w:shd w:val="pct10" w:color="auto" w:fill="FFFFFF"/>
          </w:tcPr>
          <w:p w14:paraId="04529A07" w14:textId="77777777" w:rsidR="0013435B" w:rsidRPr="00807DAF" w:rsidRDefault="001C4D3A" w:rsidP="00D34B88">
            <w:pPr>
              <w:spacing w:before="120"/>
              <w:ind w:left="318" w:hanging="284"/>
              <w:jc w:val="left"/>
              <w:rPr>
                <w:b/>
                <w:szCs w:val="22"/>
              </w:rPr>
            </w:pPr>
            <w:r>
              <w:rPr>
                <w:b/>
                <w:szCs w:val="22"/>
              </w:rPr>
              <w:t>2.</w:t>
            </w:r>
            <w:r>
              <w:rPr>
                <w:b/>
                <w:szCs w:val="22"/>
              </w:rPr>
              <w:tab/>
            </w:r>
            <w:r w:rsidR="0013435B" w:rsidRPr="00807DAF">
              <w:rPr>
                <w:b/>
                <w:szCs w:val="22"/>
              </w:rPr>
              <w:t>Deadline for request</w:t>
            </w:r>
            <w:r w:rsidR="009B7BB7" w:rsidRPr="00807DAF">
              <w:rPr>
                <w:b/>
                <w:szCs w:val="22"/>
              </w:rPr>
              <w:t>ing</w:t>
            </w:r>
            <w:r w:rsidR="0013435B" w:rsidRPr="00807DAF">
              <w:rPr>
                <w:b/>
                <w:szCs w:val="22"/>
              </w:rPr>
              <w:t xml:space="preserve"> any clarifications from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715FE503" w14:textId="2B61510E" w:rsidR="006F1E2B" w:rsidRPr="00FB05F0" w:rsidRDefault="008730F5" w:rsidP="007A0F56">
            <w:pPr>
              <w:spacing w:before="120"/>
              <w:jc w:val="center"/>
              <w:rPr>
                <w:szCs w:val="22"/>
              </w:rPr>
            </w:pPr>
            <w:r>
              <w:rPr>
                <w:szCs w:val="22"/>
              </w:rPr>
              <w:t>1</w:t>
            </w:r>
            <w:r w:rsidR="00BC5381">
              <w:rPr>
                <w:szCs w:val="22"/>
              </w:rPr>
              <w:t>2</w:t>
            </w:r>
            <w:r w:rsidRPr="00FB05F0">
              <w:rPr>
                <w:szCs w:val="22"/>
              </w:rPr>
              <w:t xml:space="preserve"> </w:t>
            </w:r>
            <w:r w:rsidR="008D3020" w:rsidRPr="00FB05F0">
              <w:rPr>
                <w:szCs w:val="22"/>
              </w:rPr>
              <w:t>April</w:t>
            </w:r>
            <w:r w:rsidR="001B6189" w:rsidRPr="00FB05F0">
              <w:rPr>
                <w:szCs w:val="22"/>
              </w:rPr>
              <w:t xml:space="preserve"> 2024</w:t>
            </w:r>
          </w:p>
          <w:p w14:paraId="6FEBAD85" w14:textId="0EC03106" w:rsidR="0013435B" w:rsidRPr="00807DAF" w:rsidRDefault="0013435B" w:rsidP="007A0F56">
            <w:pPr>
              <w:spacing w:before="120"/>
              <w:jc w:val="center"/>
              <w:rPr>
                <w:szCs w:val="22"/>
              </w:rPr>
            </w:pPr>
          </w:p>
        </w:tc>
        <w:tc>
          <w:tcPr>
            <w:tcW w:w="2551" w:type="dxa"/>
          </w:tcPr>
          <w:p w14:paraId="245D3D9F" w14:textId="556D4D3E" w:rsidR="008D3020" w:rsidRDefault="008D3020" w:rsidP="00F15864">
            <w:pPr>
              <w:spacing w:before="120"/>
              <w:jc w:val="center"/>
              <w:rPr>
                <w:szCs w:val="22"/>
              </w:rPr>
            </w:pPr>
            <w:r>
              <w:rPr>
                <w:szCs w:val="22"/>
              </w:rPr>
              <w:t>16</w:t>
            </w:r>
            <w:r w:rsidR="00FB05F0">
              <w:rPr>
                <w:szCs w:val="22"/>
              </w:rPr>
              <w:t>:</w:t>
            </w:r>
            <w:r>
              <w:rPr>
                <w:szCs w:val="22"/>
              </w:rPr>
              <w:t>00</w:t>
            </w:r>
            <w:r w:rsidR="00FB05F0">
              <w:rPr>
                <w:szCs w:val="22"/>
              </w:rPr>
              <w:t xml:space="preserve"> (</w:t>
            </w:r>
            <w:r w:rsidR="00FB05F0" w:rsidRPr="00FB05F0">
              <w:rPr>
                <w:szCs w:val="22"/>
              </w:rPr>
              <w:t>Brussels time</w:t>
            </w:r>
            <w:r w:rsidR="00FB05F0" w:rsidRPr="00FB05F0" w:rsidDel="009215DF">
              <w:rPr>
                <w:szCs w:val="22"/>
              </w:rPr>
              <w:t xml:space="preserve"> </w:t>
            </w:r>
            <w:r w:rsidR="00FB05F0">
              <w:rPr>
                <w:szCs w:val="22"/>
              </w:rPr>
              <w:t>)</w:t>
            </w:r>
          </w:p>
          <w:p w14:paraId="3F6CC340" w14:textId="26923849" w:rsidR="008D3020" w:rsidRPr="00807DAF" w:rsidRDefault="008D3020" w:rsidP="00F15864">
            <w:pPr>
              <w:spacing w:before="120"/>
              <w:jc w:val="center"/>
              <w:rPr>
                <w:szCs w:val="22"/>
              </w:rPr>
            </w:pPr>
          </w:p>
        </w:tc>
      </w:tr>
      <w:tr w:rsidR="0013435B" w:rsidRPr="00807DAF" w14:paraId="47792034" w14:textId="77777777" w:rsidTr="00984331">
        <w:tc>
          <w:tcPr>
            <w:tcW w:w="4678" w:type="dxa"/>
            <w:shd w:val="pct10" w:color="auto" w:fill="FFFFFF"/>
          </w:tcPr>
          <w:p w14:paraId="591D9146" w14:textId="77777777" w:rsidR="0013435B" w:rsidRPr="00807DAF" w:rsidRDefault="001C4D3A" w:rsidP="00D34B88">
            <w:pPr>
              <w:spacing w:before="120"/>
              <w:ind w:left="318" w:hanging="284"/>
              <w:jc w:val="left"/>
              <w:rPr>
                <w:b/>
                <w:szCs w:val="22"/>
              </w:rPr>
            </w:pPr>
            <w:r>
              <w:rPr>
                <w:b/>
                <w:szCs w:val="22"/>
              </w:rPr>
              <w:t>3.</w:t>
            </w:r>
            <w:r>
              <w:rPr>
                <w:b/>
                <w:szCs w:val="22"/>
              </w:rPr>
              <w:tab/>
            </w:r>
            <w:r w:rsidR="0013435B" w:rsidRPr="00807DAF">
              <w:rPr>
                <w:b/>
                <w:szCs w:val="22"/>
              </w:rPr>
              <w:t xml:space="preserve">Last date on which clarifications are issued by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68EFE7FA" w14:textId="26323047" w:rsidR="008D3020" w:rsidRPr="00FB05F0" w:rsidRDefault="004A1A6F" w:rsidP="00F15864">
            <w:pPr>
              <w:spacing w:before="120"/>
              <w:jc w:val="center"/>
              <w:rPr>
                <w:szCs w:val="22"/>
              </w:rPr>
            </w:pPr>
            <w:r>
              <w:rPr>
                <w:szCs w:val="22"/>
              </w:rPr>
              <w:t>22</w:t>
            </w:r>
            <w:r w:rsidR="008730F5" w:rsidRPr="00FB05F0">
              <w:rPr>
                <w:szCs w:val="22"/>
              </w:rPr>
              <w:t xml:space="preserve"> </w:t>
            </w:r>
            <w:r w:rsidR="008D3020" w:rsidRPr="00FB05F0">
              <w:rPr>
                <w:szCs w:val="22"/>
              </w:rPr>
              <w:t>April</w:t>
            </w:r>
            <w:r w:rsidR="00772C00" w:rsidRPr="00FB05F0">
              <w:rPr>
                <w:szCs w:val="22"/>
              </w:rPr>
              <w:t xml:space="preserve"> 2024</w:t>
            </w:r>
          </w:p>
          <w:p w14:paraId="5E5B016B" w14:textId="01ABB3F0" w:rsidR="0013435B" w:rsidRPr="00807DAF" w:rsidRDefault="0013435B" w:rsidP="00F15864">
            <w:pPr>
              <w:spacing w:before="120"/>
              <w:jc w:val="center"/>
              <w:rPr>
                <w:szCs w:val="22"/>
              </w:rPr>
            </w:pPr>
          </w:p>
        </w:tc>
        <w:tc>
          <w:tcPr>
            <w:tcW w:w="2551" w:type="dxa"/>
          </w:tcPr>
          <w:p w14:paraId="6E0B7298" w14:textId="77777777" w:rsidR="00FB05F0" w:rsidRDefault="00FB05F0" w:rsidP="00FB05F0">
            <w:pPr>
              <w:spacing w:before="120"/>
              <w:jc w:val="center"/>
              <w:rPr>
                <w:szCs w:val="22"/>
              </w:rPr>
            </w:pPr>
            <w:r>
              <w:rPr>
                <w:szCs w:val="22"/>
              </w:rPr>
              <w:t>16:00 (</w:t>
            </w:r>
            <w:r w:rsidRPr="00FB05F0">
              <w:rPr>
                <w:szCs w:val="22"/>
              </w:rPr>
              <w:t>Brussels time</w:t>
            </w:r>
            <w:r w:rsidRPr="00FB05F0" w:rsidDel="009215DF">
              <w:rPr>
                <w:szCs w:val="22"/>
              </w:rPr>
              <w:t xml:space="preserve"> </w:t>
            </w:r>
            <w:r>
              <w:rPr>
                <w:szCs w:val="22"/>
              </w:rPr>
              <w:t>)</w:t>
            </w:r>
          </w:p>
          <w:p w14:paraId="645261A7" w14:textId="2EAE414A" w:rsidR="0013435B" w:rsidRPr="00807DAF" w:rsidRDefault="0013435B" w:rsidP="008D3020">
            <w:pPr>
              <w:spacing w:before="120"/>
              <w:jc w:val="center"/>
              <w:rPr>
                <w:szCs w:val="22"/>
              </w:rPr>
            </w:pPr>
          </w:p>
        </w:tc>
      </w:tr>
      <w:tr w:rsidR="0013435B" w:rsidRPr="00807DAF" w14:paraId="44F2FD1D" w14:textId="77777777" w:rsidTr="00984331">
        <w:tc>
          <w:tcPr>
            <w:tcW w:w="4678" w:type="dxa"/>
            <w:shd w:val="pct10" w:color="auto" w:fill="FFFFFF"/>
          </w:tcPr>
          <w:p w14:paraId="0CD5513F" w14:textId="77777777" w:rsidR="0013435B" w:rsidRPr="00807DAF" w:rsidRDefault="001C4D3A" w:rsidP="00624D8E">
            <w:pPr>
              <w:spacing w:before="120"/>
              <w:ind w:left="318" w:hanging="284"/>
              <w:jc w:val="left"/>
              <w:rPr>
                <w:b/>
                <w:szCs w:val="22"/>
              </w:rPr>
            </w:pPr>
            <w:r>
              <w:rPr>
                <w:b/>
                <w:szCs w:val="22"/>
              </w:rPr>
              <w:t>4.</w:t>
            </w:r>
            <w:r>
              <w:rPr>
                <w:b/>
                <w:szCs w:val="22"/>
              </w:rPr>
              <w:tab/>
            </w:r>
            <w:r w:rsidR="0013435B" w:rsidRPr="00807DAF">
              <w:rPr>
                <w:b/>
                <w:szCs w:val="22"/>
              </w:rPr>
              <w:t xml:space="preserve">Deadline for submission of </w:t>
            </w:r>
            <w:r w:rsidR="00F65B55" w:rsidRPr="00BA6979">
              <w:rPr>
                <w:b/>
                <w:szCs w:val="22"/>
              </w:rPr>
              <w:t>c</w:t>
            </w:r>
            <w:r w:rsidR="0013435B" w:rsidRPr="00BA6979">
              <w:rPr>
                <w:b/>
                <w:szCs w:val="22"/>
              </w:rPr>
              <w:t xml:space="preserve">oncept </w:t>
            </w:r>
            <w:r w:rsidR="00F65B55" w:rsidRPr="00BA6979">
              <w:rPr>
                <w:b/>
                <w:szCs w:val="22"/>
              </w:rPr>
              <w:t>n</w:t>
            </w:r>
            <w:r w:rsidR="0013435B" w:rsidRPr="00BA6979">
              <w:rPr>
                <w:b/>
                <w:szCs w:val="22"/>
              </w:rPr>
              <w:t>otes</w:t>
            </w:r>
            <w:r w:rsidR="007B075A">
              <w:rPr>
                <w:b/>
                <w:szCs w:val="22"/>
              </w:rPr>
              <w:t xml:space="preserve"> </w:t>
            </w:r>
            <w:r w:rsidR="0013435B" w:rsidRPr="00807DAF">
              <w:rPr>
                <w:b/>
                <w:szCs w:val="22"/>
                <w:highlight w:val="yellow"/>
              </w:rPr>
              <w:t xml:space="preserve"> </w:t>
            </w:r>
          </w:p>
        </w:tc>
        <w:tc>
          <w:tcPr>
            <w:tcW w:w="2552" w:type="dxa"/>
          </w:tcPr>
          <w:p w14:paraId="578A2C22" w14:textId="1D80A0AF" w:rsidR="008D3020" w:rsidRPr="00FB05F0" w:rsidRDefault="00BC5381" w:rsidP="00F15864">
            <w:pPr>
              <w:spacing w:before="120"/>
              <w:jc w:val="center"/>
              <w:rPr>
                <w:szCs w:val="22"/>
              </w:rPr>
            </w:pPr>
            <w:r>
              <w:rPr>
                <w:szCs w:val="22"/>
              </w:rPr>
              <w:t xml:space="preserve">03 </w:t>
            </w:r>
            <w:r w:rsidR="003A3934">
              <w:rPr>
                <w:szCs w:val="22"/>
              </w:rPr>
              <w:t>May</w:t>
            </w:r>
            <w:r w:rsidR="003A3934" w:rsidRPr="00FB05F0">
              <w:rPr>
                <w:szCs w:val="22"/>
              </w:rPr>
              <w:t xml:space="preserve"> </w:t>
            </w:r>
            <w:r w:rsidR="00772C00" w:rsidRPr="00FB05F0">
              <w:rPr>
                <w:szCs w:val="22"/>
              </w:rPr>
              <w:t>2024</w:t>
            </w:r>
          </w:p>
          <w:p w14:paraId="6E9A9601" w14:textId="2384DC64" w:rsidR="0013435B" w:rsidRPr="00807DAF" w:rsidRDefault="0013435B" w:rsidP="00F15864">
            <w:pPr>
              <w:spacing w:before="120"/>
              <w:jc w:val="center"/>
              <w:rPr>
                <w:szCs w:val="22"/>
              </w:rPr>
            </w:pPr>
          </w:p>
        </w:tc>
        <w:tc>
          <w:tcPr>
            <w:tcW w:w="2551" w:type="dxa"/>
          </w:tcPr>
          <w:p w14:paraId="4A66DAFC" w14:textId="77777777" w:rsidR="00FB05F0" w:rsidRDefault="00FB05F0" w:rsidP="00FB05F0">
            <w:pPr>
              <w:spacing w:before="120"/>
              <w:jc w:val="center"/>
              <w:rPr>
                <w:szCs w:val="22"/>
              </w:rPr>
            </w:pPr>
            <w:r>
              <w:rPr>
                <w:szCs w:val="22"/>
              </w:rPr>
              <w:t>16:00 (</w:t>
            </w:r>
            <w:r w:rsidRPr="00FB05F0">
              <w:rPr>
                <w:szCs w:val="22"/>
              </w:rPr>
              <w:t>Brussels time</w:t>
            </w:r>
            <w:r w:rsidRPr="00FB05F0" w:rsidDel="009215DF">
              <w:rPr>
                <w:szCs w:val="22"/>
              </w:rPr>
              <w:t xml:space="preserve"> </w:t>
            </w:r>
            <w:r>
              <w:rPr>
                <w:szCs w:val="22"/>
              </w:rPr>
              <w:t>)</w:t>
            </w:r>
          </w:p>
          <w:p w14:paraId="3B79A670" w14:textId="5A109D13" w:rsidR="0013435B" w:rsidRPr="00807DAF" w:rsidRDefault="0013435B" w:rsidP="008D3020">
            <w:pPr>
              <w:spacing w:before="120"/>
              <w:jc w:val="center"/>
              <w:rPr>
                <w:szCs w:val="22"/>
              </w:rPr>
            </w:pPr>
          </w:p>
        </w:tc>
      </w:tr>
      <w:tr w:rsidR="008E77D7" w:rsidRPr="00807DAF" w14:paraId="7F5E53E7" w14:textId="77777777" w:rsidTr="00984331">
        <w:tc>
          <w:tcPr>
            <w:tcW w:w="4678" w:type="dxa"/>
            <w:shd w:val="pct10" w:color="auto" w:fill="FFFFFF"/>
          </w:tcPr>
          <w:p w14:paraId="38E526FD" w14:textId="2C26BF82" w:rsidR="008E77D7" w:rsidRPr="00807DAF" w:rsidRDefault="008E77D7" w:rsidP="00223A38">
            <w:pPr>
              <w:spacing w:before="120"/>
              <w:ind w:left="318" w:hanging="284"/>
              <w:jc w:val="left"/>
              <w:rPr>
                <w:b/>
                <w:szCs w:val="22"/>
              </w:rPr>
            </w:pPr>
            <w:r>
              <w:rPr>
                <w:b/>
                <w:szCs w:val="22"/>
              </w:rPr>
              <w:t>5.</w:t>
            </w:r>
            <w:r>
              <w:rPr>
                <w:b/>
                <w:szCs w:val="22"/>
              </w:rPr>
              <w:tab/>
            </w:r>
            <w:r w:rsidRPr="00807DAF">
              <w:rPr>
                <w:b/>
                <w:szCs w:val="22"/>
              </w:rPr>
              <w:t xml:space="preserve">Information to </w:t>
            </w:r>
            <w:r>
              <w:rPr>
                <w:b/>
                <w:szCs w:val="22"/>
              </w:rPr>
              <w:t>lead a</w:t>
            </w:r>
            <w:r w:rsidRPr="00807DAF">
              <w:rPr>
                <w:b/>
                <w:szCs w:val="22"/>
              </w:rPr>
              <w:t>pplicants on administrative checks and concept note evaluation  (Step 1)</w:t>
            </w:r>
          </w:p>
        </w:tc>
        <w:tc>
          <w:tcPr>
            <w:tcW w:w="2552" w:type="dxa"/>
          </w:tcPr>
          <w:p w14:paraId="75D25756" w14:textId="477C3C84" w:rsidR="008E77D7" w:rsidRPr="00FB05F0" w:rsidRDefault="001411DC" w:rsidP="008E77D7">
            <w:pPr>
              <w:spacing w:before="120"/>
              <w:jc w:val="center"/>
              <w:rPr>
                <w:szCs w:val="22"/>
              </w:rPr>
            </w:pPr>
            <w:r>
              <w:rPr>
                <w:szCs w:val="22"/>
              </w:rPr>
              <w:t>17</w:t>
            </w:r>
            <w:r w:rsidR="003A3934">
              <w:rPr>
                <w:szCs w:val="22"/>
              </w:rPr>
              <w:t xml:space="preserve"> June</w:t>
            </w:r>
            <w:r w:rsidR="003A3934" w:rsidRPr="00FB05F0">
              <w:rPr>
                <w:szCs w:val="22"/>
              </w:rPr>
              <w:t xml:space="preserve"> </w:t>
            </w:r>
            <w:r w:rsidR="000F4217" w:rsidRPr="00FB05F0">
              <w:rPr>
                <w:szCs w:val="22"/>
              </w:rPr>
              <w:t>2024</w:t>
            </w:r>
          </w:p>
          <w:p w14:paraId="4A158F80" w14:textId="0BCFA269" w:rsidR="008E77D7" w:rsidRPr="00807DAF" w:rsidRDefault="008E77D7" w:rsidP="008E77D7">
            <w:pPr>
              <w:spacing w:before="120"/>
              <w:jc w:val="center"/>
              <w:rPr>
                <w:szCs w:val="22"/>
              </w:rPr>
            </w:pPr>
          </w:p>
        </w:tc>
        <w:tc>
          <w:tcPr>
            <w:tcW w:w="2551" w:type="dxa"/>
          </w:tcPr>
          <w:p w14:paraId="382F084D" w14:textId="22ED2B23" w:rsidR="008E77D7" w:rsidRPr="00807DAF" w:rsidRDefault="008E77D7" w:rsidP="00247A41">
            <w:pPr>
              <w:spacing w:before="120"/>
              <w:jc w:val="center"/>
              <w:rPr>
                <w:szCs w:val="22"/>
              </w:rPr>
            </w:pPr>
          </w:p>
        </w:tc>
      </w:tr>
      <w:tr w:rsidR="0013435B" w:rsidRPr="00807DAF" w14:paraId="17389325" w14:textId="77777777" w:rsidTr="00984331">
        <w:tc>
          <w:tcPr>
            <w:tcW w:w="4678" w:type="dxa"/>
            <w:shd w:val="pct10" w:color="auto" w:fill="FFFFFF"/>
          </w:tcPr>
          <w:p w14:paraId="60C5AE44" w14:textId="77777777" w:rsidR="0013435B" w:rsidRPr="00807DAF" w:rsidRDefault="00273299" w:rsidP="00F65B55">
            <w:pPr>
              <w:spacing w:before="120"/>
              <w:jc w:val="left"/>
              <w:rPr>
                <w:b/>
                <w:szCs w:val="22"/>
              </w:rPr>
            </w:pPr>
            <w:r w:rsidRPr="00BA6979">
              <w:rPr>
                <w:b/>
                <w:szCs w:val="22"/>
              </w:rPr>
              <w:t xml:space="preserve">6. </w:t>
            </w:r>
            <w:r w:rsidR="00622381" w:rsidRPr="00BA6979">
              <w:rPr>
                <w:b/>
                <w:szCs w:val="22"/>
              </w:rPr>
              <w:t>Invitations</w:t>
            </w:r>
            <w:r w:rsidR="0013435B" w:rsidRPr="00BA6979">
              <w:rPr>
                <w:b/>
                <w:szCs w:val="22"/>
              </w:rPr>
              <w:t xml:space="preserve"> </w:t>
            </w:r>
            <w:r w:rsidR="009B7BB7" w:rsidRPr="00BA6979">
              <w:rPr>
                <w:b/>
                <w:szCs w:val="22"/>
              </w:rPr>
              <w:t xml:space="preserve">to </w:t>
            </w:r>
            <w:r w:rsidR="0013435B" w:rsidRPr="00BA6979">
              <w:rPr>
                <w:b/>
                <w:szCs w:val="22"/>
              </w:rPr>
              <w:t>submi</w:t>
            </w:r>
            <w:r w:rsidR="009B7BB7" w:rsidRPr="00BA6979">
              <w:rPr>
                <w:b/>
                <w:szCs w:val="22"/>
              </w:rPr>
              <w:t>t</w:t>
            </w:r>
            <w:r w:rsidR="0013435B" w:rsidRPr="00BA6979">
              <w:rPr>
                <w:b/>
                <w:szCs w:val="22"/>
              </w:rPr>
              <w:t xml:space="preserve"> </w:t>
            </w:r>
            <w:r w:rsidR="00F65B55" w:rsidRPr="00BA6979">
              <w:rPr>
                <w:b/>
                <w:szCs w:val="22"/>
              </w:rPr>
              <w:t>f</w:t>
            </w:r>
            <w:r w:rsidR="0013435B" w:rsidRPr="00BA6979">
              <w:rPr>
                <w:b/>
                <w:szCs w:val="22"/>
              </w:rPr>
              <w:t xml:space="preserve">ull </w:t>
            </w:r>
            <w:r w:rsidR="00F65B55" w:rsidRPr="00BA6979">
              <w:rPr>
                <w:b/>
                <w:szCs w:val="22"/>
              </w:rPr>
              <w:t>a</w:t>
            </w:r>
            <w:r w:rsidR="00622381" w:rsidRPr="00BA6979">
              <w:rPr>
                <w:b/>
                <w:szCs w:val="22"/>
              </w:rPr>
              <w:t>pplication</w:t>
            </w:r>
            <w:r w:rsidR="00F65B55" w:rsidRPr="00BA6979">
              <w:rPr>
                <w:b/>
                <w:szCs w:val="22"/>
              </w:rPr>
              <w:t>s</w:t>
            </w:r>
          </w:p>
        </w:tc>
        <w:tc>
          <w:tcPr>
            <w:tcW w:w="2552" w:type="dxa"/>
          </w:tcPr>
          <w:p w14:paraId="6A78EC8D" w14:textId="5494F918" w:rsidR="008D3020" w:rsidRPr="00FB05F0" w:rsidRDefault="001411DC" w:rsidP="00F15864">
            <w:pPr>
              <w:spacing w:before="120"/>
              <w:jc w:val="center"/>
              <w:rPr>
                <w:szCs w:val="22"/>
              </w:rPr>
            </w:pPr>
            <w:r>
              <w:rPr>
                <w:szCs w:val="22"/>
              </w:rPr>
              <w:t xml:space="preserve">17 June </w:t>
            </w:r>
            <w:r w:rsidR="000F4217" w:rsidRPr="00FB05F0">
              <w:rPr>
                <w:szCs w:val="22"/>
              </w:rPr>
              <w:t>2024</w:t>
            </w:r>
          </w:p>
          <w:p w14:paraId="1ABB4F88" w14:textId="1ADABC2F" w:rsidR="0013435B" w:rsidRPr="00807DAF" w:rsidRDefault="0013435B" w:rsidP="00F15864">
            <w:pPr>
              <w:spacing w:before="120"/>
              <w:jc w:val="center"/>
              <w:rPr>
                <w:szCs w:val="22"/>
              </w:rPr>
            </w:pPr>
          </w:p>
        </w:tc>
        <w:tc>
          <w:tcPr>
            <w:tcW w:w="2551" w:type="dxa"/>
          </w:tcPr>
          <w:p w14:paraId="1EE6CC4E" w14:textId="42651643" w:rsidR="0013435B" w:rsidRPr="00807DAF" w:rsidRDefault="0013435B" w:rsidP="00247A41">
            <w:pPr>
              <w:spacing w:before="120"/>
              <w:jc w:val="center"/>
              <w:rPr>
                <w:szCs w:val="22"/>
              </w:rPr>
            </w:pPr>
          </w:p>
        </w:tc>
      </w:tr>
      <w:tr w:rsidR="00622381" w:rsidRPr="00807DAF" w14:paraId="60FD4495" w14:textId="77777777" w:rsidTr="00984331">
        <w:tc>
          <w:tcPr>
            <w:tcW w:w="4678" w:type="dxa"/>
            <w:shd w:val="pct10" w:color="auto" w:fill="FFFFFF"/>
          </w:tcPr>
          <w:p w14:paraId="7071BEDE" w14:textId="77777777" w:rsidR="00622381" w:rsidRPr="00807DAF" w:rsidRDefault="00E72707" w:rsidP="00F65B55">
            <w:pPr>
              <w:spacing w:before="120"/>
              <w:jc w:val="left"/>
              <w:rPr>
                <w:b/>
                <w:szCs w:val="22"/>
              </w:rPr>
            </w:pPr>
            <w:r w:rsidRPr="00BA6979">
              <w:rPr>
                <w:b/>
                <w:szCs w:val="22"/>
              </w:rPr>
              <w:t>7</w:t>
            </w:r>
            <w:r w:rsidR="00273299" w:rsidRPr="00BA6979">
              <w:rPr>
                <w:b/>
                <w:szCs w:val="22"/>
              </w:rPr>
              <w:t xml:space="preserve">. </w:t>
            </w:r>
            <w:r w:rsidR="00622381" w:rsidRPr="00BA6979">
              <w:rPr>
                <w:b/>
                <w:szCs w:val="22"/>
              </w:rPr>
              <w:t xml:space="preserve">Deadline for submission of </w:t>
            </w:r>
            <w:r w:rsidR="00F65B55" w:rsidRPr="00BA6979">
              <w:rPr>
                <w:b/>
                <w:szCs w:val="22"/>
              </w:rPr>
              <w:t>f</w:t>
            </w:r>
            <w:r w:rsidR="00622381" w:rsidRPr="00BA6979">
              <w:rPr>
                <w:b/>
                <w:szCs w:val="22"/>
              </w:rPr>
              <w:t xml:space="preserve">ull </w:t>
            </w:r>
            <w:r w:rsidR="00F65B55" w:rsidRPr="00BA6979">
              <w:rPr>
                <w:b/>
                <w:szCs w:val="22"/>
              </w:rPr>
              <w:t>a</w:t>
            </w:r>
            <w:r w:rsidR="00622381" w:rsidRPr="00BA6979">
              <w:rPr>
                <w:b/>
                <w:szCs w:val="22"/>
              </w:rPr>
              <w:t>pplication</w:t>
            </w:r>
            <w:r w:rsidR="00F65B55" w:rsidRPr="00BA6979">
              <w:rPr>
                <w:b/>
                <w:szCs w:val="22"/>
              </w:rPr>
              <w:t>s</w:t>
            </w:r>
          </w:p>
        </w:tc>
        <w:tc>
          <w:tcPr>
            <w:tcW w:w="2552" w:type="dxa"/>
          </w:tcPr>
          <w:p w14:paraId="4C6E0B96" w14:textId="59FB75F3" w:rsidR="008D3020" w:rsidRPr="00FB05F0" w:rsidRDefault="001411DC" w:rsidP="00F15864">
            <w:pPr>
              <w:spacing w:before="120"/>
              <w:jc w:val="center"/>
              <w:rPr>
                <w:szCs w:val="22"/>
              </w:rPr>
            </w:pPr>
            <w:r>
              <w:rPr>
                <w:szCs w:val="22"/>
              </w:rPr>
              <w:t>0</w:t>
            </w:r>
            <w:r w:rsidR="00CE131A">
              <w:rPr>
                <w:szCs w:val="22"/>
              </w:rPr>
              <w:t>5</w:t>
            </w:r>
            <w:bookmarkStart w:id="46" w:name="_GoBack"/>
            <w:bookmarkEnd w:id="46"/>
            <w:r>
              <w:rPr>
                <w:szCs w:val="22"/>
              </w:rPr>
              <w:t xml:space="preserve"> </w:t>
            </w:r>
            <w:r w:rsidR="003A3934">
              <w:rPr>
                <w:szCs w:val="22"/>
              </w:rPr>
              <w:t>August</w:t>
            </w:r>
            <w:r w:rsidR="003A3934" w:rsidRPr="00FB05F0">
              <w:rPr>
                <w:szCs w:val="22"/>
              </w:rPr>
              <w:t xml:space="preserve"> </w:t>
            </w:r>
            <w:r w:rsidR="008E77D7" w:rsidRPr="00FB05F0">
              <w:rPr>
                <w:szCs w:val="22"/>
              </w:rPr>
              <w:t>2024</w:t>
            </w:r>
          </w:p>
          <w:p w14:paraId="56B42EFA" w14:textId="44B7DD7C" w:rsidR="00622381" w:rsidRPr="00807DAF" w:rsidRDefault="00622381" w:rsidP="00F15864">
            <w:pPr>
              <w:spacing w:before="120"/>
              <w:jc w:val="center"/>
              <w:rPr>
                <w:szCs w:val="22"/>
              </w:rPr>
            </w:pPr>
          </w:p>
        </w:tc>
        <w:tc>
          <w:tcPr>
            <w:tcW w:w="2551" w:type="dxa"/>
          </w:tcPr>
          <w:p w14:paraId="623A15EC" w14:textId="3D56E680" w:rsidR="00FB05F0" w:rsidRDefault="00FB05F0" w:rsidP="00FB05F0">
            <w:pPr>
              <w:spacing w:before="120"/>
              <w:jc w:val="center"/>
              <w:rPr>
                <w:szCs w:val="22"/>
              </w:rPr>
            </w:pPr>
            <w:r>
              <w:rPr>
                <w:szCs w:val="22"/>
              </w:rPr>
              <w:t>16:00 (</w:t>
            </w:r>
            <w:r w:rsidRPr="00FB05F0">
              <w:rPr>
                <w:szCs w:val="22"/>
              </w:rPr>
              <w:t>Brussels time</w:t>
            </w:r>
            <w:r w:rsidRPr="00FB05F0" w:rsidDel="009215DF">
              <w:rPr>
                <w:szCs w:val="22"/>
              </w:rPr>
              <w:t xml:space="preserve"> </w:t>
            </w:r>
            <w:r>
              <w:rPr>
                <w:szCs w:val="22"/>
              </w:rPr>
              <w:t>)</w:t>
            </w:r>
          </w:p>
          <w:p w14:paraId="597B0F0D" w14:textId="1CAE3529" w:rsidR="00622381" w:rsidRPr="00807DAF" w:rsidRDefault="00622381" w:rsidP="008D3020">
            <w:pPr>
              <w:spacing w:before="120"/>
              <w:jc w:val="center"/>
              <w:rPr>
                <w:szCs w:val="22"/>
              </w:rPr>
            </w:pPr>
          </w:p>
        </w:tc>
      </w:tr>
      <w:tr w:rsidR="00622381" w:rsidRPr="00807DAF" w14:paraId="29C080FC" w14:textId="77777777" w:rsidTr="00984331">
        <w:tc>
          <w:tcPr>
            <w:tcW w:w="4678" w:type="dxa"/>
            <w:shd w:val="pct10" w:color="auto" w:fill="FFFFFF"/>
          </w:tcPr>
          <w:p w14:paraId="6F3CE051" w14:textId="77777777" w:rsidR="00622381" w:rsidRPr="00807DAF" w:rsidRDefault="00E72707" w:rsidP="001C4D3A">
            <w:pPr>
              <w:spacing w:before="120"/>
              <w:ind w:left="318" w:hanging="284"/>
              <w:jc w:val="left"/>
              <w:rPr>
                <w:b/>
                <w:szCs w:val="22"/>
              </w:rPr>
            </w:pPr>
            <w:r>
              <w:rPr>
                <w:b/>
                <w:szCs w:val="22"/>
              </w:rPr>
              <w:t>8</w:t>
            </w:r>
            <w:r w:rsidR="001C4D3A">
              <w:rPr>
                <w:b/>
                <w:szCs w:val="22"/>
              </w:rPr>
              <w:t>.</w:t>
            </w:r>
            <w:r w:rsidR="001C4D3A">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the evaluation of the </w:t>
            </w:r>
            <w:r w:rsidR="00F65B55">
              <w:rPr>
                <w:b/>
                <w:szCs w:val="22"/>
              </w:rPr>
              <w:t>f</w:t>
            </w:r>
            <w:r w:rsidR="00537CD5" w:rsidRPr="00807DAF">
              <w:rPr>
                <w:b/>
                <w:szCs w:val="22"/>
              </w:rPr>
              <w:t xml:space="preserve">ull </w:t>
            </w:r>
            <w:r w:rsidR="00F65B55">
              <w:rPr>
                <w:b/>
                <w:szCs w:val="22"/>
              </w:rPr>
              <w:t>a</w:t>
            </w:r>
            <w:r w:rsidR="00622381" w:rsidRPr="00807DAF">
              <w:rPr>
                <w:b/>
                <w:szCs w:val="22"/>
              </w:rPr>
              <w:t>pplication</w:t>
            </w:r>
            <w:r w:rsidR="00F65B55">
              <w:rPr>
                <w:b/>
                <w:szCs w:val="22"/>
              </w:rPr>
              <w:t>s</w:t>
            </w:r>
            <w:r w:rsidR="00622381" w:rsidRPr="00807DAF">
              <w:rPr>
                <w:b/>
                <w:szCs w:val="22"/>
              </w:rPr>
              <w:t xml:space="preserve"> </w:t>
            </w:r>
            <w:r w:rsidR="00E708CB" w:rsidRPr="00807DAF">
              <w:rPr>
                <w:b/>
                <w:szCs w:val="22"/>
              </w:rPr>
              <w:t>(</w:t>
            </w:r>
            <w:r w:rsidR="009B7BB7" w:rsidRPr="00807DAF">
              <w:rPr>
                <w:b/>
                <w:szCs w:val="22"/>
              </w:rPr>
              <w:t>S</w:t>
            </w:r>
            <w:r w:rsidR="00E708CB" w:rsidRPr="00807DAF">
              <w:rPr>
                <w:b/>
                <w:szCs w:val="22"/>
              </w:rPr>
              <w:t xml:space="preserve">tep </w:t>
            </w:r>
            <w:r w:rsidR="003743F9" w:rsidRPr="00807DAF">
              <w:rPr>
                <w:b/>
                <w:szCs w:val="22"/>
              </w:rPr>
              <w:t>2</w:t>
            </w:r>
            <w:r w:rsidR="00E708CB" w:rsidRPr="00807DAF">
              <w:rPr>
                <w:b/>
                <w:szCs w:val="22"/>
              </w:rPr>
              <w:t>)</w:t>
            </w:r>
          </w:p>
        </w:tc>
        <w:tc>
          <w:tcPr>
            <w:tcW w:w="2552" w:type="dxa"/>
          </w:tcPr>
          <w:p w14:paraId="0D767B9D" w14:textId="1153C186" w:rsidR="00622381" w:rsidRPr="00807DAF" w:rsidRDefault="003A3934" w:rsidP="00F15864">
            <w:pPr>
              <w:spacing w:before="120"/>
              <w:jc w:val="center"/>
              <w:rPr>
                <w:szCs w:val="22"/>
              </w:rPr>
            </w:pPr>
            <w:r>
              <w:rPr>
                <w:szCs w:val="22"/>
              </w:rPr>
              <w:t xml:space="preserve">17 </w:t>
            </w:r>
            <w:r w:rsidR="008E77D7">
              <w:rPr>
                <w:szCs w:val="22"/>
              </w:rPr>
              <w:t>September 2024</w:t>
            </w:r>
          </w:p>
        </w:tc>
        <w:tc>
          <w:tcPr>
            <w:tcW w:w="2551" w:type="dxa"/>
          </w:tcPr>
          <w:p w14:paraId="1570F700" w14:textId="68D42755" w:rsidR="00622381" w:rsidRPr="00807DAF" w:rsidRDefault="00622381" w:rsidP="00247A41">
            <w:pPr>
              <w:spacing w:before="120"/>
              <w:jc w:val="center"/>
              <w:rPr>
                <w:szCs w:val="22"/>
              </w:rPr>
            </w:pPr>
          </w:p>
        </w:tc>
      </w:tr>
      <w:tr w:rsidR="008E77D7" w:rsidRPr="00807DAF" w14:paraId="04516272" w14:textId="77777777" w:rsidTr="00984331">
        <w:tc>
          <w:tcPr>
            <w:tcW w:w="4678" w:type="dxa"/>
            <w:shd w:val="pct10" w:color="auto" w:fill="FFFFFF"/>
          </w:tcPr>
          <w:p w14:paraId="5921100C" w14:textId="77777777" w:rsidR="008E77D7" w:rsidRPr="00807DAF" w:rsidRDefault="008E77D7" w:rsidP="008E77D7">
            <w:pPr>
              <w:spacing w:before="120"/>
              <w:ind w:left="318" w:hanging="284"/>
              <w:jc w:val="left"/>
              <w:rPr>
                <w:b/>
                <w:szCs w:val="22"/>
              </w:rPr>
            </w:pPr>
            <w:r>
              <w:rPr>
                <w:b/>
                <w:szCs w:val="22"/>
              </w:rPr>
              <w:t>9.</w:t>
            </w:r>
            <w:r>
              <w:rPr>
                <w:b/>
                <w:szCs w:val="22"/>
              </w:rPr>
              <w:tab/>
            </w:r>
            <w:r w:rsidRPr="00807DAF">
              <w:rPr>
                <w:b/>
                <w:szCs w:val="22"/>
              </w:rPr>
              <w:t>Notification of award (after the eligibility check) (Step 3)</w:t>
            </w:r>
          </w:p>
        </w:tc>
        <w:tc>
          <w:tcPr>
            <w:tcW w:w="2552" w:type="dxa"/>
          </w:tcPr>
          <w:p w14:paraId="647187A8" w14:textId="72E993E3" w:rsidR="008E77D7" w:rsidRPr="00807DAF" w:rsidRDefault="00842C6B" w:rsidP="00842C6B">
            <w:pPr>
              <w:spacing w:before="120"/>
              <w:jc w:val="center"/>
              <w:rPr>
                <w:szCs w:val="22"/>
              </w:rPr>
            </w:pPr>
            <w:r>
              <w:rPr>
                <w:szCs w:val="22"/>
              </w:rPr>
              <w:t xml:space="preserve">31 </w:t>
            </w:r>
            <w:r w:rsidR="008E77D7">
              <w:rPr>
                <w:szCs w:val="22"/>
              </w:rPr>
              <w:t>October 2024</w:t>
            </w:r>
          </w:p>
        </w:tc>
        <w:tc>
          <w:tcPr>
            <w:tcW w:w="2551" w:type="dxa"/>
          </w:tcPr>
          <w:p w14:paraId="726E1610" w14:textId="61C3FE91" w:rsidR="008E77D7" w:rsidRPr="00807DAF" w:rsidRDefault="008E77D7" w:rsidP="00247A41">
            <w:pPr>
              <w:spacing w:before="120"/>
              <w:jc w:val="center"/>
              <w:rPr>
                <w:szCs w:val="22"/>
              </w:rPr>
            </w:pPr>
          </w:p>
        </w:tc>
      </w:tr>
      <w:tr w:rsidR="00415248" w:rsidRPr="00807DAF" w14:paraId="43EB87B2" w14:textId="77777777" w:rsidTr="00984331">
        <w:tc>
          <w:tcPr>
            <w:tcW w:w="4678" w:type="dxa"/>
            <w:shd w:val="pct10" w:color="auto" w:fill="FFFFFF"/>
          </w:tcPr>
          <w:p w14:paraId="413A61FE" w14:textId="77777777" w:rsidR="00415248" w:rsidRPr="00807DAF" w:rsidRDefault="00E72707" w:rsidP="00AF03C8">
            <w:pPr>
              <w:spacing w:before="120"/>
              <w:ind w:left="318" w:hanging="284"/>
              <w:jc w:val="left"/>
              <w:rPr>
                <w:b/>
                <w:szCs w:val="22"/>
              </w:rPr>
            </w:pPr>
            <w:r>
              <w:rPr>
                <w:b/>
                <w:szCs w:val="22"/>
              </w:rPr>
              <w:t>10</w:t>
            </w:r>
            <w:r w:rsidR="001C4D3A">
              <w:rPr>
                <w:b/>
                <w:szCs w:val="22"/>
              </w:rPr>
              <w:t>.</w:t>
            </w:r>
            <w:r w:rsidR="00AF03C8">
              <w:rPr>
                <w:b/>
                <w:szCs w:val="22"/>
              </w:rPr>
              <w:t xml:space="preserve"> </w:t>
            </w:r>
            <w:r w:rsidR="00415248" w:rsidRPr="00807DAF">
              <w:rPr>
                <w:b/>
                <w:szCs w:val="22"/>
              </w:rPr>
              <w:t>Contract signature</w:t>
            </w:r>
          </w:p>
        </w:tc>
        <w:tc>
          <w:tcPr>
            <w:tcW w:w="2552" w:type="dxa"/>
          </w:tcPr>
          <w:p w14:paraId="6EECD0FC" w14:textId="0C4A0630" w:rsidR="00F910DA" w:rsidRPr="00423382" w:rsidRDefault="00842C6B" w:rsidP="00F15864">
            <w:pPr>
              <w:spacing w:before="120"/>
              <w:jc w:val="center"/>
              <w:rPr>
                <w:szCs w:val="22"/>
              </w:rPr>
            </w:pPr>
            <w:r>
              <w:rPr>
                <w:szCs w:val="22"/>
              </w:rPr>
              <w:t>2</w:t>
            </w:r>
            <w:r w:rsidR="00F910DA" w:rsidRPr="00423382">
              <w:rPr>
                <w:szCs w:val="22"/>
              </w:rPr>
              <w:t xml:space="preserve"> December</w:t>
            </w:r>
            <w:r w:rsidR="00EF5A5C" w:rsidRPr="00423382">
              <w:rPr>
                <w:szCs w:val="22"/>
              </w:rPr>
              <w:t xml:space="preserve"> 2024</w:t>
            </w:r>
          </w:p>
          <w:p w14:paraId="77CE180C" w14:textId="5AFB33F9" w:rsidR="00415248" w:rsidRPr="00807DAF" w:rsidRDefault="00415248" w:rsidP="00F15864">
            <w:pPr>
              <w:spacing w:before="120"/>
              <w:jc w:val="center"/>
              <w:rPr>
                <w:szCs w:val="22"/>
              </w:rPr>
            </w:pPr>
          </w:p>
        </w:tc>
        <w:tc>
          <w:tcPr>
            <w:tcW w:w="2551" w:type="dxa"/>
          </w:tcPr>
          <w:p w14:paraId="387D8F34" w14:textId="1A0283BD" w:rsidR="00415248" w:rsidRPr="00807DAF" w:rsidRDefault="00415248" w:rsidP="00F910DA">
            <w:pPr>
              <w:spacing w:before="120"/>
              <w:jc w:val="center"/>
              <w:rPr>
                <w:szCs w:val="22"/>
              </w:rPr>
            </w:pPr>
          </w:p>
        </w:tc>
      </w:tr>
    </w:tbl>
    <w:p w14:paraId="3DC18E48" w14:textId="77777777" w:rsidR="00E939EC" w:rsidRPr="00807DAF" w:rsidRDefault="00415248" w:rsidP="001C4D3A">
      <w:pPr>
        <w:spacing w:before="120"/>
      </w:pPr>
      <w:r w:rsidRPr="00807DAF">
        <w:t xml:space="preserve">All times are in the time zone of the country of the </w:t>
      </w:r>
      <w:r w:rsidR="00A33874">
        <w:t>c</w:t>
      </w:r>
      <w:r w:rsidRPr="00807DAF">
        <w:t xml:space="preserve">ontracting </w:t>
      </w:r>
      <w:r w:rsidR="00A33874">
        <w:t>a</w:t>
      </w:r>
      <w:r w:rsidRPr="00807DAF">
        <w:t>uthority</w:t>
      </w:r>
      <w:r w:rsidR="009B7BB7" w:rsidRPr="00807DAF">
        <w:t>.</w:t>
      </w:r>
    </w:p>
    <w:p w14:paraId="49A73EDC" w14:textId="2C83333E" w:rsidR="0013435B" w:rsidRPr="005F7635" w:rsidRDefault="00D23749" w:rsidP="00984331">
      <w:pPr>
        <w:rPr>
          <w:szCs w:val="22"/>
        </w:rPr>
      </w:pPr>
      <w:r w:rsidRPr="00807DAF">
        <w:t xml:space="preserve">This indicative timetable </w:t>
      </w:r>
      <w:r w:rsidR="00E76203">
        <w:t xml:space="preserve">refers to provisional dates (except for </w:t>
      </w:r>
      <w:r w:rsidR="00273299">
        <w:t xml:space="preserve">dates 2, 3, and 4) </w:t>
      </w:r>
      <w:r w:rsidR="00E76203" w:rsidRPr="00951BF6">
        <w:rPr>
          <w:szCs w:val="22"/>
        </w:rPr>
        <w:t xml:space="preserve">and </w:t>
      </w:r>
      <w:r w:rsidRPr="00807DAF">
        <w:t xml:space="preserve">may be </w:t>
      </w:r>
      <w:r w:rsidR="00E120C3" w:rsidRPr="00807DAF">
        <w:t>updated</w:t>
      </w:r>
      <w:r w:rsidRPr="00807DAF">
        <w:t xml:space="preserve"> by the </w:t>
      </w:r>
      <w:r w:rsidR="00A33874">
        <w:t>c</w:t>
      </w:r>
      <w:r w:rsidRPr="00807DAF">
        <w:t xml:space="preserve">ontracting </w:t>
      </w:r>
      <w:r w:rsidR="00A33874">
        <w:t>a</w:t>
      </w:r>
      <w:r w:rsidRPr="00807DAF">
        <w:t xml:space="preserve">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the web site</w:t>
      </w:r>
      <w:r w:rsidR="00AD1CBB">
        <w:t xml:space="preserve"> </w:t>
      </w:r>
      <w:r w:rsidR="00CD1CF2">
        <w:rPr>
          <w:szCs w:val="22"/>
        </w:rPr>
        <w:t>where the call was published: website</w:t>
      </w:r>
      <w:r w:rsidR="00CD1CF2">
        <w:t xml:space="preserve"> </w:t>
      </w:r>
      <w:r w:rsidR="00AD1CBB">
        <w:t xml:space="preserve">of DG </w:t>
      </w:r>
      <w:r w:rsidR="005F1DB9">
        <w:t>International Partnerships</w:t>
      </w:r>
      <w:r w:rsidR="009B7BB7" w:rsidRPr="00807DAF">
        <w:tab/>
      </w:r>
      <w:r w:rsidRPr="00807DAF">
        <w:t xml:space="preserve"> </w:t>
      </w:r>
      <w:hyperlink r:id="rId32" w:history="1">
        <w:r w:rsidR="0041369D" w:rsidRPr="009C76F9">
          <w:rPr>
            <w:rStyle w:val="Hyperlink"/>
            <w:szCs w:val="22"/>
          </w:rPr>
          <w:t>https://ec.europa.eu/international-partnerships/home_fr</w:t>
        </w:r>
      </w:hyperlink>
      <w:r w:rsidR="00CD1CF2" w:rsidRPr="00232301">
        <w:rPr>
          <w:rStyle w:val="Hyperlink"/>
          <w:szCs w:val="22"/>
          <w:u w:val="none"/>
        </w:rPr>
        <w:t xml:space="preserve"> </w:t>
      </w:r>
      <w:r w:rsidR="00CD1CF2" w:rsidRPr="00F1518C">
        <w:t xml:space="preserve">or </w:t>
      </w:r>
      <w:r w:rsidR="00933F69">
        <w:t>Funding &amp; T</w:t>
      </w:r>
      <w:r w:rsidR="00CD1CF2" w:rsidRPr="00F1518C">
        <w:t>ender opportunities (</w:t>
      </w:r>
      <w:proofErr w:type="spellStart"/>
      <w:r w:rsidR="00CD1CF2" w:rsidRPr="00F1518C">
        <w:t>F&amp;T</w:t>
      </w:r>
      <w:proofErr w:type="spellEnd"/>
      <w:r w:rsidR="00CD1CF2" w:rsidRPr="00F1518C">
        <w:t xml:space="preserve"> Portal) </w:t>
      </w:r>
      <w:hyperlink r:id="rId33" w:history="1">
        <w:r w:rsidR="00CD1CF2" w:rsidRPr="007578F4">
          <w:rPr>
            <w:rStyle w:val="Hyperlink"/>
          </w:rPr>
          <w:t>https://ec.europa.eu/info/funding-tenders/opportunities/portal/screen/home</w:t>
        </w:r>
      </w:hyperlink>
    </w:p>
    <w:p w14:paraId="30236267" w14:textId="77777777" w:rsidR="0007408E" w:rsidRPr="00807DAF" w:rsidRDefault="0007408E" w:rsidP="000E75FE">
      <w:pPr>
        <w:pStyle w:val="Guidelines2"/>
        <w:numPr>
          <w:ilvl w:val="1"/>
          <w:numId w:val="9"/>
        </w:numPr>
      </w:pPr>
      <w:bookmarkStart w:id="47" w:name="_Toc40507655"/>
      <w:bookmarkStart w:id="48" w:name="_Toc74830969"/>
      <w:r w:rsidRPr="00807DAF">
        <w:t xml:space="preserve">Conditions </w:t>
      </w:r>
      <w:r w:rsidR="009B7BB7" w:rsidRPr="00807DAF">
        <w:t>for</w:t>
      </w:r>
      <w:r w:rsidRPr="00807DAF">
        <w:t xml:space="preserve"> implementation </w:t>
      </w:r>
      <w:r w:rsidR="009B7BB7" w:rsidRPr="00807DAF">
        <w:t>after</w:t>
      </w:r>
      <w:r w:rsidRPr="00807DAF">
        <w:t xml:space="preserve"> the </w:t>
      </w:r>
      <w:r w:rsidR="00A33874">
        <w:t>c</w:t>
      </w:r>
      <w:r w:rsidRPr="00807DAF">
        <w:t xml:space="preserve">ontracting </w:t>
      </w:r>
      <w:r w:rsidR="00A33874">
        <w:t>a</w:t>
      </w:r>
      <w:r w:rsidRPr="00807DAF">
        <w:t>uthority</w:t>
      </w:r>
      <w:r w:rsidR="00A016F9" w:rsidRPr="00807DAF">
        <w:t>’</w:t>
      </w:r>
      <w:r w:rsidRPr="00807DAF">
        <w:t>s decision to award a grant</w:t>
      </w:r>
      <w:bookmarkEnd w:id="47"/>
      <w:bookmarkEnd w:id="48"/>
    </w:p>
    <w:p w14:paraId="5882D325" w14:textId="77777777" w:rsidR="00511FEE" w:rsidRPr="00807DAF" w:rsidRDefault="00511FEE" w:rsidP="002D4ACD">
      <w:pPr>
        <w:spacing w:after="120"/>
      </w:pPr>
      <w:r w:rsidRPr="00807DAF">
        <w:t xml:space="preserve">Following the decision to award a grant, the </w:t>
      </w:r>
      <w:proofErr w:type="gramStart"/>
      <w:r w:rsidR="00F65B55">
        <w:t>b</w:t>
      </w:r>
      <w:r w:rsidRPr="00807DAF">
        <w:t>eneficiary</w:t>
      </w:r>
      <w:r w:rsidR="00FA2479" w:rsidRPr="00807DAF">
        <w:t>(</w:t>
      </w:r>
      <w:proofErr w:type="spellStart"/>
      <w:proofErr w:type="gramEnd"/>
      <w:r w:rsidR="00FA2479" w:rsidRPr="00807DAF">
        <w:t>ies</w:t>
      </w:r>
      <w:proofErr w:type="spellEnd"/>
      <w:r w:rsidR="00FA2479" w:rsidRPr="00807DAF">
        <w:t>)</w:t>
      </w:r>
      <w:r w:rsidRPr="00807DAF">
        <w:t xml:space="preserve"> will be offered a contract based on the </w:t>
      </w:r>
      <w:r w:rsidR="00F65B55">
        <w:t xml:space="preserve">standard </w:t>
      </w:r>
      <w:r w:rsidR="00450369" w:rsidRPr="00807DAF">
        <w:t xml:space="preserve">grant </w:t>
      </w:r>
      <w:r w:rsidRPr="00807DAF">
        <w:t>contract (</w:t>
      </w:r>
      <w:r w:rsidR="00AA4FE0" w:rsidRPr="00807DAF">
        <w:t xml:space="preserve">see </w:t>
      </w:r>
      <w:r w:rsidRPr="00807DAF">
        <w:t xml:space="preserve">Annex </w:t>
      </w:r>
      <w:r w:rsidR="00826F51">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F65B55">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6609F" w:rsidRPr="0026609F">
        <w:t xml:space="preserve"> </w:t>
      </w:r>
      <w:r w:rsidR="0026609F">
        <w:t>Where the c</w:t>
      </w:r>
      <w:r w:rsidR="0026609F" w:rsidRPr="0026609F">
        <w:t>oordinator is an organisation whose pillars have been posit</w:t>
      </w:r>
      <w:r w:rsidR="0026609F">
        <w:t>ively assessed, it will sign a c</w:t>
      </w:r>
      <w:r w:rsidR="0026609F" w:rsidRPr="0026609F">
        <w:t>ontributio</w:t>
      </w:r>
      <w:r w:rsidR="0026609F">
        <w:t>n agreement based on the contribution a</w:t>
      </w:r>
      <w:r w:rsidR="0026609F" w:rsidRPr="0026609F">
        <w:t>greement template</w:t>
      </w:r>
      <w:r w:rsidR="00530E9C">
        <w:t>. In this case</w:t>
      </w:r>
      <w:r w:rsidR="00C03269">
        <w:t>,</w:t>
      </w:r>
      <w:r w:rsidR="00530E9C">
        <w:t xml:space="preserve"> references to provisions of the standard grant contract and its annexes shall not apply. References in these </w:t>
      </w:r>
      <w:r w:rsidR="00F65B55">
        <w:t>g</w:t>
      </w:r>
      <w:r w:rsidR="00530E9C">
        <w:t xml:space="preserve">uidelines to the </w:t>
      </w:r>
      <w:r w:rsidR="00F65B55">
        <w:t>g</w:t>
      </w:r>
      <w:r w:rsidR="00530E9C">
        <w:t xml:space="preserve">rant </w:t>
      </w:r>
      <w:r w:rsidR="00F65B55">
        <w:t>c</w:t>
      </w:r>
      <w:r w:rsidR="00530E9C">
        <w:t>ontract shall be understood as references to the relevant provisions of the</w:t>
      </w:r>
      <w:r w:rsidR="0026609F">
        <w:t xml:space="preserve"> c</w:t>
      </w:r>
      <w:r w:rsidR="0026609F" w:rsidRPr="0026609F">
        <w:t>ontributio</w:t>
      </w:r>
      <w:r w:rsidR="0026609F">
        <w:t>n agreement</w:t>
      </w:r>
      <w:r w:rsidR="00530E9C">
        <w:t>.</w:t>
      </w:r>
    </w:p>
    <w:p w14:paraId="2DEB2874" w14:textId="77777777" w:rsidR="00FD5A29" w:rsidRPr="00807DAF" w:rsidRDefault="00FD5A29" w:rsidP="00FD5A29">
      <w:pPr>
        <w:spacing w:before="240"/>
        <w:rPr>
          <w:u w:val="single"/>
        </w:rPr>
      </w:pPr>
      <w:r>
        <w:rPr>
          <w:u w:val="single"/>
        </w:rPr>
        <w:t xml:space="preserve">Implementation </w:t>
      </w:r>
      <w:r w:rsidRPr="00807DAF">
        <w:rPr>
          <w:u w:val="single"/>
        </w:rPr>
        <w:t>contracts</w:t>
      </w:r>
    </w:p>
    <w:p w14:paraId="317BC734" w14:textId="77777777" w:rsidR="0007408E" w:rsidRDefault="0007408E" w:rsidP="00984331">
      <w:r w:rsidRPr="00807DAF">
        <w:t xml:space="preserve">Where implementation of the action requires the </w:t>
      </w:r>
      <w:proofErr w:type="gramStart"/>
      <w:r w:rsidR="00F65B55">
        <w:t>b</w:t>
      </w:r>
      <w:r w:rsidRPr="00807DAF">
        <w:t>eneficiar</w:t>
      </w:r>
      <w:r w:rsidR="00544E5D" w:rsidRPr="00807DAF">
        <w:t>y(</w:t>
      </w:r>
      <w:proofErr w:type="spellStart"/>
      <w:proofErr w:type="gramEnd"/>
      <w:r w:rsidR="00544E5D" w:rsidRPr="00807DAF">
        <w:t>ies</w:t>
      </w:r>
      <w:proofErr w:type="spellEnd"/>
      <w:r w:rsidR="00544E5D" w:rsidRPr="00807DAF">
        <w:t>)</w:t>
      </w:r>
      <w:r w:rsidRPr="00807DAF">
        <w:t xml:space="preserve"> </w:t>
      </w:r>
      <w:r w:rsidR="00544E5D" w:rsidRPr="00807DAF">
        <w:t>and its affiliated entity(</w:t>
      </w:r>
      <w:proofErr w:type="spellStart"/>
      <w:r w:rsidR="00544E5D" w:rsidRPr="00807DAF">
        <w:t>ies</w:t>
      </w:r>
      <w:proofErr w:type="spellEnd"/>
      <w:r w:rsidR="00544E5D" w:rsidRPr="00807DAF">
        <w:t>) (if any)</w:t>
      </w:r>
      <w:r w:rsidR="008A7A99" w:rsidRPr="00807DAF">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14:paraId="7495E04B" w14:textId="77777777" w:rsidR="00FD5A29" w:rsidRDefault="00FD5A29" w:rsidP="00FD5A29">
      <w:r>
        <w:t xml:space="preserve">In this context, a distinction should be made between awarding implementation contracts and subcontracting parts of the action described in the proposal, </w:t>
      </w:r>
      <w:r w:rsidR="00425F69">
        <w:t xml:space="preserve">i.e. </w:t>
      </w:r>
      <w:r>
        <w:t xml:space="preserve">the description of the action annexed to the grant </w:t>
      </w:r>
      <w:r w:rsidR="008C1586">
        <w:t>contract</w:t>
      </w:r>
      <w:r>
        <w:t xml:space="preserve">, such subcontracting being subject to additional restrictions (see the general terms and conditions in the model grant </w:t>
      </w:r>
      <w:proofErr w:type="gramStart"/>
      <w:r w:rsidR="0097226D">
        <w:t xml:space="preserve">contract </w:t>
      </w:r>
      <w:r>
        <w:t>)</w:t>
      </w:r>
      <w:proofErr w:type="gramEnd"/>
      <w:r>
        <w:t xml:space="preserve">.  </w:t>
      </w:r>
    </w:p>
    <w:p w14:paraId="34CA853F" w14:textId="77777777" w:rsidR="00FD5A29" w:rsidRDefault="00FD5A29" w:rsidP="00FD5A29">
      <w:r>
        <w:t xml:space="preserve">Awarding implementation contracts: </w:t>
      </w:r>
      <w:r w:rsidR="00425F69">
        <w:t>i</w:t>
      </w:r>
      <w:r>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425F69">
        <w:t xml:space="preserve">contract </w:t>
      </w:r>
      <w:r>
        <w:t xml:space="preserve">. </w:t>
      </w:r>
    </w:p>
    <w:p w14:paraId="5866A038" w14:textId="77777777" w:rsidR="00FD5A29" w:rsidRDefault="00FD5A29" w:rsidP="00FD5A29">
      <w:r>
        <w:t xml:space="preserve">Subcontracting: Subcontracting is the implementation, by a third party with which one or more beneficiaries have concluded a procurement contract, of specific tasks forming part of the action as described in </w:t>
      </w:r>
      <w:r w:rsidR="00E73F33">
        <w:t>a</w:t>
      </w:r>
      <w:r>
        <w:t xml:space="preserve">nnex to the </w:t>
      </w:r>
      <w:r w:rsidR="00E73F33">
        <w:t xml:space="preserve">grant </w:t>
      </w:r>
      <w:r w:rsidR="00425F69">
        <w:t>contrac</w:t>
      </w:r>
      <w:r>
        <w:t xml:space="preserve">t (see also the general terms and conditions in the model grant </w:t>
      </w:r>
      <w:r w:rsidR="00425F69">
        <w:t>contract</w:t>
      </w:r>
      <w:r>
        <w:t xml:space="preserve">). </w:t>
      </w:r>
    </w:p>
    <w:p w14:paraId="741D787B" w14:textId="77777777" w:rsidR="00FD5A29" w:rsidRPr="00807DAF" w:rsidRDefault="00FD5A29" w:rsidP="00984331"/>
    <w:p w14:paraId="29A3F55B" w14:textId="77777777" w:rsidR="0007408E" w:rsidRPr="00807DAF" w:rsidRDefault="00267E4F" w:rsidP="000E75FE">
      <w:pPr>
        <w:pStyle w:val="Guidelines1"/>
        <w:numPr>
          <w:ilvl w:val="0"/>
          <w:numId w:val="9"/>
        </w:numPr>
        <w:tabs>
          <w:tab w:val="clear" w:pos="1492"/>
        </w:tabs>
        <w:rPr>
          <w:rFonts w:ascii="Times New Roman" w:hAnsi="Times New Roman"/>
        </w:rPr>
      </w:pPr>
      <w:bookmarkStart w:id="49" w:name="_Toc40507656"/>
      <w:r w:rsidRPr="00807DAF">
        <w:rPr>
          <w:rFonts w:ascii="Times New Roman" w:hAnsi="Times New Roman"/>
        </w:rPr>
        <w:br w:type="page"/>
      </w:r>
      <w:bookmarkStart w:id="50" w:name="_Toc74830970"/>
      <w:r w:rsidR="0007408E" w:rsidRPr="00807DAF">
        <w:rPr>
          <w:rFonts w:ascii="Times New Roman" w:hAnsi="Times New Roman"/>
        </w:rPr>
        <w:t>LIST OF annexes</w:t>
      </w:r>
      <w:bookmarkEnd w:id="49"/>
      <w:bookmarkEnd w:id="50"/>
    </w:p>
    <w:p w14:paraId="66B6A18F" w14:textId="77777777" w:rsidR="00112E4F" w:rsidRPr="00807DAF" w:rsidRDefault="00112E4F" w:rsidP="00600738">
      <w:pPr>
        <w:rPr>
          <w:b/>
          <w:smallCaps/>
        </w:rPr>
      </w:pPr>
      <w:bookmarkStart w:id="51" w:name="_Toc40507657"/>
      <w:r w:rsidRPr="00807DAF">
        <w:rPr>
          <w:b/>
          <w:smallCaps/>
        </w:rPr>
        <w:t>D</w:t>
      </w:r>
      <w:r w:rsidR="00600738" w:rsidRPr="00807DAF">
        <w:rPr>
          <w:b/>
          <w:smallCaps/>
        </w:rPr>
        <w:t>ocuments to</w:t>
      </w:r>
      <w:r w:rsidRPr="00807DAF">
        <w:rPr>
          <w:b/>
          <w:smallCaps/>
        </w:rPr>
        <w:t xml:space="preserve"> </w:t>
      </w:r>
      <w:r w:rsidR="00E708CB" w:rsidRPr="00807DAF">
        <w:rPr>
          <w:b/>
          <w:smallCaps/>
        </w:rPr>
        <w:t>be completed</w:t>
      </w:r>
    </w:p>
    <w:p w14:paraId="0760D07B" w14:textId="77777777" w:rsidR="0007408E" w:rsidRDefault="0007408E" w:rsidP="001C4D3A">
      <w:pPr>
        <w:spacing w:after="80"/>
        <w:ind w:left="1134" w:hanging="1134"/>
      </w:pPr>
      <w:r w:rsidRPr="00807DAF">
        <w:t>Annex A:</w:t>
      </w:r>
      <w:r w:rsidR="00600738" w:rsidRPr="00807DAF">
        <w:tab/>
      </w:r>
      <w:r w:rsidRPr="00807DAF">
        <w:t xml:space="preserve">Grant </w:t>
      </w:r>
      <w:r w:rsidR="00A33874">
        <w:t>a</w:t>
      </w:r>
      <w:r w:rsidRPr="00807DAF">
        <w:t xml:space="preserve">pplication </w:t>
      </w:r>
      <w:r w:rsidR="00A33874">
        <w:t>f</w:t>
      </w:r>
      <w:r w:rsidRPr="00807DAF">
        <w:t>orm (Word format)</w:t>
      </w:r>
      <w:bookmarkEnd w:id="51"/>
    </w:p>
    <w:p w14:paraId="282AB6E2" w14:textId="77777777" w:rsidR="00964FB0" w:rsidRDefault="00964FB0" w:rsidP="001C4D3A">
      <w:pPr>
        <w:spacing w:after="80"/>
        <w:ind w:left="1134" w:hanging="1134"/>
      </w:pPr>
      <w:r>
        <w:tab/>
        <w:t>A</w:t>
      </w:r>
      <w:r w:rsidR="00E92E8A">
        <w:t>.</w:t>
      </w:r>
      <w:r>
        <w:t>1 – Concept note</w:t>
      </w:r>
    </w:p>
    <w:p w14:paraId="09B6B86C" w14:textId="77777777" w:rsidR="00964FB0" w:rsidRPr="00807DAF" w:rsidRDefault="00964FB0" w:rsidP="001C4D3A">
      <w:pPr>
        <w:spacing w:after="80"/>
        <w:ind w:left="1134" w:hanging="1134"/>
      </w:pPr>
      <w:r>
        <w:tab/>
        <w:t>A</w:t>
      </w:r>
      <w:r w:rsidR="00E92E8A">
        <w:t>.</w:t>
      </w:r>
      <w:r>
        <w:t>2 – Full application form</w:t>
      </w:r>
    </w:p>
    <w:p w14:paraId="41CDC32D" w14:textId="77777777" w:rsidR="008D553A" w:rsidRPr="00807DAF" w:rsidRDefault="00600738" w:rsidP="001C4D3A">
      <w:pPr>
        <w:spacing w:after="80"/>
        <w:ind w:left="1134" w:hanging="1134"/>
      </w:pPr>
      <w:bookmarkStart w:id="52" w:name="_Toc40507658"/>
      <w:r w:rsidRPr="00807DAF">
        <w:t>Annex B:</w:t>
      </w:r>
      <w:r w:rsidRPr="00807DAF">
        <w:tab/>
      </w:r>
      <w:r w:rsidR="0007408E" w:rsidRPr="00807DAF">
        <w:t>Budget (Excel format)</w:t>
      </w:r>
      <w:bookmarkEnd w:id="52"/>
    </w:p>
    <w:p w14:paraId="0DC57B2E" w14:textId="77777777" w:rsidR="0007408E" w:rsidRPr="00807DAF" w:rsidRDefault="0007408E" w:rsidP="001C4D3A">
      <w:pPr>
        <w:spacing w:after="80"/>
        <w:ind w:left="1134" w:hanging="1134"/>
      </w:pPr>
      <w:bookmarkStart w:id="53" w:name="_Toc40507659"/>
      <w:r w:rsidRPr="00F53E16">
        <w:t>Annex C:</w:t>
      </w:r>
      <w:r w:rsidR="00600738" w:rsidRPr="00F53E16">
        <w:tab/>
      </w:r>
      <w:r w:rsidRPr="00F53E16">
        <w:t xml:space="preserve">Logical </w:t>
      </w:r>
      <w:r w:rsidR="00A33874">
        <w:t>f</w:t>
      </w:r>
      <w:r w:rsidRPr="00F53E16">
        <w:t>ramework (Excel format)</w:t>
      </w:r>
      <w:bookmarkEnd w:id="53"/>
    </w:p>
    <w:p w14:paraId="6C13416A" w14:textId="77777777" w:rsidR="0079640D" w:rsidRPr="003F023E" w:rsidRDefault="0007408E" w:rsidP="001C4D3A">
      <w:pPr>
        <w:spacing w:after="80"/>
        <w:ind w:left="1134" w:hanging="1134"/>
      </w:pPr>
      <w:bookmarkStart w:id="54" w:name="_Toc40507660"/>
      <w:r w:rsidRPr="00BA6979">
        <w:t>Annex D:</w:t>
      </w:r>
      <w:bookmarkEnd w:id="54"/>
      <w:r w:rsidR="00600738" w:rsidRPr="003E52C8">
        <w:tab/>
      </w:r>
      <w:r w:rsidR="00DB227A" w:rsidRPr="00BA6979">
        <w:t xml:space="preserve">Legal </w:t>
      </w:r>
      <w:r w:rsidR="00A33874" w:rsidRPr="00BA6979">
        <w:t>e</w:t>
      </w:r>
      <w:r w:rsidR="00DB227A" w:rsidRPr="00BA6979">
        <w:t xml:space="preserve">ntity </w:t>
      </w:r>
      <w:r w:rsidR="00A33874" w:rsidRPr="00BA6979">
        <w:t>s</w:t>
      </w:r>
      <w:r w:rsidR="00FA2043" w:rsidRPr="00BA6979">
        <w:t>heet</w:t>
      </w:r>
      <w:bookmarkStart w:id="55" w:name="_Toc40507661"/>
    </w:p>
    <w:p w14:paraId="39C17811" w14:textId="77777777" w:rsidR="00872E67" w:rsidRDefault="00872E67" w:rsidP="001C4D3A">
      <w:pPr>
        <w:spacing w:after="80"/>
        <w:ind w:left="1134" w:hanging="1134"/>
      </w:pPr>
      <w:r w:rsidRPr="00BA6979">
        <w:t>Annex E:</w:t>
      </w:r>
      <w:r w:rsidR="00600738" w:rsidRPr="003E52C8">
        <w:tab/>
      </w:r>
      <w:r w:rsidRPr="00BA6979">
        <w:t>Financial identification form</w:t>
      </w:r>
    </w:p>
    <w:p w14:paraId="4E28080E" w14:textId="77777777" w:rsidR="00C64EA0" w:rsidRDefault="00C64EA0" w:rsidP="001C4D3A">
      <w:pPr>
        <w:spacing w:after="80"/>
        <w:ind w:left="1134" w:hanging="1134"/>
      </w:pPr>
      <w:bookmarkStart w:id="56" w:name="_Hlk522123000"/>
      <w:bookmarkStart w:id="57" w:name="OLE_LINK3"/>
      <w:r>
        <w:t xml:space="preserve">Annex F: </w:t>
      </w:r>
      <w:r>
        <w:tab/>
      </w:r>
      <w:proofErr w:type="spellStart"/>
      <w:r w:rsidR="007941FB">
        <w:t>PADOR</w:t>
      </w:r>
      <w:proofErr w:type="spellEnd"/>
      <w:r w:rsidR="007941FB">
        <w:t xml:space="preserve"> </w:t>
      </w:r>
      <w:r w:rsidR="001F4A09" w:rsidRPr="001F4A09">
        <w:t>registration form</w:t>
      </w:r>
      <w:r w:rsidR="001F4A09">
        <w:t xml:space="preserve"> </w:t>
      </w:r>
      <w:bookmarkEnd w:id="56"/>
      <w:bookmarkEnd w:id="57"/>
    </w:p>
    <w:p w14:paraId="70C9DFCB" w14:textId="77777777" w:rsidR="000D46D7" w:rsidRPr="00BA6979" w:rsidRDefault="000D46D7" w:rsidP="000D46D7">
      <w:pPr>
        <w:spacing w:after="80"/>
        <w:ind w:left="1134" w:hanging="1134"/>
      </w:pPr>
    </w:p>
    <w:p w14:paraId="0B9B5F5E" w14:textId="77777777" w:rsidR="000D46D7" w:rsidRPr="00A66ADE" w:rsidRDefault="000D46D7" w:rsidP="001C4D3A">
      <w:pPr>
        <w:spacing w:after="80"/>
        <w:ind w:left="1134" w:hanging="1134"/>
      </w:pPr>
    </w:p>
    <w:p w14:paraId="62A64CEC" w14:textId="77777777" w:rsidR="00112E4F" w:rsidRPr="00C20B41" w:rsidRDefault="00112E4F" w:rsidP="00600738">
      <w:pPr>
        <w:spacing w:before="240"/>
        <w:rPr>
          <w:b/>
          <w:smallCaps/>
        </w:rPr>
      </w:pPr>
      <w:r w:rsidRPr="00C20B41">
        <w:rPr>
          <w:b/>
          <w:smallCaps/>
        </w:rPr>
        <w:t>DOCUMENTS FOR INFORMATION</w:t>
      </w:r>
      <w:r w:rsidR="0025435C">
        <w:rPr>
          <w:rStyle w:val="FootnoteReference"/>
          <w:b/>
          <w:smallCaps/>
          <w:lang w:val="fr-FR"/>
        </w:rPr>
        <w:footnoteReference w:id="20"/>
      </w:r>
    </w:p>
    <w:p w14:paraId="20E1E748" w14:textId="77777777" w:rsidR="00293A81" w:rsidRPr="00C20B41" w:rsidRDefault="0007408E" w:rsidP="00293A81">
      <w:pPr>
        <w:spacing w:after="120"/>
        <w:ind w:left="1134" w:hanging="1134"/>
      </w:pPr>
      <w:r w:rsidRPr="00C20B41">
        <w:t xml:space="preserve">Annex </w:t>
      </w:r>
      <w:r w:rsidR="00826F51">
        <w:t>G</w:t>
      </w:r>
      <w:r w:rsidR="00600738" w:rsidRPr="00C20B41">
        <w:t>:</w:t>
      </w:r>
      <w:r w:rsidR="00600738" w:rsidRPr="00D803E4">
        <w:tab/>
      </w:r>
      <w:r w:rsidRPr="00C20B41">
        <w:t xml:space="preserve">Standard </w:t>
      </w:r>
      <w:r w:rsidR="00A33874" w:rsidRPr="00C20B41">
        <w:t>g</w:t>
      </w:r>
      <w:r w:rsidR="00450369" w:rsidRPr="00C20B41">
        <w:t xml:space="preserve">rant </w:t>
      </w:r>
      <w:r w:rsidR="00293A81" w:rsidRPr="00C20B41">
        <w:t>contract</w:t>
      </w:r>
    </w:p>
    <w:bookmarkEnd w:id="55"/>
    <w:p w14:paraId="15727E10"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151EDE">
        <w:t>g</w:t>
      </w:r>
      <w:r w:rsidRPr="00807DAF">
        <w:t xml:space="preserve">eneral conditions </w:t>
      </w:r>
    </w:p>
    <w:p w14:paraId="645AFB89"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Pr="00807DAF">
        <w:t xml:space="preserve">contract award </w:t>
      </w:r>
      <w:r w:rsidR="00333E48">
        <w:t>rules</w:t>
      </w:r>
    </w:p>
    <w:p w14:paraId="11709ACD"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Pr="00807DAF">
        <w:t>standard request for payment</w:t>
      </w:r>
    </w:p>
    <w:p w14:paraId="27EF70C2"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009D141D" w:rsidRPr="00807DAF">
        <w:t>A</w:t>
      </w:r>
      <w:r w:rsidRPr="00807DAF">
        <w:t>nnex VI</w:t>
      </w:r>
      <w:r w:rsidR="004D7B57" w:rsidRPr="00807DAF">
        <w:t>:</w:t>
      </w:r>
      <w:r w:rsidR="00946471" w:rsidRPr="00807DAF">
        <w:tab/>
      </w:r>
      <w:r w:rsidRPr="00807DAF">
        <w:t>model narrative and financial report</w:t>
      </w:r>
    </w:p>
    <w:p w14:paraId="27C5847D" w14:textId="77777777" w:rsidR="00946471" w:rsidRPr="00807DAF" w:rsidRDefault="00600738" w:rsidP="00BC0D86">
      <w:pPr>
        <w:tabs>
          <w:tab w:val="left" w:pos="567"/>
          <w:tab w:val="left" w:pos="1701"/>
        </w:tabs>
        <w:spacing w:after="0"/>
        <w:ind w:left="1701" w:hanging="1276"/>
      </w:pPr>
      <w:r w:rsidRPr="00BA6979">
        <w:t>-A</w:t>
      </w:r>
      <w:r w:rsidR="005677E7" w:rsidRPr="00BA6979">
        <w:t xml:space="preserve">nnex </w:t>
      </w:r>
      <w:r w:rsidRPr="00BA6979">
        <w:t>VII</w:t>
      </w:r>
      <w:r w:rsidR="005677E7" w:rsidRPr="00BA6979">
        <w:t>:</w:t>
      </w:r>
      <w:r w:rsidR="00946471" w:rsidRPr="003E52C8">
        <w:tab/>
      </w:r>
      <w:r w:rsidR="005677E7" w:rsidRPr="00BA6979">
        <w:t xml:space="preserve">model report of factual findings and terms of reference for an expenditure verification of an </w:t>
      </w:r>
      <w:r w:rsidR="00D23749" w:rsidRPr="00BA6979">
        <w:t xml:space="preserve">EU </w:t>
      </w:r>
      <w:r w:rsidR="005677E7" w:rsidRPr="00BA6979">
        <w:t>financed grant contract for external action</w:t>
      </w:r>
    </w:p>
    <w:p w14:paraId="5F788A39" w14:textId="4648F7EA" w:rsidR="005677E7" w:rsidRDefault="005677E7" w:rsidP="00BC0D86">
      <w:pPr>
        <w:tabs>
          <w:tab w:val="left" w:pos="567"/>
          <w:tab w:val="left" w:pos="1701"/>
        </w:tabs>
        <w:spacing w:after="0"/>
        <w:ind w:left="1701" w:hanging="1276"/>
      </w:pPr>
      <w:r w:rsidRPr="00807DAF">
        <w:t>-</w:t>
      </w:r>
      <w:r w:rsidR="00600738" w:rsidRPr="00807DAF">
        <w:t>A</w:t>
      </w:r>
      <w:r w:rsidR="00946471" w:rsidRPr="00807DAF">
        <w:t>nnex</w:t>
      </w:r>
      <w:r w:rsidRPr="00807DAF">
        <w:t xml:space="preserve"> </w:t>
      </w:r>
      <w:r w:rsidR="00600738" w:rsidRPr="00807DAF">
        <w:t>VIII</w:t>
      </w:r>
      <w:r w:rsidRPr="00807DAF">
        <w:t>:</w:t>
      </w:r>
      <w:r w:rsidR="00946471" w:rsidRPr="00807DAF">
        <w:tab/>
        <w:t>model financial guarantee</w:t>
      </w:r>
    </w:p>
    <w:p w14:paraId="2E5B8C3E" w14:textId="77777777" w:rsidR="003F023E" w:rsidRDefault="003F023E" w:rsidP="00BC0D86">
      <w:pPr>
        <w:tabs>
          <w:tab w:val="left" w:pos="567"/>
          <w:tab w:val="left" w:pos="1701"/>
        </w:tabs>
        <w:spacing w:after="0"/>
        <w:ind w:left="1701" w:hanging="1276"/>
      </w:pPr>
      <w:r>
        <w:t>-Annex IX: standard template for transfer of ownership of assets</w:t>
      </w:r>
    </w:p>
    <w:p w14:paraId="091FF0B5" w14:textId="77777777" w:rsidR="003F023E" w:rsidRPr="00807DAF" w:rsidRDefault="003F023E" w:rsidP="00BA6979">
      <w:pPr>
        <w:tabs>
          <w:tab w:val="left" w:pos="567"/>
          <w:tab w:val="left" w:pos="1701"/>
        </w:tabs>
        <w:spacing w:after="0"/>
      </w:pPr>
    </w:p>
    <w:p w14:paraId="2961FC7D" w14:textId="77777777" w:rsidR="002573AC" w:rsidRPr="00807DAF" w:rsidRDefault="002573AC" w:rsidP="00BC0D86">
      <w:pPr>
        <w:tabs>
          <w:tab w:val="left" w:pos="567"/>
          <w:tab w:val="left" w:pos="1701"/>
        </w:tabs>
        <w:spacing w:after="0"/>
        <w:ind w:left="1701" w:hanging="1276"/>
      </w:pPr>
    </w:p>
    <w:p w14:paraId="2F200BBF" w14:textId="77777777" w:rsidR="0048369D" w:rsidRPr="00807DAF" w:rsidRDefault="0048369D" w:rsidP="001C4D3A">
      <w:pPr>
        <w:tabs>
          <w:tab w:val="left" w:pos="567"/>
          <w:tab w:val="left" w:pos="1701"/>
        </w:tabs>
        <w:spacing w:after="0"/>
      </w:pPr>
    </w:p>
    <w:p w14:paraId="7B6F6B09" w14:textId="77777777" w:rsidR="007941FB" w:rsidRDefault="00112E4F" w:rsidP="001C4D3A">
      <w:pPr>
        <w:tabs>
          <w:tab w:val="left" w:pos="1134"/>
        </w:tabs>
        <w:spacing w:after="120"/>
        <w:ind w:left="1134" w:hanging="1134"/>
        <w:jc w:val="left"/>
        <w:rPr>
          <w:szCs w:val="22"/>
        </w:rPr>
      </w:pPr>
      <w:r w:rsidRPr="00807DAF">
        <w:rPr>
          <w:szCs w:val="22"/>
        </w:rPr>
        <w:t>A</w:t>
      </w:r>
      <w:r w:rsidR="00600738" w:rsidRPr="00807DAF">
        <w:rPr>
          <w:szCs w:val="22"/>
        </w:rPr>
        <w:t xml:space="preserve">nnex </w:t>
      </w:r>
      <w:r w:rsidR="00826F51">
        <w:rPr>
          <w:szCs w:val="22"/>
        </w:rPr>
        <w:t>H</w:t>
      </w:r>
      <w:r w:rsidR="00600738" w:rsidRPr="00807DAF">
        <w:rPr>
          <w:szCs w:val="22"/>
        </w:rPr>
        <w:t>:</w:t>
      </w:r>
      <w:r w:rsidR="007941FB">
        <w:rPr>
          <w:szCs w:val="22"/>
        </w:rPr>
        <w:t xml:space="preserve"> </w:t>
      </w:r>
      <w:r w:rsidR="006264EC">
        <w:rPr>
          <w:szCs w:val="22"/>
        </w:rPr>
        <w:t xml:space="preserve">   </w:t>
      </w:r>
      <w:r w:rsidR="007941FB">
        <w:rPr>
          <w:szCs w:val="22"/>
        </w:rPr>
        <w:t>Declaration on Honour</w:t>
      </w:r>
      <w:r w:rsidR="00600738" w:rsidRPr="00807DAF">
        <w:rPr>
          <w:szCs w:val="22"/>
        </w:rPr>
        <w:tab/>
      </w:r>
    </w:p>
    <w:p w14:paraId="7C6A3180" w14:textId="5B823C81" w:rsidR="00112E4F" w:rsidRPr="00FD4845" w:rsidRDefault="007941FB" w:rsidP="001C4D3A">
      <w:pPr>
        <w:tabs>
          <w:tab w:val="left" w:pos="1134"/>
        </w:tabs>
        <w:spacing w:after="120"/>
        <w:ind w:left="1134" w:hanging="1134"/>
        <w:jc w:val="left"/>
        <w:rPr>
          <w:szCs w:val="22"/>
        </w:rPr>
      </w:pPr>
      <w:r>
        <w:rPr>
          <w:szCs w:val="22"/>
        </w:rPr>
        <w:t xml:space="preserve">Annex </w:t>
      </w:r>
      <w:r w:rsidR="00826F51">
        <w:rPr>
          <w:szCs w:val="22"/>
        </w:rPr>
        <w:t>I</w:t>
      </w:r>
      <w:r>
        <w:rPr>
          <w:szCs w:val="22"/>
        </w:rPr>
        <w:t xml:space="preserve">: </w:t>
      </w:r>
      <w:r w:rsidR="006264EC">
        <w:rPr>
          <w:szCs w:val="22"/>
        </w:rPr>
        <w:t xml:space="preserve">     </w:t>
      </w:r>
      <w:r w:rsidR="00AA4FE0" w:rsidRPr="00807DAF">
        <w:rPr>
          <w:szCs w:val="22"/>
        </w:rPr>
        <w:t>Daily allowance rates (</w:t>
      </w:r>
      <w:r w:rsidR="00A33874">
        <w:rPr>
          <w:szCs w:val="22"/>
        </w:rPr>
        <w:t>p</w:t>
      </w:r>
      <w:r w:rsidR="00112E4F" w:rsidRPr="00807DAF">
        <w:rPr>
          <w:szCs w:val="22"/>
        </w:rPr>
        <w:t>er diem</w:t>
      </w:r>
      <w:r w:rsidR="00AA4FE0" w:rsidRPr="00807DAF">
        <w:rPr>
          <w:szCs w:val="22"/>
        </w:rPr>
        <w:t>)</w:t>
      </w:r>
      <w:r w:rsidR="00112E4F" w:rsidRPr="00807DAF">
        <w:rPr>
          <w:szCs w:val="22"/>
        </w:rPr>
        <w:t xml:space="preserve">, available at the following address: </w:t>
      </w:r>
      <w:hyperlink r:id="rId34" w:history="1">
        <w:r w:rsidR="00D854EC" w:rsidRPr="009C01D2">
          <w:rPr>
            <w:rStyle w:val="Hyperlink"/>
          </w:rPr>
          <w:t>https://international-partnerships.ec.europa.eu/funding/guidelines/managing-project/diem-rates_en</w:t>
        </w:r>
      </w:hyperlink>
      <w:r w:rsidR="00D854EC">
        <w:t xml:space="preserve">  </w:t>
      </w:r>
    </w:p>
    <w:p w14:paraId="10F9F7CF" w14:textId="77777777" w:rsidR="00151EDE" w:rsidRPr="00807DAF" w:rsidRDefault="00151EDE" w:rsidP="001C4D3A">
      <w:pPr>
        <w:tabs>
          <w:tab w:val="left" w:pos="1134"/>
        </w:tabs>
        <w:spacing w:after="120"/>
        <w:ind w:left="1134" w:hanging="1134"/>
        <w:jc w:val="left"/>
        <w:rPr>
          <w:szCs w:val="22"/>
        </w:rPr>
      </w:pPr>
      <w:bookmarkStart w:id="58" w:name="_Toc216513983"/>
      <w:r w:rsidRPr="00807DAF">
        <w:rPr>
          <w:szCs w:val="22"/>
        </w:rPr>
        <w:t>A</w:t>
      </w:r>
      <w:r>
        <w:rPr>
          <w:szCs w:val="22"/>
        </w:rPr>
        <w:t>nnex</w:t>
      </w:r>
      <w:r w:rsidRPr="00807DAF">
        <w:rPr>
          <w:szCs w:val="22"/>
        </w:rPr>
        <w:t xml:space="preserve"> </w:t>
      </w:r>
      <w:r w:rsidR="00826F51">
        <w:rPr>
          <w:szCs w:val="22"/>
        </w:rPr>
        <w:t>J</w:t>
      </w:r>
      <w:r w:rsidRPr="00807DAF">
        <w:rPr>
          <w:szCs w:val="22"/>
        </w:rPr>
        <w:t>:</w:t>
      </w:r>
      <w:r w:rsidRPr="00807DAF">
        <w:rPr>
          <w:szCs w:val="22"/>
        </w:rPr>
        <w:tab/>
        <w:t>Information on the tax regime applicable to grant contracts signed under the call.</w:t>
      </w:r>
    </w:p>
    <w:p w14:paraId="60A480DC" w14:textId="77777777" w:rsidR="00211B8D" w:rsidRDefault="00600738" w:rsidP="001C4D3A">
      <w:pPr>
        <w:tabs>
          <w:tab w:val="left" w:pos="1134"/>
        </w:tabs>
        <w:spacing w:after="0"/>
        <w:ind w:left="1134" w:hanging="1134"/>
        <w:jc w:val="left"/>
        <w:rPr>
          <w:szCs w:val="22"/>
        </w:rPr>
      </w:pPr>
      <w:r w:rsidRPr="008503BC">
        <w:rPr>
          <w:szCs w:val="22"/>
        </w:rPr>
        <w:t xml:space="preserve">Annex </w:t>
      </w:r>
      <w:r w:rsidR="00826F51">
        <w:rPr>
          <w:szCs w:val="22"/>
        </w:rPr>
        <w:t>K</w:t>
      </w:r>
      <w:r w:rsidRPr="008503BC">
        <w:rPr>
          <w:szCs w:val="22"/>
        </w:rPr>
        <w:t>:</w:t>
      </w:r>
      <w:r w:rsidRPr="008503BC">
        <w:rPr>
          <w:szCs w:val="22"/>
        </w:rPr>
        <w:tab/>
      </w:r>
      <w:r w:rsidR="00211B8D" w:rsidRPr="008503BC">
        <w:rPr>
          <w:szCs w:val="22"/>
        </w:rPr>
        <w:t>G</w:t>
      </w:r>
      <w:r w:rsidRPr="008503BC">
        <w:rPr>
          <w:szCs w:val="22"/>
        </w:rPr>
        <w:t>uidelines for assessing</w:t>
      </w:r>
      <w:r w:rsidR="00211B8D" w:rsidRPr="008503BC">
        <w:rPr>
          <w:szCs w:val="22"/>
        </w:rPr>
        <w:t xml:space="preserve"> </w:t>
      </w:r>
      <w:r w:rsidR="00A33874">
        <w:rPr>
          <w:szCs w:val="22"/>
        </w:rPr>
        <w:t>s</w:t>
      </w:r>
      <w:r w:rsidRPr="008503BC">
        <w:rPr>
          <w:szCs w:val="22"/>
        </w:rPr>
        <w:t>implified cost options</w:t>
      </w:r>
      <w:r w:rsidR="00211B8D" w:rsidRPr="008503BC">
        <w:rPr>
          <w:szCs w:val="22"/>
        </w:rPr>
        <w:t>.</w:t>
      </w:r>
    </w:p>
    <w:p w14:paraId="21F06EC3" w14:textId="77777777" w:rsidR="00FF4778" w:rsidRDefault="00FF4778" w:rsidP="001C4D3A">
      <w:pPr>
        <w:tabs>
          <w:tab w:val="left" w:pos="1134"/>
        </w:tabs>
        <w:spacing w:after="0"/>
        <w:ind w:left="1134" w:hanging="1134"/>
        <w:jc w:val="left"/>
        <w:rPr>
          <w:szCs w:val="22"/>
        </w:rPr>
      </w:pPr>
    </w:p>
    <w:p w14:paraId="1FD5E577" w14:textId="629C9F1E" w:rsidR="00FF4778" w:rsidRDefault="0041369D" w:rsidP="001C4D3A">
      <w:pPr>
        <w:tabs>
          <w:tab w:val="left" w:pos="1134"/>
        </w:tabs>
        <w:spacing w:after="0"/>
        <w:ind w:left="1134" w:hanging="1134"/>
        <w:jc w:val="left"/>
        <w:rPr>
          <w:szCs w:val="22"/>
          <w:lang w:val="fr-BE"/>
        </w:rPr>
      </w:pPr>
      <w:proofErr w:type="spellStart"/>
      <w:r w:rsidRPr="005F7635">
        <w:rPr>
          <w:szCs w:val="22"/>
          <w:lang w:val="fr-BE"/>
        </w:rPr>
        <w:t>Annex</w:t>
      </w:r>
      <w:proofErr w:type="spellEnd"/>
      <w:r w:rsidRPr="005F7635">
        <w:rPr>
          <w:szCs w:val="22"/>
          <w:lang w:val="fr-BE"/>
        </w:rPr>
        <w:t xml:space="preserve"> L: </w:t>
      </w:r>
      <w:r w:rsidR="006264EC">
        <w:rPr>
          <w:szCs w:val="22"/>
          <w:lang w:val="fr-BE"/>
        </w:rPr>
        <w:t xml:space="preserve">    </w:t>
      </w:r>
      <w:r w:rsidRPr="005F7635">
        <w:rPr>
          <w:szCs w:val="22"/>
          <w:lang w:val="fr-BE"/>
        </w:rPr>
        <w:t>S</w:t>
      </w:r>
      <w:r w:rsidR="00FF4778" w:rsidRPr="00BA6979">
        <w:rPr>
          <w:szCs w:val="22"/>
          <w:lang w:val="fr-BE"/>
        </w:rPr>
        <w:t>elf-</w:t>
      </w:r>
      <w:proofErr w:type="spellStart"/>
      <w:r w:rsidR="00FF4778" w:rsidRPr="00BA6979">
        <w:rPr>
          <w:szCs w:val="22"/>
          <w:lang w:val="fr-BE"/>
        </w:rPr>
        <w:t>evaluation</w:t>
      </w:r>
      <w:proofErr w:type="spellEnd"/>
      <w:r w:rsidR="00FF4778" w:rsidRPr="00BA6979">
        <w:rPr>
          <w:szCs w:val="22"/>
          <w:lang w:val="fr-BE"/>
        </w:rPr>
        <w:t xml:space="preserve"> questionnaire on</w:t>
      </w:r>
      <w:r w:rsidR="00FF4778">
        <w:rPr>
          <w:szCs w:val="22"/>
          <w:lang w:val="fr-BE"/>
        </w:rPr>
        <w:t xml:space="preserve"> </w:t>
      </w:r>
      <w:proofErr w:type="spellStart"/>
      <w:r w:rsidR="00FF4778">
        <w:rPr>
          <w:szCs w:val="22"/>
          <w:lang w:val="fr-BE"/>
        </w:rPr>
        <w:t>SEA</w:t>
      </w:r>
      <w:proofErr w:type="spellEnd"/>
      <w:r w:rsidR="00FF4778">
        <w:rPr>
          <w:szCs w:val="22"/>
          <w:lang w:val="fr-BE"/>
        </w:rPr>
        <w:t>-H</w:t>
      </w:r>
    </w:p>
    <w:p w14:paraId="2D913643" w14:textId="77777777" w:rsidR="00043A54" w:rsidRPr="00BA6979" w:rsidRDefault="00043A54" w:rsidP="001C4D3A">
      <w:pPr>
        <w:tabs>
          <w:tab w:val="left" w:pos="1134"/>
        </w:tabs>
        <w:spacing w:after="0"/>
        <w:ind w:left="1134" w:hanging="1134"/>
        <w:jc w:val="left"/>
        <w:rPr>
          <w:szCs w:val="22"/>
          <w:lang w:val="fr-BE"/>
        </w:rPr>
      </w:pPr>
    </w:p>
    <w:p w14:paraId="5DF553C9" w14:textId="4C76BC44" w:rsidR="00043A54" w:rsidRPr="00DE000D" w:rsidRDefault="003E09E5" w:rsidP="00043A54">
      <w:pPr>
        <w:tabs>
          <w:tab w:val="left" w:pos="1134"/>
        </w:tabs>
        <w:spacing w:after="0"/>
        <w:ind w:left="1134" w:hanging="1134"/>
        <w:jc w:val="left"/>
        <w:rPr>
          <w:szCs w:val="22"/>
          <w:lang w:val="fr-BE"/>
        </w:rPr>
      </w:pPr>
      <w:proofErr w:type="spellStart"/>
      <w:r>
        <w:rPr>
          <w:szCs w:val="22"/>
          <w:lang w:val="fr-BE"/>
        </w:rPr>
        <w:t>Appendix</w:t>
      </w:r>
      <w:proofErr w:type="spellEnd"/>
      <w:r>
        <w:rPr>
          <w:szCs w:val="22"/>
          <w:lang w:val="fr-BE"/>
        </w:rPr>
        <w:t xml:space="preserve"> I</w:t>
      </w:r>
      <w:r w:rsidR="00043A54">
        <w:rPr>
          <w:szCs w:val="22"/>
          <w:lang w:val="fr-BE"/>
        </w:rPr>
        <w:t xml:space="preserve"> :  </w:t>
      </w:r>
      <w:proofErr w:type="spellStart"/>
      <w:r w:rsidR="00043A54" w:rsidRPr="00DE000D">
        <w:rPr>
          <w:rFonts w:asciiTheme="majorBidi" w:hAnsiTheme="majorBidi" w:cs="DokChampa"/>
          <w:szCs w:val="22"/>
          <w:shd w:val="clear" w:color="auto" w:fill="FFFFFF"/>
          <w:lang w:val="fr-BE"/>
        </w:rPr>
        <w:t>Derogations</w:t>
      </w:r>
      <w:proofErr w:type="spellEnd"/>
      <w:r w:rsidR="00043A54" w:rsidRPr="00DE000D">
        <w:rPr>
          <w:rFonts w:asciiTheme="majorBidi" w:hAnsiTheme="majorBidi" w:cs="DokChampa"/>
          <w:szCs w:val="22"/>
          <w:shd w:val="clear" w:color="auto" w:fill="FFFFFF"/>
          <w:lang w:val="fr-BE"/>
        </w:rPr>
        <w:t xml:space="preserve"> international organisations</w:t>
      </w:r>
    </w:p>
    <w:p w14:paraId="6BD0C9AA" w14:textId="77777777" w:rsidR="00DA0F6C" w:rsidRPr="00BA6979" w:rsidRDefault="00DA0F6C" w:rsidP="001C4D3A">
      <w:pPr>
        <w:tabs>
          <w:tab w:val="left" w:pos="1134"/>
        </w:tabs>
        <w:spacing w:after="0"/>
        <w:ind w:left="1134" w:hanging="1134"/>
        <w:jc w:val="left"/>
        <w:rPr>
          <w:szCs w:val="22"/>
          <w:lang w:val="fr-BE"/>
        </w:rPr>
      </w:pPr>
    </w:p>
    <w:p w14:paraId="43D56AE1" w14:textId="77777777" w:rsidR="006F4ACD" w:rsidRPr="008066E2" w:rsidRDefault="006F4ACD" w:rsidP="002D4ACD">
      <w:pPr>
        <w:spacing w:before="240"/>
        <w:jc w:val="left"/>
        <w:rPr>
          <w:b/>
          <w:szCs w:val="22"/>
          <w:lang w:val="fr-BE"/>
        </w:rPr>
      </w:pPr>
      <w:bookmarkStart w:id="59" w:name="_Toc216513984"/>
      <w:bookmarkEnd w:id="58"/>
      <w:proofErr w:type="spellStart"/>
      <w:r w:rsidRPr="008066E2">
        <w:rPr>
          <w:b/>
          <w:szCs w:val="22"/>
          <w:lang w:val="fr-BE"/>
        </w:rPr>
        <w:t>Useful</w:t>
      </w:r>
      <w:proofErr w:type="spellEnd"/>
      <w:r w:rsidRPr="008066E2">
        <w:rPr>
          <w:b/>
          <w:szCs w:val="22"/>
          <w:lang w:val="fr-BE"/>
        </w:rPr>
        <w:t xml:space="preserve"> links:</w:t>
      </w:r>
    </w:p>
    <w:p w14:paraId="6D7217C5" w14:textId="77777777" w:rsidR="00345514" w:rsidRPr="008066E2" w:rsidRDefault="00345514" w:rsidP="001C4D3A">
      <w:pPr>
        <w:spacing w:after="0"/>
        <w:jc w:val="left"/>
        <w:rPr>
          <w:b/>
          <w:szCs w:val="22"/>
          <w:lang w:val="fr-BE"/>
        </w:rPr>
      </w:pPr>
      <w:r w:rsidRPr="008066E2">
        <w:rPr>
          <w:b/>
          <w:szCs w:val="22"/>
          <w:lang w:val="fr-BE"/>
        </w:rPr>
        <w:t>Project Cycle Management Guidelines</w:t>
      </w:r>
      <w:bookmarkEnd w:id="59"/>
      <w:r w:rsidRPr="008066E2">
        <w:rPr>
          <w:b/>
          <w:szCs w:val="22"/>
          <w:lang w:val="fr-BE"/>
        </w:rPr>
        <w:t xml:space="preserve"> </w:t>
      </w:r>
    </w:p>
    <w:p w14:paraId="4D06DF32" w14:textId="77777777" w:rsidR="00362E0D" w:rsidRPr="008066E2" w:rsidRDefault="00CE131A" w:rsidP="00BA6979">
      <w:pPr>
        <w:pStyle w:val="ListParagraph"/>
        <w:spacing w:after="0"/>
        <w:ind w:left="0"/>
        <w:jc w:val="left"/>
        <w:rPr>
          <w:lang w:val="fr-BE"/>
        </w:rPr>
      </w:pPr>
      <w:hyperlink r:id="rId35" w:history="1">
        <w:r w:rsidR="00362E0D" w:rsidRPr="008066E2">
          <w:rPr>
            <w:rStyle w:val="Hyperlink"/>
            <w:lang w:val="fr-BE"/>
          </w:rPr>
          <w:t>https://ec.europa.eu/international-partnerships/funding/managing-project_en</w:t>
        </w:r>
      </w:hyperlink>
      <w:r w:rsidR="00362E0D" w:rsidRPr="008066E2">
        <w:rPr>
          <w:lang w:val="fr-BE"/>
        </w:rPr>
        <w:t xml:space="preserve"> </w:t>
      </w:r>
    </w:p>
    <w:p w14:paraId="1BAD5A1B" w14:textId="77777777" w:rsidR="00034524" w:rsidRDefault="00BB518F" w:rsidP="001C4D3A">
      <w:pPr>
        <w:spacing w:before="120" w:after="120"/>
        <w:jc w:val="left"/>
        <w:rPr>
          <w:b/>
          <w:szCs w:val="22"/>
        </w:rPr>
      </w:pPr>
      <w:r w:rsidRPr="00807DAF">
        <w:rPr>
          <w:b/>
          <w:szCs w:val="22"/>
        </w:rPr>
        <w:t>The implementation of grant contracts</w:t>
      </w:r>
    </w:p>
    <w:p w14:paraId="64668896" w14:textId="77777777" w:rsidR="00BB518F" w:rsidRPr="00807DAF" w:rsidRDefault="00BB518F" w:rsidP="001C4D3A">
      <w:pPr>
        <w:spacing w:after="0"/>
        <w:jc w:val="left"/>
        <w:rPr>
          <w:b/>
          <w:szCs w:val="22"/>
        </w:rPr>
      </w:pPr>
      <w:r w:rsidRPr="00807DAF">
        <w:rPr>
          <w:b/>
          <w:szCs w:val="22"/>
        </w:rPr>
        <w:t>A Users' Guide</w:t>
      </w:r>
    </w:p>
    <w:p w14:paraId="4C92C6F8" w14:textId="77777777" w:rsidR="00D27707" w:rsidRDefault="00CE131A" w:rsidP="00D27707">
      <w:pPr>
        <w:spacing w:before="120" w:after="0"/>
        <w:jc w:val="left"/>
      </w:pPr>
      <w:hyperlink r:id="rId36" w:history="1">
        <w:r w:rsidR="00D27707" w:rsidRPr="00556E3A">
          <w:rPr>
            <w:rStyle w:val="Hyperlink"/>
          </w:rPr>
          <w:t>https://wikis.ec.europa.eu/pages/viewpage.action?pageId=48169235</w:t>
        </w:r>
      </w:hyperlink>
      <w:r w:rsidR="00D27707">
        <w:t xml:space="preserve"> </w:t>
      </w:r>
    </w:p>
    <w:p w14:paraId="35E80830" w14:textId="77777777" w:rsidR="00D27707" w:rsidRDefault="00D27707" w:rsidP="001C4D3A">
      <w:pPr>
        <w:spacing w:before="120" w:after="0"/>
        <w:jc w:val="left"/>
      </w:pPr>
    </w:p>
    <w:p w14:paraId="218EE917" w14:textId="77777777" w:rsidR="001E10DA" w:rsidRPr="000C6B6E" w:rsidRDefault="001E10DA" w:rsidP="001C4D3A">
      <w:pPr>
        <w:spacing w:before="120" w:after="0"/>
        <w:jc w:val="left"/>
        <w:rPr>
          <w:b/>
          <w:szCs w:val="22"/>
          <w:lang w:val="es-ES"/>
        </w:rPr>
      </w:pPr>
      <w:proofErr w:type="spellStart"/>
      <w:r w:rsidRPr="000C6B6E">
        <w:rPr>
          <w:b/>
          <w:szCs w:val="22"/>
          <w:lang w:val="es-ES"/>
        </w:rPr>
        <w:t>Financial</w:t>
      </w:r>
      <w:proofErr w:type="spellEnd"/>
      <w:r w:rsidRPr="000C6B6E">
        <w:rPr>
          <w:b/>
          <w:szCs w:val="22"/>
          <w:lang w:val="es-ES"/>
        </w:rPr>
        <w:t xml:space="preserve"> </w:t>
      </w:r>
      <w:proofErr w:type="spellStart"/>
      <w:r w:rsidRPr="000C6B6E">
        <w:rPr>
          <w:b/>
          <w:szCs w:val="22"/>
          <w:lang w:val="es-ES"/>
        </w:rPr>
        <w:t>Toolkit</w:t>
      </w:r>
      <w:proofErr w:type="spellEnd"/>
      <w:r w:rsidR="0061182F" w:rsidRPr="007D41AA">
        <w:rPr>
          <w:b/>
          <w:szCs w:val="22"/>
          <w:lang w:val="es-ES"/>
        </w:rPr>
        <w:tab/>
      </w:r>
    </w:p>
    <w:p w14:paraId="0290CE0F" w14:textId="77777777" w:rsidR="00362E0D" w:rsidRPr="000C6B6E" w:rsidRDefault="00CE131A" w:rsidP="00BA6979">
      <w:pPr>
        <w:pStyle w:val="ListParagraph"/>
        <w:spacing w:after="0"/>
        <w:ind w:left="0"/>
        <w:jc w:val="left"/>
        <w:rPr>
          <w:lang w:val="es-ES"/>
        </w:rPr>
      </w:pPr>
      <w:hyperlink r:id="rId37" w:history="1">
        <w:r w:rsidR="00362E0D" w:rsidRPr="000C6B6E">
          <w:rPr>
            <w:rStyle w:val="Hyperlink"/>
            <w:lang w:val="es-ES"/>
          </w:rPr>
          <w:t>https://ec.europa.eu/international-partnerships/financial-management-toolkit_en</w:t>
        </w:r>
      </w:hyperlink>
      <w:r w:rsidR="00362E0D" w:rsidRPr="000C6B6E">
        <w:rPr>
          <w:lang w:val="es-ES"/>
        </w:rPr>
        <w:t xml:space="preserve"> </w:t>
      </w:r>
    </w:p>
    <w:p w14:paraId="083DB97E" w14:textId="77777777" w:rsidR="001C4D3A" w:rsidRPr="00712ADB" w:rsidRDefault="00197634" w:rsidP="001C4D3A">
      <w:pPr>
        <w:spacing w:after="0"/>
        <w:rPr>
          <w:iCs/>
          <w:color w:val="000000"/>
        </w:rPr>
      </w:pPr>
      <w:r w:rsidRPr="00712ADB">
        <w:rPr>
          <w:iCs/>
          <w:color w:val="000000"/>
        </w:rPr>
        <w:t xml:space="preserve">Please note: </w:t>
      </w:r>
      <w:r w:rsidR="00CC694C">
        <w:rPr>
          <w:iCs/>
          <w:color w:val="000000"/>
        </w:rPr>
        <w:t>t</w:t>
      </w:r>
      <w:r w:rsidRPr="00712ADB">
        <w:rPr>
          <w:iCs/>
          <w:color w:val="000000"/>
        </w:rPr>
        <w:t xml:space="preserve">he toolkit is not part of the </w:t>
      </w:r>
      <w:r w:rsidR="0025435C" w:rsidRPr="00712ADB">
        <w:rPr>
          <w:iCs/>
          <w:color w:val="000000"/>
        </w:rPr>
        <w:t>g</w:t>
      </w:r>
      <w:r w:rsidRPr="00712ADB">
        <w:rPr>
          <w:iCs/>
          <w:color w:val="000000"/>
        </w:rPr>
        <w:t xml:space="preserve">rant </w:t>
      </w:r>
      <w:r w:rsidR="0025435C" w:rsidRPr="00712ADB">
        <w:rPr>
          <w:iCs/>
          <w:color w:val="000000"/>
        </w:rPr>
        <w:t>c</w:t>
      </w:r>
      <w:r w:rsidRPr="00712ADB">
        <w:rPr>
          <w:iCs/>
          <w:color w:val="000000"/>
        </w:rPr>
        <w:t>ontract and has no legal value. It merely provides general guidance and may in some d</w:t>
      </w:r>
      <w:r w:rsidR="0025435C" w:rsidRPr="00712ADB">
        <w:rPr>
          <w:iCs/>
          <w:color w:val="000000"/>
        </w:rPr>
        <w:t>etails differ from the signed g</w:t>
      </w:r>
      <w:r w:rsidRPr="00712ADB">
        <w:rPr>
          <w:iCs/>
          <w:color w:val="000000"/>
        </w:rPr>
        <w:t xml:space="preserve">rant </w:t>
      </w:r>
      <w:r w:rsidR="0025435C" w:rsidRPr="00712ADB">
        <w:rPr>
          <w:iCs/>
          <w:color w:val="000000"/>
        </w:rPr>
        <w:t>c</w:t>
      </w:r>
      <w:r w:rsidRPr="00712ADB">
        <w:rPr>
          <w:iCs/>
          <w:color w:val="000000"/>
        </w:rPr>
        <w:t xml:space="preserve">ontract. In order to ensure compliance with their contractual obligations </w:t>
      </w:r>
      <w:r w:rsidR="0025435C" w:rsidRPr="00712ADB">
        <w:rPr>
          <w:iCs/>
          <w:color w:val="000000"/>
        </w:rPr>
        <w:t>b</w:t>
      </w:r>
      <w:r w:rsidRPr="00712ADB">
        <w:rPr>
          <w:iCs/>
          <w:color w:val="000000"/>
        </w:rPr>
        <w:t>eneficiaries should not exclusively rely on the toolkit but always consult their</w:t>
      </w:r>
      <w:r w:rsidR="001C4D3A" w:rsidRPr="00712ADB">
        <w:rPr>
          <w:iCs/>
          <w:color w:val="000000"/>
        </w:rPr>
        <w:t xml:space="preserve"> individual contract documents.</w:t>
      </w:r>
    </w:p>
    <w:p w14:paraId="4301D86A" w14:textId="790A6FA5" w:rsidR="002573AC" w:rsidRPr="00807DAF" w:rsidRDefault="005D7AF3" w:rsidP="001C4D3A">
      <w:pPr>
        <w:spacing w:after="0"/>
        <w:jc w:val="center"/>
        <w:rPr>
          <w:b/>
          <w:szCs w:val="22"/>
          <w:highlight w:val="magenta"/>
          <w:lang w:val="pt-PT"/>
        </w:rPr>
      </w:pPr>
      <w:r w:rsidRPr="00712ADB">
        <w:rPr>
          <w:color w:val="000000"/>
          <w:szCs w:val="22"/>
          <w:lang w:val="pt-PT"/>
        </w:rPr>
        <w:t>* * *</w:t>
      </w:r>
      <w:r w:rsidR="009006EA">
        <w:rPr>
          <w:color w:val="000000"/>
          <w:szCs w:val="22"/>
          <w:lang w:val="pt-PT"/>
        </w:rPr>
        <w:t xml:space="preserve">                                                    </w:t>
      </w:r>
    </w:p>
    <w:sectPr w:rsidR="002573AC" w:rsidRPr="00807DAF" w:rsidSect="002D4ACD">
      <w:pgSz w:w="11906" w:h="16838" w:code="9"/>
      <w:pgMar w:top="1021" w:right="1134" w:bottom="1021" w:left="1134" w:header="567" w:footer="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FE8C" w14:textId="77777777" w:rsidR="00F65053" w:rsidRDefault="00F65053">
      <w:r>
        <w:separator/>
      </w:r>
    </w:p>
    <w:p w14:paraId="683D2B68" w14:textId="77777777" w:rsidR="00F65053" w:rsidRDefault="00F65053"/>
  </w:endnote>
  <w:endnote w:type="continuationSeparator" w:id="0">
    <w:p w14:paraId="4467E809" w14:textId="77777777" w:rsidR="00F65053" w:rsidRDefault="00F65053">
      <w:r>
        <w:continuationSeparator/>
      </w:r>
    </w:p>
    <w:p w14:paraId="613D7650" w14:textId="77777777" w:rsidR="00F65053" w:rsidRDefault="00F65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cit Light">
    <w:altName w:val="Facit Light"/>
    <w:panose1 w:val="00000000000000000000"/>
    <w:charset w:val="00"/>
    <w:family w:val="swiss"/>
    <w:notTrueType/>
    <w:pitch w:val="default"/>
    <w:sig w:usb0="00000003" w:usb1="00000000" w:usb2="00000000" w:usb3="00000000" w:csb0="00000001" w:csb1="00000000"/>
  </w:font>
  <w:font w:name="Facit">
    <w:altName w:val="Facit"/>
    <w:panose1 w:val="00000000000000000000"/>
    <w:charset w:val="00"/>
    <w:family w:val="swiss"/>
    <w:notTrueType/>
    <w:pitch w:val="default"/>
    <w:sig w:usb0="00000003" w:usb1="00000000" w:usb2="00000000" w:usb3="00000000" w:csb0="00000001" w:csb1="00000000"/>
  </w:font>
  <w:font w:name="DokChamp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3285" w14:textId="2005FA85" w:rsidR="00F65053" w:rsidRPr="009A7E42" w:rsidRDefault="00F65053" w:rsidP="00DF6F65">
    <w:pPr>
      <w:pStyle w:val="Footer"/>
      <w:tabs>
        <w:tab w:val="right" w:pos="9639"/>
      </w:tabs>
      <w:spacing w:after="0"/>
      <w:rPr>
        <w:rFonts w:ascii="Times New Roman" w:hAnsi="Times New Roman"/>
        <w:b/>
        <w:sz w:val="18"/>
        <w:szCs w:val="18"/>
      </w:rPr>
    </w:pPr>
    <w:proofErr w:type="spellStart"/>
    <w:r w:rsidRPr="009A7E42">
      <w:rPr>
        <w:rFonts w:ascii="Times New Roman" w:hAnsi="Times New Roman"/>
        <w:b/>
        <w:sz w:val="18"/>
        <w:szCs w:val="18"/>
      </w:rPr>
      <w:t>EuropeAid</w:t>
    </w:r>
    <w:proofErr w:type="spellEnd"/>
    <w:r w:rsidRPr="009A7E42">
      <w:rPr>
        <w:rFonts w:ascii="Times New Roman" w:hAnsi="Times New Roman"/>
        <w:b/>
        <w:sz w:val="18"/>
        <w:szCs w:val="18"/>
      </w:rPr>
      <w:t>/</w:t>
    </w:r>
    <w:r>
      <w:rPr>
        <w:rFonts w:ascii="Times New Roman" w:hAnsi="Times New Roman"/>
        <w:b/>
        <w:noProof/>
        <w:sz w:val="18"/>
        <w:szCs w:val="18"/>
      </w:rPr>
      <w:t>180556</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sidRPr="009A7E42">
      <w:rPr>
        <w:rFonts w:ascii="Times New Roman" w:hAnsi="Times New Roman"/>
        <w:b/>
        <w:sz w:val="18"/>
        <w:szCs w:val="18"/>
      </w:rPr>
      <w:tab/>
    </w:r>
    <w:r w:rsidRPr="009A7E42">
      <w:rPr>
        <w:rFonts w:ascii="Times New Roman" w:hAnsi="Times New Roman"/>
        <w:sz w:val="18"/>
        <w:szCs w:val="18"/>
      </w:rPr>
      <w:t xml:space="preserve">Page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CE131A">
      <w:rPr>
        <w:rFonts w:ascii="Times New Roman" w:hAnsi="Times New Roman"/>
        <w:noProof/>
        <w:sz w:val="18"/>
        <w:szCs w:val="18"/>
      </w:rPr>
      <w:t>31</w:t>
    </w:r>
    <w:r w:rsidRPr="009A7E42">
      <w:rPr>
        <w:rFonts w:ascii="Times New Roman" w:hAnsi="Times New Roman"/>
        <w:sz w:val="18"/>
        <w:szCs w:val="18"/>
      </w:rPr>
      <w:fldChar w:fldCharType="end"/>
    </w:r>
    <w:r w:rsidRPr="009A7E42">
      <w:rPr>
        <w:rFonts w:ascii="Times New Roman" w:hAnsi="Times New Roman"/>
        <w:sz w:val="18"/>
        <w:szCs w:val="18"/>
      </w:rPr>
      <w:t xml:space="preserve"> of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CE131A">
      <w:rPr>
        <w:rFonts w:ascii="Times New Roman" w:hAnsi="Times New Roman"/>
        <w:noProof/>
        <w:sz w:val="18"/>
        <w:szCs w:val="18"/>
      </w:rPr>
      <w:t>33</w:t>
    </w:r>
    <w:r w:rsidRPr="009A7E42">
      <w:rPr>
        <w:rFonts w:ascii="Times New Roman" w:hAnsi="Times New Roman"/>
        <w:sz w:val="18"/>
        <w:szCs w:val="18"/>
      </w:rPr>
      <w:fldChar w:fldCharType="end"/>
    </w:r>
  </w:p>
  <w:p w14:paraId="432CED0F" w14:textId="77777777" w:rsidR="00F65053" w:rsidRPr="00F9346C" w:rsidRDefault="00F65053" w:rsidP="00DF6F65">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2021.1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w:t>
    </w:r>
    <w:r w:rsidRPr="00946B25">
      <w:rPr>
        <w:rFonts w:ascii="Times New Roman" w:hAnsi="Times New Roman"/>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15B6" w14:textId="77777777" w:rsidR="00F65053" w:rsidRPr="009A7E42" w:rsidRDefault="00F65053" w:rsidP="00DF6F65">
    <w:pPr>
      <w:pStyle w:val="Footer"/>
      <w:tabs>
        <w:tab w:val="right" w:pos="9639"/>
      </w:tabs>
      <w:spacing w:after="0"/>
      <w:rPr>
        <w:rFonts w:ascii="Times New Roman" w:hAnsi="Times New Roman"/>
        <w:b/>
        <w:sz w:val="18"/>
        <w:szCs w:val="18"/>
      </w:rPr>
    </w:pPr>
    <w:proofErr w:type="spellStart"/>
    <w:r w:rsidRPr="009A7E42">
      <w:rPr>
        <w:rFonts w:ascii="Times New Roman" w:hAnsi="Times New Roman"/>
        <w:b/>
        <w:sz w:val="18"/>
        <w:szCs w:val="18"/>
      </w:rPr>
      <w:t>EuropeAid</w:t>
    </w:r>
    <w:proofErr w:type="spellEnd"/>
    <w:r w:rsidRPr="009A7E42">
      <w:rPr>
        <w:rFonts w:ascii="Times New Roman" w:hAnsi="Times New Roman"/>
        <w:b/>
        <w:sz w:val="18"/>
        <w:szCs w:val="18"/>
      </w:rPr>
      <w:t>/</w:t>
    </w:r>
    <w:r>
      <w:rPr>
        <w:rFonts w:ascii="Times New Roman" w:hAnsi="Times New Roman"/>
        <w:b/>
        <w:noProof/>
        <w:sz w:val="18"/>
        <w:szCs w:val="18"/>
      </w:rPr>
      <w:t>180556</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p>
  <w:p w14:paraId="59EFE898" w14:textId="77777777" w:rsidR="00F65053" w:rsidRPr="00F9346C" w:rsidRDefault="00F65053" w:rsidP="00DF6F65">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 2021.1</w:t>
    </w:r>
    <w:r w:rsidRPr="00946B25">
      <w:rPr>
        <w:rFonts w:ascii="Times New Roman" w:hAnsi="Times New Roman"/>
        <w:bCs/>
        <w:sz w:val="18"/>
        <w:szCs w:val="18"/>
      </w:rPr>
      <w:fldChar w:fldCharType="begin"/>
    </w:r>
    <w:r w:rsidRPr="00946B25">
      <w:rPr>
        <w:rFonts w:ascii="Times New Roman" w:hAnsi="Times New Roman"/>
        <w:bCs/>
        <w:sz w:val="18"/>
        <w:szCs w:val="18"/>
      </w:rPr>
      <w:instrText xml:space="preserve"> FILENAME </w:instrText>
    </w:r>
    <w:r w:rsidRPr="00946B25">
      <w:rPr>
        <w:rFonts w:ascii="Times New Roman" w:hAnsi="Times New Roman"/>
        <w:bCs/>
        <w:sz w:val="18"/>
        <w:szCs w:val="18"/>
      </w:rPr>
      <w:fldChar w:fldCharType="separate"/>
    </w:r>
    <w:r>
      <w:rPr>
        <w:rFonts w:ascii="Times New Roman" w:hAnsi="Times New Roman"/>
        <w:bCs/>
        <w:noProof/>
        <w:sz w:val="18"/>
        <w:szCs w:val="18"/>
      </w:rPr>
      <w:t>Guidelines for grant applicant restricted</w:t>
    </w:r>
    <w:r w:rsidRPr="00946B25">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BE67" w14:textId="17B6E170" w:rsidR="00F65053" w:rsidRDefault="00F65053" w:rsidP="00491F8A">
    <w:pPr>
      <w:pStyle w:val="Footer"/>
      <w:tabs>
        <w:tab w:val="right" w:pos="9639"/>
      </w:tabs>
      <w:spacing w:after="0"/>
      <w:rPr>
        <w:rFonts w:ascii="Times New Roman" w:hAnsi="Times New Roman"/>
        <w:sz w:val="18"/>
        <w:szCs w:val="18"/>
      </w:rPr>
    </w:pPr>
    <w:proofErr w:type="spellStart"/>
    <w:r w:rsidRPr="009A7E42">
      <w:rPr>
        <w:rFonts w:ascii="Times New Roman" w:hAnsi="Times New Roman"/>
        <w:b/>
        <w:sz w:val="18"/>
        <w:szCs w:val="18"/>
      </w:rPr>
      <w:t>EuropeAid</w:t>
    </w:r>
    <w:proofErr w:type="spellEnd"/>
    <w:r w:rsidRPr="009A7E42">
      <w:rPr>
        <w:rFonts w:ascii="Times New Roman" w:hAnsi="Times New Roman"/>
        <w:b/>
        <w:sz w:val="18"/>
        <w:szCs w:val="18"/>
      </w:rPr>
      <w:t>/</w:t>
    </w:r>
    <w:r>
      <w:rPr>
        <w:rFonts w:ascii="Times New Roman" w:hAnsi="Times New Roman"/>
        <w:b/>
        <w:noProof/>
        <w:sz w:val="18"/>
        <w:szCs w:val="18"/>
      </w:rPr>
      <w:t>180556</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CE131A">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CE131A">
      <w:rPr>
        <w:rFonts w:ascii="Times New Roman" w:hAnsi="Times New Roman"/>
        <w:noProof/>
        <w:sz w:val="18"/>
        <w:szCs w:val="18"/>
      </w:rPr>
      <w:t>33</w:t>
    </w:r>
    <w:r>
      <w:rPr>
        <w:rFonts w:ascii="Times New Roman" w:hAnsi="Times New Roman"/>
        <w:sz w:val="18"/>
        <w:szCs w:val="18"/>
      </w:rPr>
      <w:fldChar w:fldCharType="end"/>
    </w:r>
  </w:p>
  <w:p w14:paraId="3D3C23A6" w14:textId="77777777" w:rsidR="00F65053" w:rsidRPr="00491F8A" w:rsidRDefault="00F65053" w:rsidP="00491F8A">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2021.1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w:t>
    </w:r>
    <w:r w:rsidRPr="00946B25">
      <w:rPr>
        <w:rFonts w:ascii="Times New Roman" w:hAnsi="Times New Roman"/>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84AD1" w14:textId="77777777" w:rsidR="00F65053" w:rsidRDefault="00F65053" w:rsidP="00F53E16">
      <w:pPr>
        <w:spacing w:before="120" w:after="0"/>
      </w:pPr>
      <w:r>
        <w:separator/>
      </w:r>
    </w:p>
  </w:footnote>
  <w:footnote w:type="continuationSeparator" w:id="0">
    <w:p w14:paraId="35E1F63C" w14:textId="77777777" w:rsidR="00F65053" w:rsidRDefault="00F65053">
      <w:r>
        <w:continuationSeparator/>
      </w:r>
    </w:p>
  </w:footnote>
  <w:footnote w:type="continuationNotice" w:id="1">
    <w:p w14:paraId="5A122AE1" w14:textId="77777777" w:rsidR="00F65053" w:rsidRPr="004D357E" w:rsidRDefault="00F65053" w:rsidP="004D357E">
      <w:pPr>
        <w:pStyle w:val="Footer"/>
      </w:pPr>
    </w:p>
  </w:footnote>
  <w:footnote w:id="2">
    <w:p w14:paraId="0A0AF0D4" w14:textId="77777777" w:rsidR="00F65053" w:rsidRDefault="00F65053" w:rsidP="00856DC2">
      <w:pPr>
        <w:pStyle w:val="FootnoteText"/>
        <w:ind w:left="142" w:hanging="142"/>
      </w:pPr>
      <w:r>
        <w:rPr>
          <w:rStyle w:val="FootnoteReference"/>
        </w:rPr>
        <w:footnoteRef/>
      </w:r>
      <w:r>
        <w:t xml:space="preserve"> </w:t>
      </w:r>
      <w:r w:rsidRPr="00F77D44">
        <w:rPr>
          <w:color w:val="000000"/>
        </w:rPr>
        <w:t>Online submission via PROSPECT is mandatory for this call for proposals (see Sec</w:t>
      </w:r>
      <w:r>
        <w:rPr>
          <w:color w:val="000000"/>
        </w:rPr>
        <w:t xml:space="preserve">tion 2.2.2). In PROSPECT all </w:t>
      </w:r>
      <w:r w:rsidRPr="00F77D44">
        <w:rPr>
          <w:color w:val="000000"/>
        </w:rPr>
        <w:t xml:space="preserve">dates and times are expressed in Brussels time. </w:t>
      </w:r>
      <w:r w:rsidRPr="00F77D44">
        <w:t xml:space="preserve">Applicants should note that the IT support is open Monday to Friday from 08:30 to 18:30 Brussels time (except </w:t>
      </w:r>
      <w:r>
        <w:t>during</w:t>
      </w:r>
      <w:r w:rsidRPr="00F77D44">
        <w:t xml:space="preserve"> </w:t>
      </w:r>
      <w:r>
        <w:t xml:space="preserve">European Commission </w:t>
      </w:r>
      <w:r w:rsidRPr="00F77D44">
        <w:t>public holidays</w:t>
      </w:r>
      <w:r>
        <w:t xml:space="preserve"> in Belgium as published in the Official Journal</w:t>
      </w:r>
      <w:r w:rsidRPr="00F77D44">
        <w:t>).</w:t>
      </w:r>
      <w:r>
        <w:t xml:space="preserve"> Applicants should take note of the weekly maintenance hours mentioned in the PROSPECT user manual.</w:t>
      </w:r>
    </w:p>
  </w:footnote>
  <w:footnote w:id="3">
    <w:p w14:paraId="60C5B18E" w14:textId="77777777" w:rsidR="00F65053" w:rsidRDefault="00F65053" w:rsidP="00856DC2">
      <w:pPr>
        <w:pStyle w:val="FootnoteText"/>
      </w:pPr>
      <w:r>
        <w:rPr>
          <w:rStyle w:val="FootnoteReference"/>
        </w:rPr>
        <w:footnoteRef/>
      </w:r>
      <w:r>
        <w:t xml:space="preserve"> An example of a </w:t>
      </w:r>
      <w:r>
        <w:rPr>
          <w:lang w:val="en-US"/>
        </w:rPr>
        <w:t xml:space="preserve">time converter tool available online: </w:t>
      </w:r>
      <w:hyperlink r:id="rId1" w:history="1">
        <w:r w:rsidRPr="004A50C0">
          <w:rPr>
            <w:rStyle w:val="Hyperlink"/>
            <w:lang w:val="en-US"/>
          </w:rPr>
          <w:t>http://www.timeanddate.com/worldclock/converter.html</w:t>
        </w:r>
      </w:hyperlink>
    </w:p>
  </w:footnote>
  <w:footnote w:id="4">
    <w:p w14:paraId="1B398BCD" w14:textId="77777777" w:rsidR="00F65053" w:rsidRDefault="00F65053" w:rsidP="00EE4E75">
      <w:pPr>
        <w:pStyle w:val="FootnoteText"/>
      </w:pPr>
      <w:r>
        <w:rPr>
          <w:rStyle w:val="FootnoteReference"/>
        </w:rPr>
        <w:footnoteRef/>
      </w:r>
      <w:r>
        <w:t xml:space="preserve"> If PROSPECT is unavailable, the IT support can also be reached via email: </w:t>
      </w:r>
      <w:hyperlink r:id="rId2" w:history="1">
        <w:r w:rsidRPr="005C791E">
          <w:rPr>
            <w:rStyle w:val="Hyperlink"/>
          </w:rPr>
          <w:t>INTPA-SUPPORT-SERVICES@ec.europa.eu</w:t>
        </w:r>
      </w:hyperlink>
    </w:p>
  </w:footnote>
  <w:footnote w:id="5">
    <w:p w14:paraId="09B4EA94" w14:textId="77777777" w:rsidR="00F65053" w:rsidRDefault="00F65053" w:rsidP="005D0DA7">
      <w:pPr>
        <w:pStyle w:val="FootnoteText"/>
      </w:pPr>
      <w:r>
        <w:rPr>
          <w:rStyle w:val="FootnoteReference"/>
          <w:szCs w:val="16"/>
        </w:rPr>
        <w:footnoteRef/>
      </w:r>
      <w:r>
        <w:t xml:space="preserve"> </w:t>
      </w:r>
      <w:r>
        <w:rPr>
          <w:rStyle w:val="A7"/>
          <w:rFonts w:cs="Facit Light"/>
          <w:szCs w:val="15"/>
        </w:rPr>
        <w:t xml:space="preserve">Reporters Without Borders, </w:t>
      </w:r>
      <w:r>
        <w:rPr>
          <w:rStyle w:val="A7"/>
          <w:rFonts w:cs="Facit Light"/>
          <w:i/>
          <w:iCs/>
          <w:szCs w:val="15"/>
        </w:rPr>
        <w:t>2023 Press Freedom Index – Moldova</w:t>
      </w:r>
      <w:r>
        <w:rPr>
          <w:rStyle w:val="A7"/>
          <w:rFonts w:cs="Facit Light"/>
          <w:szCs w:val="15"/>
        </w:rPr>
        <w:t xml:space="preserve">, available at </w:t>
      </w:r>
      <w:r>
        <w:rPr>
          <w:rStyle w:val="A7"/>
          <w:rFonts w:ascii="Facit" w:hAnsi="Facit" w:cs="Facit"/>
          <w:szCs w:val="15"/>
        </w:rPr>
        <w:t>https://rsf.org/en/country/moldova</w:t>
      </w:r>
    </w:p>
  </w:footnote>
  <w:footnote w:id="6">
    <w:p w14:paraId="7C97DE98" w14:textId="77777777" w:rsidR="00F65053" w:rsidRDefault="00F65053" w:rsidP="001D2E90">
      <w:pPr>
        <w:pStyle w:val="FootnoteText"/>
      </w:pPr>
      <w:r w:rsidRPr="00F53E16">
        <w:rPr>
          <w:vertAlign w:val="superscript"/>
        </w:rPr>
        <w:footnoteRef/>
      </w:r>
      <w:r>
        <w:t xml:space="preserve"> </w:t>
      </w:r>
      <w:r w:rsidRPr="00844680">
        <w:t>Where a grant is financed by the European Development Fund, any mention of European Union financing must be understood as referring to European Development Fund financin</w:t>
      </w:r>
      <w:r w:rsidRPr="00402208">
        <w:t>g.</w:t>
      </w:r>
    </w:p>
  </w:footnote>
  <w:footnote w:id="7">
    <w:p w14:paraId="69435B36" w14:textId="77777777" w:rsidR="00F65053" w:rsidRDefault="00F65053" w:rsidP="00D34B88">
      <w:pPr>
        <w:pStyle w:val="FootnoteText"/>
      </w:pPr>
      <w:r w:rsidRPr="008E179D">
        <w:rPr>
          <w:rStyle w:val="FootnoteReference"/>
          <w:sz w:val="20"/>
        </w:rPr>
        <w:footnoteRef/>
      </w:r>
      <w:r w:rsidRPr="00BC4203">
        <w:t xml:space="preserve"> </w:t>
      </w:r>
      <w:r w:rsidRPr="002346D0">
        <w:t>Note</w:t>
      </w:r>
      <w:r>
        <w:t xml:space="preserve"> that a lead applicant (i.e. a c</w:t>
      </w:r>
      <w:r w:rsidRPr="002346D0">
        <w:t>oordinator) whose pillars have been positively assessed by the European Commission and who is awarded a grant will not sign the standard grant contract publish</w:t>
      </w:r>
      <w:r>
        <w:t>ed with these guidelines but a contribution a</w:t>
      </w:r>
      <w:r w:rsidRPr="002346D0">
        <w:t>greement based o</w:t>
      </w:r>
      <w:r>
        <w:t>n the contribution a</w:t>
      </w:r>
      <w:r w:rsidRPr="002346D0">
        <w:t xml:space="preserve">greement template. All references in these guidelines and other documents related to this call to the standard grant contract shall in this case be understood as referring to </w:t>
      </w:r>
      <w:r>
        <w:t>the relevant provisions of the c</w:t>
      </w:r>
      <w:r w:rsidRPr="002346D0">
        <w:t xml:space="preserve">ontribution </w:t>
      </w:r>
      <w:r>
        <w:t>a</w:t>
      </w:r>
      <w:r w:rsidRPr="002346D0">
        <w:t>greement template</w:t>
      </w:r>
      <w:r>
        <w:t>.</w:t>
      </w:r>
    </w:p>
  </w:footnote>
  <w:footnote w:id="8">
    <w:p w14:paraId="580F1955" w14:textId="0430C8EA" w:rsidR="00F65053" w:rsidRDefault="00F65053" w:rsidP="00D34B88">
      <w:pPr>
        <w:pStyle w:val="FootnoteText"/>
      </w:pPr>
      <w:r w:rsidRPr="00F53E16">
        <w:rPr>
          <w:vertAlign w:val="superscript"/>
        </w:rPr>
        <w:footnoteRef/>
      </w:r>
      <w:r>
        <w:t xml:space="preserve"> </w:t>
      </w:r>
      <w:r w:rsidRPr="00844680">
        <w:t>International organisations are international public-secto</w:t>
      </w:r>
      <w:r w:rsidRPr="008E179D">
        <w:t>r organisations set up by intergovernmental agreements as well as specialised agencies set up by them; the International Committee of the Red Cross (ICRC) and the International Federation of National Red Cross and Red Crescent Societies are also recognised</w:t>
      </w:r>
      <w:r w:rsidRPr="00BC4203">
        <w:t xml:space="preserve"> as international organisations.</w:t>
      </w:r>
      <w:r w:rsidRPr="00F239DE">
        <w:t xml:space="preserve"> </w:t>
      </w:r>
    </w:p>
  </w:footnote>
  <w:footnote w:id="9">
    <w:p w14:paraId="564BAF3D" w14:textId="77777777" w:rsidR="00F65053" w:rsidRDefault="00F65053" w:rsidP="00D34B88">
      <w:pPr>
        <w:pStyle w:val="FootnoteText"/>
      </w:pPr>
      <w:r w:rsidRPr="00F53E16">
        <w:rPr>
          <w:vertAlign w:val="superscript"/>
        </w:rPr>
        <w:footnoteRef/>
      </w:r>
      <w:r>
        <w:t xml:space="preserve"> </w:t>
      </w:r>
      <w:r w:rsidRPr="00844680">
        <w:t>To be determined on the basis of the organisation’s statutes, which should demonstrate that it has been established by an instrument governed by the national law of the country concerned and that its head office is loca</w:t>
      </w:r>
      <w:r w:rsidRPr="008E179D">
        <w:t>ted in an eligible country. In this respect, any legal entity whose statutes have been established in another country cannot be considered an eligible local organisation, even if the statutes are registered locally or a ‘Memorandum of Understanding’ has be</w:t>
      </w:r>
      <w:r w:rsidRPr="00BC4203">
        <w:t xml:space="preserve">en concluded. </w:t>
      </w:r>
    </w:p>
  </w:footnote>
  <w:footnote w:id="10">
    <w:p w14:paraId="308E9D70" w14:textId="57F42011" w:rsidR="00F65053" w:rsidRDefault="00F65053">
      <w:pPr>
        <w:pStyle w:val="FootnoteText"/>
      </w:pPr>
      <w:r>
        <w:rPr>
          <w:rStyle w:val="FootnoteReference"/>
        </w:rPr>
        <w:footnoteRef/>
      </w:r>
      <w:r>
        <w:t xml:space="preserve"> </w:t>
      </w:r>
      <w:r w:rsidRPr="00F53E16">
        <w:t>With regard to Israeli entities, please follow Guidelines on the eligibility of Israeli entities and their activities in the territories occupied by Israel since June 1967 for grants, prizes and financial instruments funded by the EU from 2014 onwards (</w:t>
      </w:r>
      <w:proofErr w:type="spellStart"/>
      <w:r w:rsidRPr="00F53E16">
        <w:t>OJ</w:t>
      </w:r>
      <w:proofErr w:type="spellEnd"/>
      <w:r w:rsidRPr="00F53E16">
        <w:t xml:space="preserve"> C 205, 19.7.2013, p. 9).</w:t>
      </w:r>
    </w:p>
  </w:footnote>
  <w:footnote w:id="11">
    <w:p w14:paraId="4559B898" w14:textId="77777777" w:rsidR="00F65053" w:rsidRDefault="00F65053" w:rsidP="00005DB1">
      <w:pPr>
        <w:pStyle w:val="FootnoteText"/>
      </w:pPr>
      <w:r>
        <w:rPr>
          <w:rStyle w:val="FootnoteReference"/>
        </w:rPr>
        <w:footnoteRef/>
      </w:r>
      <w:r>
        <w:t xml:space="preserve">Audiovisual Code of the Republic of Moldova </w:t>
      </w:r>
    </w:p>
    <w:p w14:paraId="1E0B8666" w14:textId="77777777" w:rsidR="00F65053" w:rsidRDefault="00CE131A" w:rsidP="00005DB1">
      <w:pPr>
        <w:pStyle w:val="FootnoteText"/>
      </w:pPr>
      <w:hyperlink r:id="rId3" w:history="1">
        <w:r w:rsidR="00F65053" w:rsidRPr="004C601A">
          <w:rPr>
            <w:rStyle w:val="Hyperlink"/>
          </w:rPr>
          <w:t>https://www.legis.md/cautare/getResults?doc_id=138546&amp;lang=ro</w:t>
        </w:r>
      </w:hyperlink>
    </w:p>
    <w:p w14:paraId="3B2FAF1A" w14:textId="77777777" w:rsidR="00F65053" w:rsidRDefault="00F65053" w:rsidP="00005DB1">
      <w:pPr>
        <w:pStyle w:val="FootnoteText"/>
      </w:pPr>
    </w:p>
  </w:footnote>
  <w:footnote w:id="12">
    <w:p w14:paraId="2F5D4D31" w14:textId="77777777" w:rsidR="00F65053" w:rsidRDefault="00F65053" w:rsidP="00D34B88">
      <w:pPr>
        <w:pStyle w:val="FootnoteText"/>
      </w:pPr>
      <w:r w:rsidRPr="00F53E16">
        <w:rPr>
          <w:rStyle w:val="FootnoteReference"/>
          <w:sz w:val="16"/>
          <w:szCs w:val="16"/>
        </w:rPr>
        <w:footnoteRef/>
      </w:r>
      <w:r w:rsidRPr="00844680">
        <w:t xml:space="preserve"> These third parties are neither affiliated </w:t>
      </w:r>
      <w:proofErr w:type="gramStart"/>
      <w:r w:rsidRPr="00844680">
        <w:t>entity(</w:t>
      </w:r>
      <w:proofErr w:type="spellStart"/>
      <w:proofErr w:type="gramEnd"/>
      <w:r w:rsidRPr="00844680">
        <w:t>ies</w:t>
      </w:r>
      <w:proofErr w:type="spellEnd"/>
      <w:r w:rsidRPr="00844680">
        <w:t>) nor associates nor contractors.</w:t>
      </w:r>
    </w:p>
  </w:footnote>
  <w:footnote w:id="13">
    <w:p w14:paraId="296714FD" w14:textId="77777777" w:rsidR="00F65053" w:rsidRDefault="00F65053" w:rsidP="00D34B88">
      <w:pPr>
        <w:pStyle w:val="FootnoteText"/>
      </w:pPr>
      <w:r w:rsidRPr="00F53E16">
        <w:rPr>
          <w:rStyle w:val="FootnoteReference"/>
          <w:sz w:val="16"/>
          <w:szCs w:val="16"/>
        </w:rPr>
        <w:footnoteRef/>
      </w:r>
      <w:r w:rsidRPr="00844680">
        <w:t xml:space="preserve"> As per OECD DAC definition, the term </w:t>
      </w:r>
      <w:r>
        <w:t>‘</w:t>
      </w:r>
      <w:r w:rsidRPr="00844680">
        <w:t>results</w:t>
      </w:r>
      <w:r>
        <w:t>’</w:t>
      </w:r>
      <w:r w:rsidRPr="00844680">
        <w:t xml:space="preserve"> includes: </w:t>
      </w:r>
      <w:r>
        <w:t>‘</w:t>
      </w:r>
      <w:r w:rsidRPr="00844680">
        <w:t>impact</w:t>
      </w:r>
      <w:r>
        <w:t>’</w:t>
      </w:r>
      <w:r w:rsidRPr="00844680">
        <w:t xml:space="preserve"> (overall objective), </w:t>
      </w:r>
      <w:r>
        <w:t>‘</w:t>
      </w:r>
      <w:r w:rsidRPr="00844680">
        <w:t>outcome(s)</w:t>
      </w:r>
      <w:r>
        <w:t>’</w:t>
      </w:r>
      <w:r w:rsidRPr="00844680">
        <w:t xml:space="preserve"> (specific objective(s) and </w:t>
      </w:r>
      <w:r>
        <w:t>‘</w:t>
      </w:r>
      <w:r w:rsidRPr="00844680">
        <w:t>output(s)</w:t>
      </w:r>
      <w:r>
        <w:t>’</w:t>
      </w:r>
      <w:r w:rsidRPr="00844680">
        <w:t>.</w:t>
      </w:r>
    </w:p>
  </w:footnote>
  <w:footnote w:id="14">
    <w:p w14:paraId="593556DF" w14:textId="77777777" w:rsidR="00F65053" w:rsidRDefault="00F65053" w:rsidP="00B516DD">
      <w:pPr>
        <w:pStyle w:val="FootnoteText"/>
      </w:pPr>
      <w:r w:rsidRPr="00232301">
        <w:rPr>
          <w:vertAlign w:val="superscript"/>
        </w:rPr>
        <w:footnoteRef/>
      </w:r>
      <w:r>
        <w:t xml:space="preserve"> </w:t>
      </w:r>
      <w:r w:rsidRPr="00A016F9">
        <w:t>Which corresponds to</w:t>
      </w:r>
      <w:r>
        <w:t xml:space="preserve"> Annex F – </w:t>
      </w:r>
      <w:proofErr w:type="spellStart"/>
      <w:r>
        <w:t>PADOR</w:t>
      </w:r>
      <w:proofErr w:type="spellEnd"/>
      <w:r>
        <w:t xml:space="preserve"> off-line form (</w:t>
      </w:r>
      <w:proofErr w:type="spellStart"/>
      <w:r>
        <w:t>PRAG</w:t>
      </w:r>
      <w:proofErr w:type="spellEnd"/>
      <w:r>
        <w:t xml:space="preserve"> annex e13)</w:t>
      </w:r>
      <w:r w:rsidRPr="00A016F9">
        <w:t>.</w:t>
      </w:r>
    </w:p>
  </w:footnote>
  <w:footnote w:id="15">
    <w:p w14:paraId="2051F3E3" w14:textId="77777777" w:rsidR="00F65053" w:rsidRDefault="00F65053" w:rsidP="00D34B88">
      <w:pPr>
        <w:pStyle w:val="FootnoteText"/>
      </w:pPr>
      <w:r w:rsidRPr="00232301">
        <w:rPr>
          <w:rStyle w:val="FootnoteReference"/>
          <w:szCs w:val="24"/>
        </w:rPr>
        <w:footnoteRef/>
      </w:r>
      <w:r w:rsidRPr="00844680">
        <w:t xml:space="preserve"> Natural persons who apply for a grant (if so allowed in the guidelines for applicants) do not have to provide an </w:t>
      </w:r>
      <w:r>
        <w:t>o</w:t>
      </w:r>
      <w:r w:rsidRPr="00844680">
        <w:t xml:space="preserve">rganisation </w:t>
      </w:r>
      <w:r>
        <w:t>d</w:t>
      </w:r>
      <w:r w:rsidRPr="00844680">
        <w:t xml:space="preserve">ata </w:t>
      </w:r>
      <w:r>
        <w:t>f</w:t>
      </w:r>
      <w:r w:rsidRPr="00844680">
        <w:t>orm</w:t>
      </w:r>
      <w:r w:rsidRPr="008E179D">
        <w:t>. In this case, the information included in the grant application form is sufficient.</w:t>
      </w:r>
    </w:p>
  </w:footnote>
  <w:footnote w:id="16">
    <w:p w14:paraId="10D6DA20" w14:textId="77777777" w:rsidR="00F65053" w:rsidRDefault="00F65053"/>
    <w:p w14:paraId="030601A4" w14:textId="77777777" w:rsidR="00F65053" w:rsidRDefault="00F65053" w:rsidP="009C64DC">
      <w:pPr>
        <w:pStyle w:val="FootnoteText"/>
      </w:pPr>
    </w:p>
  </w:footnote>
  <w:footnote w:id="17">
    <w:p w14:paraId="1879B092" w14:textId="77777777" w:rsidR="00F65053" w:rsidRDefault="00F65053" w:rsidP="00076061">
      <w:pPr>
        <w:pStyle w:val="FootnoteText"/>
      </w:pPr>
      <w:r>
        <w:rPr>
          <w:rStyle w:val="FootnoteReference"/>
        </w:rPr>
        <w:footnoteRef/>
      </w:r>
      <w:r>
        <w:t xml:space="preserve"> </w:t>
      </w:r>
      <w:r>
        <w:rPr>
          <w:lang w:val="en-IE"/>
        </w:rPr>
        <w:t xml:space="preserve">No supporting documents will be requested for applications for a grant not exceeding EUR 60 000. </w:t>
      </w:r>
    </w:p>
  </w:footnote>
  <w:footnote w:id="18">
    <w:p w14:paraId="0F77892A" w14:textId="77777777" w:rsidR="00F65053" w:rsidRDefault="00F65053" w:rsidP="008B69D1">
      <w:pPr>
        <w:pStyle w:val="FootnoteText"/>
      </w:pPr>
      <w:r w:rsidRPr="00BF158E">
        <w:rPr>
          <w:vertAlign w:val="superscript"/>
        </w:rPr>
        <w:footnoteRef/>
      </w:r>
      <w:r w:rsidRPr="00844680">
        <w:t xml:space="preserve"> This obligation does not apply to natural persons who have received a scholarship or that are in most need of direct support, nor to public bodies and to international organisations. It does not apply either when th</w:t>
      </w:r>
      <w:r w:rsidRPr="008E179D">
        <w:t xml:space="preserve">e accounts are in practice the same documents as the external audit report already provided pursuant to </w:t>
      </w:r>
      <w:r>
        <w:t>S</w:t>
      </w:r>
      <w:r w:rsidRPr="001807CB">
        <w:t>ection 2.</w:t>
      </w:r>
      <w:r>
        <w:t>2</w:t>
      </w:r>
      <w:r w:rsidRPr="001807CB">
        <w:t>.</w:t>
      </w:r>
      <w:r>
        <w:t xml:space="preserve">5, point 1. </w:t>
      </w:r>
      <w:r w:rsidRPr="001807CB">
        <w:t xml:space="preserve"> </w:t>
      </w:r>
    </w:p>
  </w:footnote>
  <w:footnote w:id="19">
    <w:p w14:paraId="623DE19E" w14:textId="77777777" w:rsidR="00F65053" w:rsidRPr="007110C4" w:rsidRDefault="00F65053" w:rsidP="000030E5">
      <w:pPr>
        <w:pStyle w:val="CommentText"/>
      </w:pPr>
      <w:r>
        <w:rPr>
          <w:rStyle w:val="FootnoteReference"/>
        </w:rPr>
        <w:footnoteRef/>
      </w:r>
      <w:r>
        <w:t xml:space="preserve"> Applicants</w:t>
      </w:r>
      <w:r w:rsidRPr="00F35EBC">
        <w:t xml:space="preserve">, co-applicants </w:t>
      </w:r>
      <w:r>
        <w:t xml:space="preserve">and affiliated entities who are </w:t>
      </w:r>
      <w:r w:rsidRPr="00F35EBC">
        <w:t>(i) natural persons (ii) pillar-assessed entities and (iii) governments and other public bodies</w:t>
      </w:r>
      <w:r>
        <w:t xml:space="preserve"> do not have to submit the self-evaluation questionnaire.</w:t>
      </w:r>
    </w:p>
    <w:p w14:paraId="7B055F22" w14:textId="77777777" w:rsidR="00F65053" w:rsidRDefault="00F65053" w:rsidP="000030E5">
      <w:pPr>
        <w:pStyle w:val="CommentText"/>
      </w:pPr>
    </w:p>
  </w:footnote>
  <w:footnote w:id="20">
    <w:p w14:paraId="181F9B68" w14:textId="77777777" w:rsidR="00F65053" w:rsidRDefault="00F65053" w:rsidP="00F4105E">
      <w:pPr>
        <w:pStyle w:val="FootnoteText"/>
      </w:pPr>
      <w:r w:rsidRPr="00F53E16">
        <w:rPr>
          <w:vertAlign w:val="superscript"/>
        </w:rPr>
        <w:footnoteRef/>
      </w:r>
      <w:r w:rsidRPr="00D34B88">
        <w:t xml:space="preserve"> </w:t>
      </w:r>
      <w:r w:rsidRPr="00844680">
        <w:t xml:space="preserve">These documents should also be published by the </w:t>
      </w:r>
      <w:r>
        <w:t>c</w:t>
      </w:r>
      <w:r w:rsidRPr="00844680">
        <w:t xml:space="preserve">ontracting </w:t>
      </w:r>
      <w:r>
        <w:t>a</w:t>
      </w:r>
      <w:r w:rsidRPr="00844680">
        <w:t>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809000F"/>
    <w:lvl w:ilvl="0">
      <w:start w:val="1"/>
      <w:numFmt w:val="decimal"/>
      <w:pStyle w:val="Heading3"/>
      <w:lvlText w:val="%1."/>
      <w:lvlJc w:val="left"/>
      <w:pPr>
        <w:ind w:left="360" w:hanging="360"/>
      </w:pPr>
      <w:rPr>
        <w:rFonts w:cs="Times New Roman" w:hint="default"/>
      </w:rPr>
    </w:lvl>
  </w:abstractNum>
  <w:abstractNum w:abstractNumId="1" w15:restartNumberingAfterBreak="0">
    <w:nsid w:val="FFFFFF80"/>
    <w:multiLevelType w:val="multilevel"/>
    <w:tmpl w:val="3F84090C"/>
    <w:lvl w:ilvl="0">
      <w:start w:val="1"/>
      <w:numFmt w:val="bullet"/>
      <w:pStyle w:val="Application3"/>
      <w:lvlText w:val=""/>
      <w:lvlJc w:val="left"/>
      <w:pPr>
        <w:tabs>
          <w:tab w:val="num" w:pos="1492"/>
        </w:tabs>
        <w:ind w:left="1492" w:hanging="360"/>
      </w:pPr>
      <w:rPr>
        <w:rFonts w:ascii="Symbol" w:hAnsi="Symbol" w:hint="default"/>
      </w:rPr>
    </w:lvl>
    <w:lvl w:ilvl="1">
      <w:numFmt w:val="decimal"/>
      <w:pStyle w:val="ListNumber2Level2"/>
      <w:lvlText w:val=""/>
      <w:lvlJc w:val="left"/>
      <w:rPr>
        <w:rFonts w:cs="Times New Roman"/>
      </w:rPr>
    </w:lvl>
    <w:lvl w:ilvl="2">
      <w:numFmt w:val="decimal"/>
      <w:pStyle w:val="ListNumber2Level3"/>
      <w:lvlText w:val=""/>
      <w:lvlJc w:val="left"/>
      <w:rPr>
        <w:rFonts w:cs="Times New Roman"/>
      </w:rPr>
    </w:lvl>
    <w:lvl w:ilvl="3">
      <w:numFmt w:val="decimal"/>
      <w:pStyle w:val="ListNumber2Level4"/>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FFFFFF89"/>
    <w:multiLevelType w:val="singleLevel"/>
    <w:tmpl w:val="DB5023AE"/>
    <w:lvl w:ilvl="0">
      <w:start w:val="1"/>
      <w:numFmt w:val="bullet"/>
      <w:pStyle w:val="Heading9"/>
      <w:lvlText w:val=""/>
      <w:lvlJc w:val="left"/>
      <w:pPr>
        <w:tabs>
          <w:tab w:val="num" w:pos="360"/>
        </w:tabs>
        <w:ind w:left="360" w:hanging="360"/>
      </w:pPr>
      <w:rPr>
        <w:rFonts w:ascii="Symbol" w:hAnsi="Symbol" w:hint="default"/>
      </w:rPr>
    </w:lvl>
  </w:abstractNum>
  <w:abstractNum w:abstractNumId="3" w15:restartNumberingAfterBreak="0">
    <w:nsid w:val="01652CCC"/>
    <w:multiLevelType w:val="multilevel"/>
    <w:tmpl w:val="298096B6"/>
    <w:lvl w:ilvl="0">
      <w:start w:val="1"/>
      <w:numFmt w:val="decimal"/>
      <w:lvlText w:val="%1."/>
      <w:lvlJc w:val="left"/>
      <w:pPr>
        <w:ind w:left="567" w:hanging="567"/>
      </w:pPr>
      <w:rPr>
        <w:rFonts w:ascii="Times New Roman Bold" w:hAnsi="Times New Roman Bold"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93D2A25"/>
    <w:multiLevelType w:val="hybridMultilevel"/>
    <w:tmpl w:val="1FFA1BAC"/>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F0C88"/>
    <w:multiLevelType w:val="hybridMultilevel"/>
    <w:tmpl w:val="A86260FA"/>
    <w:lvl w:ilvl="0" w:tplc="EAF20156">
      <w:start w:val="1"/>
      <w:numFmt w:val="decimal"/>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A1798"/>
    <w:multiLevelType w:val="hybridMultilevel"/>
    <w:tmpl w:val="19EA99E4"/>
    <w:lvl w:ilvl="0" w:tplc="CCAEE03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40EDB"/>
    <w:multiLevelType w:val="hybridMultilevel"/>
    <w:tmpl w:val="45985B24"/>
    <w:lvl w:ilvl="0" w:tplc="1D8C0454">
      <w:start w:val="3"/>
      <w:numFmt w:val="decimal"/>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2F40910"/>
    <w:multiLevelType w:val="hybridMultilevel"/>
    <w:tmpl w:val="DDF0C3C0"/>
    <w:lvl w:ilvl="0" w:tplc="54A2365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8C47C02"/>
    <w:multiLevelType w:val="hybridMultilevel"/>
    <w:tmpl w:val="6BF4DC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C1B24350">
      <w:start w:val="1"/>
      <w:numFmt w:val="decimal"/>
      <w:lvlText w:val="%7."/>
      <w:lvlJc w:val="left"/>
      <w:pPr>
        <w:ind w:left="644" w:hanging="360"/>
      </w:pPr>
      <w:rPr>
        <w:rFonts w:cs="Times New Roman"/>
        <w:sz w:val="22"/>
        <w:szCs w:val="22"/>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A145C2C"/>
    <w:multiLevelType w:val="hybridMultilevel"/>
    <w:tmpl w:val="A0D8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D498B"/>
    <w:multiLevelType w:val="hybridMultilevel"/>
    <w:tmpl w:val="0F8EFF0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09B3BCD"/>
    <w:multiLevelType w:val="hybridMultilevel"/>
    <w:tmpl w:val="57C216AC"/>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662666B"/>
    <w:multiLevelType w:val="hybridMultilevel"/>
    <w:tmpl w:val="BB88C9F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4" w15:restartNumberingAfterBreak="0">
    <w:nsid w:val="5459154E"/>
    <w:multiLevelType w:val="hybridMultilevel"/>
    <w:tmpl w:val="DBCCC928"/>
    <w:lvl w:ilvl="0" w:tplc="F6442AF2">
      <w:start w:val="1"/>
      <w:numFmt w:val="decimal"/>
      <w:lvlText w:val="(%1)"/>
      <w:lvlJc w:val="left"/>
      <w:pPr>
        <w:ind w:left="567" w:hanging="56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9548A"/>
    <w:multiLevelType w:val="hybridMultilevel"/>
    <w:tmpl w:val="F880E53E"/>
    <w:lvl w:ilvl="0" w:tplc="08090001">
      <w:start w:val="1"/>
      <w:numFmt w:val="bullet"/>
      <w:lvlText w:val=""/>
      <w:lvlJc w:val="left"/>
      <w:pPr>
        <w:ind w:left="720" w:hanging="360"/>
      </w:pPr>
      <w:rPr>
        <w:rFonts w:ascii="Symbol" w:hAnsi="Symbol" w:hint="default"/>
      </w:rPr>
    </w:lvl>
    <w:lvl w:ilvl="1" w:tplc="8F66C52E">
      <w:start w:val="1"/>
      <w:numFmt w:val="bullet"/>
      <w:lvlText w:val="-"/>
      <w:lvlJc w:val="left"/>
      <w:pPr>
        <w:ind w:left="1440" w:hanging="360"/>
      </w:pPr>
      <w:rPr>
        <w:rFonts w:ascii="Calibri" w:hAnsi="Calibri" w:hint="default"/>
        <w:sz w:val="18"/>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11A76BA"/>
    <w:multiLevelType w:val="hybridMultilevel"/>
    <w:tmpl w:val="247642E2"/>
    <w:lvl w:ilvl="0" w:tplc="BFA0F0AE">
      <w:start w:val="5"/>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C5352"/>
    <w:multiLevelType w:val="hybridMultilevel"/>
    <w:tmpl w:val="75E2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A584B09"/>
    <w:multiLevelType w:val="hybridMultilevel"/>
    <w:tmpl w:val="2E20F7C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25575"/>
    <w:multiLevelType w:val="hybridMultilevel"/>
    <w:tmpl w:val="7AFA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4"/>
  </w:num>
  <w:num w:numId="9">
    <w:abstractNumId w:val="3"/>
  </w:num>
  <w:num w:numId="10">
    <w:abstractNumId w:val="9"/>
  </w:num>
  <w:num w:numId="11">
    <w:abstractNumId w:val="22"/>
  </w:num>
  <w:num w:numId="12">
    <w:abstractNumId w:val="36"/>
  </w:num>
  <w:num w:numId="13">
    <w:abstractNumId w:val="20"/>
  </w:num>
  <w:num w:numId="14">
    <w:abstractNumId w:val="8"/>
  </w:num>
  <w:num w:numId="15">
    <w:abstractNumId w:val="26"/>
  </w:num>
  <w:num w:numId="16">
    <w:abstractNumId w:val="29"/>
  </w:num>
  <w:num w:numId="17">
    <w:abstractNumId w:val="10"/>
  </w:num>
  <w:num w:numId="18">
    <w:abstractNumId w:val="21"/>
  </w:num>
  <w:num w:numId="19">
    <w:abstractNumId w:val="30"/>
  </w:num>
  <w:num w:numId="20">
    <w:abstractNumId w:val="24"/>
  </w:num>
  <w:num w:numId="21">
    <w:abstractNumId w:val="11"/>
  </w:num>
  <w:num w:numId="22">
    <w:abstractNumId w:val="34"/>
  </w:num>
  <w:num w:numId="23">
    <w:abstractNumId w:val="13"/>
  </w:num>
  <w:num w:numId="24">
    <w:abstractNumId w:val="6"/>
  </w:num>
  <w:num w:numId="25">
    <w:abstractNumId w:val="16"/>
  </w:num>
  <w:num w:numId="26">
    <w:abstractNumId w:val="19"/>
  </w:num>
  <w:num w:numId="27">
    <w:abstractNumId w:val="15"/>
  </w:num>
  <w:num w:numId="28">
    <w:abstractNumId w:val="28"/>
  </w:num>
  <w:num w:numId="29">
    <w:abstractNumId w:val="23"/>
  </w:num>
  <w:num w:numId="30">
    <w:abstractNumId w:val="32"/>
  </w:num>
  <w:num w:numId="31">
    <w:abstractNumId w:val="5"/>
  </w:num>
  <w:num w:numId="32">
    <w:abstractNumId w:val="31"/>
  </w:num>
  <w:num w:numId="33">
    <w:abstractNumId w:val="33"/>
  </w:num>
  <w:num w:numId="34">
    <w:abstractNumId w:val="12"/>
  </w:num>
  <w:num w:numId="35">
    <w:abstractNumId w:val="14"/>
  </w:num>
  <w:num w:numId="36">
    <w:abstractNumId w:val="18"/>
  </w:num>
  <w:num w:numId="37">
    <w:abstractNumId w:val="27"/>
  </w:num>
  <w:num w:numId="38">
    <w:abstractNumId w:val="7"/>
  </w:num>
  <w:num w:numId="39">
    <w:abstractNumId w:val="17"/>
  </w:num>
  <w:num w:numId="40">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IE"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0B02"/>
    <w:rsid w:val="000015FC"/>
    <w:rsid w:val="00001767"/>
    <w:rsid w:val="00001F83"/>
    <w:rsid w:val="000030E5"/>
    <w:rsid w:val="00003166"/>
    <w:rsid w:val="00003724"/>
    <w:rsid w:val="000041CB"/>
    <w:rsid w:val="000041CE"/>
    <w:rsid w:val="000043F8"/>
    <w:rsid w:val="0000587D"/>
    <w:rsid w:val="00005DB1"/>
    <w:rsid w:val="00006069"/>
    <w:rsid w:val="00006318"/>
    <w:rsid w:val="000100AF"/>
    <w:rsid w:val="0001129D"/>
    <w:rsid w:val="000115E2"/>
    <w:rsid w:val="00011765"/>
    <w:rsid w:val="0001251B"/>
    <w:rsid w:val="000127B4"/>
    <w:rsid w:val="00012BBB"/>
    <w:rsid w:val="00012D9A"/>
    <w:rsid w:val="0001411D"/>
    <w:rsid w:val="0001462B"/>
    <w:rsid w:val="0001485A"/>
    <w:rsid w:val="00014BB7"/>
    <w:rsid w:val="00014E97"/>
    <w:rsid w:val="000159A3"/>
    <w:rsid w:val="00017439"/>
    <w:rsid w:val="00017505"/>
    <w:rsid w:val="000176DE"/>
    <w:rsid w:val="00017DDF"/>
    <w:rsid w:val="00017EFF"/>
    <w:rsid w:val="00020C81"/>
    <w:rsid w:val="000220E5"/>
    <w:rsid w:val="00022D3C"/>
    <w:rsid w:val="00023576"/>
    <w:rsid w:val="0002374A"/>
    <w:rsid w:val="0002503B"/>
    <w:rsid w:val="00025394"/>
    <w:rsid w:val="00026D5B"/>
    <w:rsid w:val="000275A9"/>
    <w:rsid w:val="00027881"/>
    <w:rsid w:val="00027C2F"/>
    <w:rsid w:val="00030066"/>
    <w:rsid w:val="0003006C"/>
    <w:rsid w:val="00030A89"/>
    <w:rsid w:val="00030E42"/>
    <w:rsid w:val="000312D2"/>
    <w:rsid w:val="00031E41"/>
    <w:rsid w:val="000323AD"/>
    <w:rsid w:val="00033A1F"/>
    <w:rsid w:val="00034524"/>
    <w:rsid w:val="00034906"/>
    <w:rsid w:val="00034BC8"/>
    <w:rsid w:val="00036F0B"/>
    <w:rsid w:val="0003772E"/>
    <w:rsid w:val="000405C5"/>
    <w:rsid w:val="00040730"/>
    <w:rsid w:val="000408E7"/>
    <w:rsid w:val="00040EB8"/>
    <w:rsid w:val="00042967"/>
    <w:rsid w:val="00043A54"/>
    <w:rsid w:val="000445D3"/>
    <w:rsid w:val="00045368"/>
    <w:rsid w:val="00045E79"/>
    <w:rsid w:val="00045F72"/>
    <w:rsid w:val="00046C46"/>
    <w:rsid w:val="00047C7D"/>
    <w:rsid w:val="00050B50"/>
    <w:rsid w:val="00050E48"/>
    <w:rsid w:val="0005133A"/>
    <w:rsid w:val="0005169C"/>
    <w:rsid w:val="00051AC1"/>
    <w:rsid w:val="00054B49"/>
    <w:rsid w:val="00054F87"/>
    <w:rsid w:val="00055FED"/>
    <w:rsid w:val="00056377"/>
    <w:rsid w:val="000572EE"/>
    <w:rsid w:val="000603C3"/>
    <w:rsid w:val="0006044D"/>
    <w:rsid w:val="000616CA"/>
    <w:rsid w:val="0006171F"/>
    <w:rsid w:val="00061871"/>
    <w:rsid w:val="000618B3"/>
    <w:rsid w:val="000620AD"/>
    <w:rsid w:val="00062A91"/>
    <w:rsid w:val="000636F3"/>
    <w:rsid w:val="000638B5"/>
    <w:rsid w:val="00063A68"/>
    <w:rsid w:val="00063B9A"/>
    <w:rsid w:val="0006470D"/>
    <w:rsid w:val="00064836"/>
    <w:rsid w:val="0006488E"/>
    <w:rsid w:val="000648BB"/>
    <w:rsid w:val="0006505A"/>
    <w:rsid w:val="00065311"/>
    <w:rsid w:val="00065C6A"/>
    <w:rsid w:val="00065F32"/>
    <w:rsid w:val="00066C91"/>
    <w:rsid w:val="00067591"/>
    <w:rsid w:val="00067A85"/>
    <w:rsid w:val="000712A0"/>
    <w:rsid w:val="0007171B"/>
    <w:rsid w:val="000728FC"/>
    <w:rsid w:val="000734D6"/>
    <w:rsid w:val="000735EC"/>
    <w:rsid w:val="0007408E"/>
    <w:rsid w:val="000745FC"/>
    <w:rsid w:val="0007498A"/>
    <w:rsid w:val="000752CD"/>
    <w:rsid w:val="0007546C"/>
    <w:rsid w:val="00076061"/>
    <w:rsid w:val="000762FC"/>
    <w:rsid w:val="00077433"/>
    <w:rsid w:val="00077BB8"/>
    <w:rsid w:val="00077F2E"/>
    <w:rsid w:val="00080947"/>
    <w:rsid w:val="00081B91"/>
    <w:rsid w:val="00082D09"/>
    <w:rsid w:val="00082F25"/>
    <w:rsid w:val="000842B5"/>
    <w:rsid w:val="00084CB5"/>
    <w:rsid w:val="000852E9"/>
    <w:rsid w:val="0008570E"/>
    <w:rsid w:val="0008672E"/>
    <w:rsid w:val="00087373"/>
    <w:rsid w:val="00090A34"/>
    <w:rsid w:val="000919FB"/>
    <w:rsid w:val="00091D71"/>
    <w:rsid w:val="00092688"/>
    <w:rsid w:val="00093C1F"/>
    <w:rsid w:val="00093DA8"/>
    <w:rsid w:val="0009588C"/>
    <w:rsid w:val="00095C5E"/>
    <w:rsid w:val="00095EC4"/>
    <w:rsid w:val="0009657A"/>
    <w:rsid w:val="000971D0"/>
    <w:rsid w:val="00097401"/>
    <w:rsid w:val="00097686"/>
    <w:rsid w:val="00097B47"/>
    <w:rsid w:val="000A04BD"/>
    <w:rsid w:val="000A2C18"/>
    <w:rsid w:val="000A4055"/>
    <w:rsid w:val="000A486E"/>
    <w:rsid w:val="000A51F3"/>
    <w:rsid w:val="000A60D9"/>
    <w:rsid w:val="000A75B6"/>
    <w:rsid w:val="000B071C"/>
    <w:rsid w:val="000B0FF1"/>
    <w:rsid w:val="000B1032"/>
    <w:rsid w:val="000B1B0A"/>
    <w:rsid w:val="000B21CB"/>
    <w:rsid w:val="000B2496"/>
    <w:rsid w:val="000B24FE"/>
    <w:rsid w:val="000B2A3D"/>
    <w:rsid w:val="000B327F"/>
    <w:rsid w:val="000B7AC2"/>
    <w:rsid w:val="000B7FE7"/>
    <w:rsid w:val="000C00BF"/>
    <w:rsid w:val="000C024F"/>
    <w:rsid w:val="000C06A5"/>
    <w:rsid w:val="000C06B6"/>
    <w:rsid w:val="000C0AD6"/>
    <w:rsid w:val="000C1624"/>
    <w:rsid w:val="000C183F"/>
    <w:rsid w:val="000C3776"/>
    <w:rsid w:val="000C3E25"/>
    <w:rsid w:val="000C4252"/>
    <w:rsid w:val="000C6140"/>
    <w:rsid w:val="000C6593"/>
    <w:rsid w:val="000C6B6E"/>
    <w:rsid w:val="000C72A6"/>
    <w:rsid w:val="000C764B"/>
    <w:rsid w:val="000C7C56"/>
    <w:rsid w:val="000D016F"/>
    <w:rsid w:val="000D240A"/>
    <w:rsid w:val="000D40CC"/>
    <w:rsid w:val="000D41A5"/>
    <w:rsid w:val="000D46D7"/>
    <w:rsid w:val="000D5F55"/>
    <w:rsid w:val="000D5F99"/>
    <w:rsid w:val="000D61C6"/>
    <w:rsid w:val="000D773C"/>
    <w:rsid w:val="000D7ACD"/>
    <w:rsid w:val="000E123D"/>
    <w:rsid w:val="000E1508"/>
    <w:rsid w:val="000E19B9"/>
    <w:rsid w:val="000E1C1C"/>
    <w:rsid w:val="000E2AF6"/>
    <w:rsid w:val="000E2E9C"/>
    <w:rsid w:val="000E3294"/>
    <w:rsid w:val="000E32B1"/>
    <w:rsid w:val="000E3622"/>
    <w:rsid w:val="000E38CD"/>
    <w:rsid w:val="000E4726"/>
    <w:rsid w:val="000E5BD3"/>
    <w:rsid w:val="000E6F9F"/>
    <w:rsid w:val="000E75FE"/>
    <w:rsid w:val="000E76E9"/>
    <w:rsid w:val="000F1310"/>
    <w:rsid w:val="000F197D"/>
    <w:rsid w:val="000F2165"/>
    <w:rsid w:val="000F22BC"/>
    <w:rsid w:val="000F4217"/>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248"/>
    <w:rsid w:val="001077F2"/>
    <w:rsid w:val="00107C6D"/>
    <w:rsid w:val="00110E0C"/>
    <w:rsid w:val="00112225"/>
    <w:rsid w:val="00112E4F"/>
    <w:rsid w:val="0011455E"/>
    <w:rsid w:val="00114A00"/>
    <w:rsid w:val="00114EE7"/>
    <w:rsid w:val="001151FE"/>
    <w:rsid w:val="0011551C"/>
    <w:rsid w:val="001158D6"/>
    <w:rsid w:val="001162F0"/>
    <w:rsid w:val="00116BB5"/>
    <w:rsid w:val="001178DC"/>
    <w:rsid w:val="00120A8D"/>
    <w:rsid w:val="00121219"/>
    <w:rsid w:val="00121CA0"/>
    <w:rsid w:val="00122B03"/>
    <w:rsid w:val="001232A6"/>
    <w:rsid w:val="001236BA"/>
    <w:rsid w:val="00123C09"/>
    <w:rsid w:val="00124239"/>
    <w:rsid w:val="001249D9"/>
    <w:rsid w:val="00124DD1"/>
    <w:rsid w:val="001254ED"/>
    <w:rsid w:val="00126371"/>
    <w:rsid w:val="00127131"/>
    <w:rsid w:val="001309F2"/>
    <w:rsid w:val="00132E55"/>
    <w:rsid w:val="0013435B"/>
    <w:rsid w:val="00136AD0"/>
    <w:rsid w:val="0013713C"/>
    <w:rsid w:val="00137168"/>
    <w:rsid w:val="00137D64"/>
    <w:rsid w:val="00140A0D"/>
    <w:rsid w:val="001411DC"/>
    <w:rsid w:val="0014170B"/>
    <w:rsid w:val="001421B6"/>
    <w:rsid w:val="00143E05"/>
    <w:rsid w:val="0014692E"/>
    <w:rsid w:val="00146F1C"/>
    <w:rsid w:val="00147ECE"/>
    <w:rsid w:val="0015028B"/>
    <w:rsid w:val="00150568"/>
    <w:rsid w:val="001507E7"/>
    <w:rsid w:val="00151EDE"/>
    <w:rsid w:val="00152F84"/>
    <w:rsid w:val="00153C75"/>
    <w:rsid w:val="00153E80"/>
    <w:rsid w:val="00154428"/>
    <w:rsid w:val="00154C34"/>
    <w:rsid w:val="001554CF"/>
    <w:rsid w:val="00155BB8"/>
    <w:rsid w:val="001561E0"/>
    <w:rsid w:val="001564BC"/>
    <w:rsid w:val="001566CE"/>
    <w:rsid w:val="00156DE6"/>
    <w:rsid w:val="00157648"/>
    <w:rsid w:val="001606C0"/>
    <w:rsid w:val="00160781"/>
    <w:rsid w:val="00161AC7"/>
    <w:rsid w:val="00161C69"/>
    <w:rsid w:val="00161D61"/>
    <w:rsid w:val="001640CB"/>
    <w:rsid w:val="0016459B"/>
    <w:rsid w:val="00164CCA"/>
    <w:rsid w:val="0016598D"/>
    <w:rsid w:val="00165EB2"/>
    <w:rsid w:val="001664B1"/>
    <w:rsid w:val="00167D43"/>
    <w:rsid w:val="00170A04"/>
    <w:rsid w:val="00172079"/>
    <w:rsid w:val="001729EF"/>
    <w:rsid w:val="0017357A"/>
    <w:rsid w:val="00173829"/>
    <w:rsid w:val="00173C10"/>
    <w:rsid w:val="00175DE7"/>
    <w:rsid w:val="00175F1E"/>
    <w:rsid w:val="00175F39"/>
    <w:rsid w:val="00176363"/>
    <w:rsid w:val="00176719"/>
    <w:rsid w:val="00176901"/>
    <w:rsid w:val="00176B31"/>
    <w:rsid w:val="00176C61"/>
    <w:rsid w:val="00176FB1"/>
    <w:rsid w:val="0017762C"/>
    <w:rsid w:val="00180523"/>
    <w:rsid w:val="001807CB"/>
    <w:rsid w:val="00180895"/>
    <w:rsid w:val="001817FD"/>
    <w:rsid w:val="0018180E"/>
    <w:rsid w:val="00181D7A"/>
    <w:rsid w:val="00183435"/>
    <w:rsid w:val="00183908"/>
    <w:rsid w:val="001844EB"/>
    <w:rsid w:val="001848C3"/>
    <w:rsid w:val="001851C2"/>
    <w:rsid w:val="00186FD3"/>
    <w:rsid w:val="001870D3"/>
    <w:rsid w:val="00187D60"/>
    <w:rsid w:val="00190A83"/>
    <w:rsid w:val="00192503"/>
    <w:rsid w:val="0019373F"/>
    <w:rsid w:val="00195347"/>
    <w:rsid w:val="00195EAB"/>
    <w:rsid w:val="001974E4"/>
    <w:rsid w:val="00197634"/>
    <w:rsid w:val="00197AA9"/>
    <w:rsid w:val="001A00CD"/>
    <w:rsid w:val="001A081C"/>
    <w:rsid w:val="001A0FEC"/>
    <w:rsid w:val="001A143D"/>
    <w:rsid w:val="001A1C01"/>
    <w:rsid w:val="001A1E7A"/>
    <w:rsid w:val="001A27A5"/>
    <w:rsid w:val="001A31B7"/>
    <w:rsid w:val="001A3322"/>
    <w:rsid w:val="001A394F"/>
    <w:rsid w:val="001A3FE1"/>
    <w:rsid w:val="001A4203"/>
    <w:rsid w:val="001A4D38"/>
    <w:rsid w:val="001A4F8E"/>
    <w:rsid w:val="001B03E2"/>
    <w:rsid w:val="001B0750"/>
    <w:rsid w:val="001B2484"/>
    <w:rsid w:val="001B2508"/>
    <w:rsid w:val="001B26AC"/>
    <w:rsid w:val="001B4EC0"/>
    <w:rsid w:val="001B53C9"/>
    <w:rsid w:val="001B53ED"/>
    <w:rsid w:val="001B596A"/>
    <w:rsid w:val="001B6189"/>
    <w:rsid w:val="001B69A5"/>
    <w:rsid w:val="001B6E72"/>
    <w:rsid w:val="001B6F5A"/>
    <w:rsid w:val="001B708C"/>
    <w:rsid w:val="001C091F"/>
    <w:rsid w:val="001C0A89"/>
    <w:rsid w:val="001C0EFE"/>
    <w:rsid w:val="001C1D2C"/>
    <w:rsid w:val="001C1EB6"/>
    <w:rsid w:val="001C474A"/>
    <w:rsid w:val="001C4D3A"/>
    <w:rsid w:val="001C4EEE"/>
    <w:rsid w:val="001C5D7E"/>
    <w:rsid w:val="001C71E4"/>
    <w:rsid w:val="001C71F8"/>
    <w:rsid w:val="001C7DA0"/>
    <w:rsid w:val="001D07C0"/>
    <w:rsid w:val="001D0C7B"/>
    <w:rsid w:val="001D0D72"/>
    <w:rsid w:val="001D2826"/>
    <w:rsid w:val="001D2E90"/>
    <w:rsid w:val="001D3C19"/>
    <w:rsid w:val="001D4949"/>
    <w:rsid w:val="001D5B79"/>
    <w:rsid w:val="001D6917"/>
    <w:rsid w:val="001D6EA7"/>
    <w:rsid w:val="001D7B14"/>
    <w:rsid w:val="001E0435"/>
    <w:rsid w:val="001E10DA"/>
    <w:rsid w:val="001E2002"/>
    <w:rsid w:val="001E2490"/>
    <w:rsid w:val="001E274C"/>
    <w:rsid w:val="001E2E0D"/>
    <w:rsid w:val="001E3BA7"/>
    <w:rsid w:val="001E4A72"/>
    <w:rsid w:val="001E4FE1"/>
    <w:rsid w:val="001E61B6"/>
    <w:rsid w:val="001E633D"/>
    <w:rsid w:val="001E6568"/>
    <w:rsid w:val="001E7C41"/>
    <w:rsid w:val="001F0C60"/>
    <w:rsid w:val="001F4014"/>
    <w:rsid w:val="001F4708"/>
    <w:rsid w:val="001F47DB"/>
    <w:rsid w:val="001F4A09"/>
    <w:rsid w:val="001F59CD"/>
    <w:rsid w:val="001F6434"/>
    <w:rsid w:val="001F7DFC"/>
    <w:rsid w:val="002004B0"/>
    <w:rsid w:val="00200ACF"/>
    <w:rsid w:val="002015A7"/>
    <w:rsid w:val="00201E89"/>
    <w:rsid w:val="002023D8"/>
    <w:rsid w:val="00203ABF"/>
    <w:rsid w:val="00203BFA"/>
    <w:rsid w:val="0020401B"/>
    <w:rsid w:val="002040AB"/>
    <w:rsid w:val="002045C6"/>
    <w:rsid w:val="00204F64"/>
    <w:rsid w:val="00205C2A"/>
    <w:rsid w:val="00205D6F"/>
    <w:rsid w:val="002060C2"/>
    <w:rsid w:val="0020704F"/>
    <w:rsid w:val="00211ADF"/>
    <w:rsid w:val="00211B17"/>
    <w:rsid w:val="00211B35"/>
    <w:rsid w:val="00211B8D"/>
    <w:rsid w:val="00212526"/>
    <w:rsid w:val="002128D0"/>
    <w:rsid w:val="0021362B"/>
    <w:rsid w:val="00214406"/>
    <w:rsid w:val="00220999"/>
    <w:rsid w:val="0022115B"/>
    <w:rsid w:val="00221163"/>
    <w:rsid w:val="0022120B"/>
    <w:rsid w:val="0022128C"/>
    <w:rsid w:val="00221350"/>
    <w:rsid w:val="00222427"/>
    <w:rsid w:val="0022283B"/>
    <w:rsid w:val="00222886"/>
    <w:rsid w:val="00222AE2"/>
    <w:rsid w:val="00222C04"/>
    <w:rsid w:val="0022324E"/>
    <w:rsid w:val="00223658"/>
    <w:rsid w:val="00223A38"/>
    <w:rsid w:val="00223C40"/>
    <w:rsid w:val="002254C4"/>
    <w:rsid w:val="00225C3A"/>
    <w:rsid w:val="00226148"/>
    <w:rsid w:val="002265E1"/>
    <w:rsid w:val="00227148"/>
    <w:rsid w:val="0023018A"/>
    <w:rsid w:val="002311AE"/>
    <w:rsid w:val="00231C23"/>
    <w:rsid w:val="00232301"/>
    <w:rsid w:val="00232FF9"/>
    <w:rsid w:val="00233450"/>
    <w:rsid w:val="00233466"/>
    <w:rsid w:val="00234312"/>
    <w:rsid w:val="00234335"/>
    <w:rsid w:val="002346D0"/>
    <w:rsid w:val="00235015"/>
    <w:rsid w:val="002355D2"/>
    <w:rsid w:val="00236984"/>
    <w:rsid w:val="00237884"/>
    <w:rsid w:val="00237938"/>
    <w:rsid w:val="002379BB"/>
    <w:rsid w:val="00237B61"/>
    <w:rsid w:val="00237BB9"/>
    <w:rsid w:val="0024146B"/>
    <w:rsid w:val="002421FF"/>
    <w:rsid w:val="0024336B"/>
    <w:rsid w:val="00244AFA"/>
    <w:rsid w:val="00244BC4"/>
    <w:rsid w:val="00244D10"/>
    <w:rsid w:val="00245478"/>
    <w:rsid w:val="00245483"/>
    <w:rsid w:val="002455CB"/>
    <w:rsid w:val="0024623A"/>
    <w:rsid w:val="00247941"/>
    <w:rsid w:val="00247A41"/>
    <w:rsid w:val="00250AE3"/>
    <w:rsid w:val="0025435C"/>
    <w:rsid w:val="00254371"/>
    <w:rsid w:val="0025585A"/>
    <w:rsid w:val="00256233"/>
    <w:rsid w:val="0025652C"/>
    <w:rsid w:val="0025737C"/>
    <w:rsid w:val="002573AC"/>
    <w:rsid w:val="00260548"/>
    <w:rsid w:val="00260640"/>
    <w:rsid w:val="0026123F"/>
    <w:rsid w:val="00261596"/>
    <w:rsid w:val="00262AD9"/>
    <w:rsid w:val="00264C31"/>
    <w:rsid w:val="00265280"/>
    <w:rsid w:val="00265A33"/>
    <w:rsid w:val="0026609F"/>
    <w:rsid w:val="002661BC"/>
    <w:rsid w:val="00266BD4"/>
    <w:rsid w:val="00267AD8"/>
    <w:rsid w:val="00267BD6"/>
    <w:rsid w:val="00267E4F"/>
    <w:rsid w:val="00270A4A"/>
    <w:rsid w:val="0027264B"/>
    <w:rsid w:val="002729BF"/>
    <w:rsid w:val="00272BAD"/>
    <w:rsid w:val="00273299"/>
    <w:rsid w:val="002763E1"/>
    <w:rsid w:val="00276EDD"/>
    <w:rsid w:val="002777BB"/>
    <w:rsid w:val="00277B28"/>
    <w:rsid w:val="002809D4"/>
    <w:rsid w:val="00280C8B"/>
    <w:rsid w:val="00281295"/>
    <w:rsid w:val="002826A2"/>
    <w:rsid w:val="00282832"/>
    <w:rsid w:val="0028366E"/>
    <w:rsid w:val="00283D20"/>
    <w:rsid w:val="00285167"/>
    <w:rsid w:val="002852CE"/>
    <w:rsid w:val="00285551"/>
    <w:rsid w:val="00286739"/>
    <w:rsid w:val="00286F3F"/>
    <w:rsid w:val="002875B2"/>
    <w:rsid w:val="002901C9"/>
    <w:rsid w:val="0029143C"/>
    <w:rsid w:val="0029175E"/>
    <w:rsid w:val="00291A36"/>
    <w:rsid w:val="00292E73"/>
    <w:rsid w:val="0029326A"/>
    <w:rsid w:val="002932B4"/>
    <w:rsid w:val="00293A81"/>
    <w:rsid w:val="00294236"/>
    <w:rsid w:val="0029553B"/>
    <w:rsid w:val="00295591"/>
    <w:rsid w:val="00296116"/>
    <w:rsid w:val="00296A25"/>
    <w:rsid w:val="00296BDF"/>
    <w:rsid w:val="00296CF3"/>
    <w:rsid w:val="00296EE4"/>
    <w:rsid w:val="00297054"/>
    <w:rsid w:val="00297DCC"/>
    <w:rsid w:val="002A0BA0"/>
    <w:rsid w:val="002A189E"/>
    <w:rsid w:val="002A1D7C"/>
    <w:rsid w:val="002A4363"/>
    <w:rsid w:val="002A4866"/>
    <w:rsid w:val="002A4A5A"/>
    <w:rsid w:val="002A66CB"/>
    <w:rsid w:val="002A680D"/>
    <w:rsid w:val="002A6FBB"/>
    <w:rsid w:val="002A730B"/>
    <w:rsid w:val="002B2921"/>
    <w:rsid w:val="002B3016"/>
    <w:rsid w:val="002B370E"/>
    <w:rsid w:val="002B4D8B"/>
    <w:rsid w:val="002B4EDE"/>
    <w:rsid w:val="002B6407"/>
    <w:rsid w:val="002B68A5"/>
    <w:rsid w:val="002B6CC1"/>
    <w:rsid w:val="002B7141"/>
    <w:rsid w:val="002B78DD"/>
    <w:rsid w:val="002B7CE9"/>
    <w:rsid w:val="002B7E10"/>
    <w:rsid w:val="002B7F59"/>
    <w:rsid w:val="002C1016"/>
    <w:rsid w:val="002C3344"/>
    <w:rsid w:val="002C3EFA"/>
    <w:rsid w:val="002C4B11"/>
    <w:rsid w:val="002C52B2"/>
    <w:rsid w:val="002C5506"/>
    <w:rsid w:val="002C6EDC"/>
    <w:rsid w:val="002C706C"/>
    <w:rsid w:val="002C788C"/>
    <w:rsid w:val="002D0607"/>
    <w:rsid w:val="002D0B7B"/>
    <w:rsid w:val="002D0EEF"/>
    <w:rsid w:val="002D165F"/>
    <w:rsid w:val="002D258F"/>
    <w:rsid w:val="002D39F5"/>
    <w:rsid w:val="002D40A7"/>
    <w:rsid w:val="002D4709"/>
    <w:rsid w:val="002D4ACD"/>
    <w:rsid w:val="002D4DD8"/>
    <w:rsid w:val="002D566A"/>
    <w:rsid w:val="002D5AA0"/>
    <w:rsid w:val="002D5C26"/>
    <w:rsid w:val="002D62FC"/>
    <w:rsid w:val="002D65F6"/>
    <w:rsid w:val="002D6A16"/>
    <w:rsid w:val="002D6EAC"/>
    <w:rsid w:val="002D7875"/>
    <w:rsid w:val="002D7ADE"/>
    <w:rsid w:val="002D7F4A"/>
    <w:rsid w:val="002E0652"/>
    <w:rsid w:val="002E0A05"/>
    <w:rsid w:val="002E193B"/>
    <w:rsid w:val="002E1A6E"/>
    <w:rsid w:val="002E2508"/>
    <w:rsid w:val="002E37EA"/>
    <w:rsid w:val="002E38E4"/>
    <w:rsid w:val="002E4196"/>
    <w:rsid w:val="002E4455"/>
    <w:rsid w:val="002E4ED0"/>
    <w:rsid w:val="002E536D"/>
    <w:rsid w:val="002E56D6"/>
    <w:rsid w:val="002E57E3"/>
    <w:rsid w:val="002E5D69"/>
    <w:rsid w:val="002E6291"/>
    <w:rsid w:val="002E674B"/>
    <w:rsid w:val="002E76D9"/>
    <w:rsid w:val="002F0168"/>
    <w:rsid w:val="002F0314"/>
    <w:rsid w:val="002F0D07"/>
    <w:rsid w:val="002F1787"/>
    <w:rsid w:val="002F3F27"/>
    <w:rsid w:val="002F4094"/>
    <w:rsid w:val="002F4D63"/>
    <w:rsid w:val="002F51A9"/>
    <w:rsid w:val="002F51B2"/>
    <w:rsid w:val="002F5254"/>
    <w:rsid w:val="002F53C2"/>
    <w:rsid w:val="002F5787"/>
    <w:rsid w:val="002F63AD"/>
    <w:rsid w:val="00301E5E"/>
    <w:rsid w:val="0030239C"/>
    <w:rsid w:val="00302E84"/>
    <w:rsid w:val="00303860"/>
    <w:rsid w:val="00306EBD"/>
    <w:rsid w:val="00311940"/>
    <w:rsid w:val="00311AAE"/>
    <w:rsid w:val="00311D7F"/>
    <w:rsid w:val="00312C98"/>
    <w:rsid w:val="003137E2"/>
    <w:rsid w:val="003139E4"/>
    <w:rsid w:val="00314734"/>
    <w:rsid w:val="00314D93"/>
    <w:rsid w:val="0031666A"/>
    <w:rsid w:val="00316CEF"/>
    <w:rsid w:val="00316F9A"/>
    <w:rsid w:val="003172E5"/>
    <w:rsid w:val="0031769D"/>
    <w:rsid w:val="003201A8"/>
    <w:rsid w:val="00320C1F"/>
    <w:rsid w:val="003212BB"/>
    <w:rsid w:val="00322322"/>
    <w:rsid w:val="00322D1B"/>
    <w:rsid w:val="00322F1C"/>
    <w:rsid w:val="00323DAF"/>
    <w:rsid w:val="003247AD"/>
    <w:rsid w:val="003248FB"/>
    <w:rsid w:val="0032566F"/>
    <w:rsid w:val="00325E7B"/>
    <w:rsid w:val="0032612D"/>
    <w:rsid w:val="0032711C"/>
    <w:rsid w:val="003271BD"/>
    <w:rsid w:val="0032734C"/>
    <w:rsid w:val="003273E1"/>
    <w:rsid w:val="00327BB2"/>
    <w:rsid w:val="00330299"/>
    <w:rsid w:val="0033060C"/>
    <w:rsid w:val="0033119E"/>
    <w:rsid w:val="0033189A"/>
    <w:rsid w:val="003319BB"/>
    <w:rsid w:val="00331E06"/>
    <w:rsid w:val="00332780"/>
    <w:rsid w:val="00333E48"/>
    <w:rsid w:val="00334342"/>
    <w:rsid w:val="00334997"/>
    <w:rsid w:val="00336E5C"/>
    <w:rsid w:val="003377C8"/>
    <w:rsid w:val="0033794D"/>
    <w:rsid w:val="00337C61"/>
    <w:rsid w:val="00340416"/>
    <w:rsid w:val="00341C39"/>
    <w:rsid w:val="003433A5"/>
    <w:rsid w:val="0034440F"/>
    <w:rsid w:val="0034471E"/>
    <w:rsid w:val="00345514"/>
    <w:rsid w:val="00345A0D"/>
    <w:rsid w:val="00346742"/>
    <w:rsid w:val="003477DE"/>
    <w:rsid w:val="00350B15"/>
    <w:rsid w:val="00350C89"/>
    <w:rsid w:val="0035150E"/>
    <w:rsid w:val="00351F48"/>
    <w:rsid w:val="0035206C"/>
    <w:rsid w:val="00352725"/>
    <w:rsid w:val="00353868"/>
    <w:rsid w:val="00353E3A"/>
    <w:rsid w:val="00354267"/>
    <w:rsid w:val="00354676"/>
    <w:rsid w:val="00356178"/>
    <w:rsid w:val="003565E6"/>
    <w:rsid w:val="00356ABC"/>
    <w:rsid w:val="00356D2F"/>
    <w:rsid w:val="00356DFC"/>
    <w:rsid w:val="003573AE"/>
    <w:rsid w:val="00357AA6"/>
    <w:rsid w:val="00357CC0"/>
    <w:rsid w:val="00357DDA"/>
    <w:rsid w:val="003620C8"/>
    <w:rsid w:val="00362B50"/>
    <w:rsid w:val="00362E0D"/>
    <w:rsid w:val="0036395E"/>
    <w:rsid w:val="003639B6"/>
    <w:rsid w:val="00364F72"/>
    <w:rsid w:val="003660DB"/>
    <w:rsid w:val="003664DD"/>
    <w:rsid w:val="00367035"/>
    <w:rsid w:val="00370173"/>
    <w:rsid w:val="00370473"/>
    <w:rsid w:val="00370504"/>
    <w:rsid w:val="00370AB0"/>
    <w:rsid w:val="00371364"/>
    <w:rsid w:val="003728DC"/>
    <w:rsid w:val="0037369C"/>
    <w:rsid w:val="003737C8"/>
    <w:rsid w:val="003743F9"/>
    <w:rsid w:val="003749B5"/>
    <w:rsid w:val="00374E8E"/>
    <w:rsid w:val="00376E92"/>
    <w:rsid w:val="003776B9"/>
    <w:rsid w:val="00380723"/>
    <w:rsid w:val="00380C43"/>
    <w:rsid w:val="00381EDB"/>
    <w:rsid w:val="00382428"/>
    <w:rsid w:val="00382704"/>
    <w:rsid w:val="00382AEC"/>
    <w:rsid w:val="0038373D"/>
    <w:rsid w:val="003843F1"/>
    <w:rsid w:val="003858CD"/>
    <w:rsid w:val="003859ED"/>
    <w:rsid w:val="00386331"/>
    <w:rsid w:val="0038698E"/>
    <w:rsid w:val="00386D0F"/>
    <w:rsid w:val="00387AB3"/>
    <w:rsid w:val="00387B18"/>
    <w:rsid w:val="003905D5"/>
    <w:rsid w:val="0039065F"/>
    <w:rsid w:val="003917EF"/>
    <w:rsid w:val="00391C3F"/>
    <w:rsid w:val="003927A2"/>
    <w:rsid w:val="00392B2D"/>
    <w:rsid w:val="00392F05"/>
    <w:rsid w:val="00393662"/>
    <w:rsid w:val="003942A2"/>
    <w:rsid w:val="00394391"/>
    <w:rsid w:val="0039471F"/>
    <w:rsid w:val="00394918"/>
    <w:rsid w:val="003951C2"/>
    <w:rsid w:val="003953A0"/>
    <w:rsid w:val="003956DF"/>
    <w:rsid w:val="003960D1"/>
    <w:rsid w:val="003963C3"/>
    <w:rsid w:val="003970CB"/>
    <w:rsid w:val="003978FE"/>
    <w:rsid w:val="00397FA1"/>
    <w:rsid w:val="003A2107"/>
    <w:rsid w:val="003A23FE"/>
    <w:rsid w:val="003A2A1E"/>
    <w:rsid w:val="003A3934"/>
    <w:rsid w:val="003A3D28"/>
    <w:rsid w:val="003A5DF7"/>
    <w:rsid w:val="003A69F2"/>
    <w:rsid w:val="003A6C87"/>
    <w:rsid w:val="003A6E35"/>
    <w:rsid w:val="003A7309"/>
    <w:rsid w:val="003B254C"/>
    <w:rsid w:val="003B33EE"/>
    <w:rsid w:val="003C1E47"/>
    <w:rsid w:val="003C3876"/>
    <w:rsid w:val="003C3B20"/>
    <w:rsid w:val="003C4D5C"/>
    <w:rsid w:val="003C6252"/>
    <w:rsid w:val="003C6BDD"/>
    <w:rsid w:val="003C6FFD"/>
    <w:rsid w:val="003C756F"/>
    <w:rsid w:val="003C761E"/>
    <w:rsid w:val="003C7805"/>
    <w:rsid w:val="003D03C9"/>
    <w:rsid w:val="003D09EB"/>
    <w:rsid w:val="003D0C0F"/>
    <w:rsid w:val="003D10CF"/>
    <w:rsid w:val="003D13BD"/>
    <w:rsid w:val="003D1718"/>
    <w:rsid w:val="003D1E09"/>
    <w:rsid w:val="003D21C4"/>
    <w:rsid w:val="003D3092"/>
    <w:rsid w:val="003D30A4"/>
    <w:rsid w:val="003D3168"/>
    <w:rsid w:val="003D43B3"/>
    <w:rsid w:val="003D4A4D"/>
    <w:rsid w:val="003D5A25"/>
    <w:rsid w:val="003D5B2F"/>
    <w:rsid w:val="003D5E2E"/>
    <w:rsid w:val="003D6D02"/>
    <w:rsid w:val="003E08CA"/>
    <w:rsid w:val="003E09E5"/>
    <w:rsid w:val="003E106D"/>
    <w:rsid w:val="003E15A2"/>
    <w:rsid w:val="003E2253"/>
    <w:rsid w:val="003E2380"/>
    <w:rsid w:val="003E2690"/>
    <w:rsid w:val="003E3BD6"/>
    <w:rsid w:val="003E3F36"/>
    <w:rsid w:val="003E46E0"/>
    <w:rsid w:val="003E52C8"/>
    <w:rsid w:val="003E532D"/>
    <w:rsid w:val="003E5ECD"/>
    <w:rsid w:val="003E60DA"/>
    <w:rsid w:val="003E61D2"/>
    <w:rsid w:val="003E6B06"/>
    <w:rsid w:val="003E6C9D"/>
    <w:rsid w:val="003E78D2"/>
    <w:rsid w:val="003E79BB"/>
    <w:rsid w:val="003F023E"/>
    <w:rsid w:val="003F04E9"/>
    <w:rsid w:val="003F36F8"/>
    <w:rsid w:val="003F3F53"/>
    <w:rsid w:val="003F4E36"/>
    <w:rsid w:val="003F5036"/>
    <w:rsid w:val="003F6037"/>
    <w:rsid w:val="003F606E"/>
    <w:rsid w:val="003F667F"/>
    <w:rsid w:val="003F7619"/>
    <w:rsid w:val="00400B42"/>
    <w:rsid w:val="00401DFB"/>
    <w:rsid w:val="00401FF6"/>
    <w:rsid w:val="00402208"/>
    <w:rsid w:val="00402488"/>
    <w:rsid w:val="00402677"/>
    <w:rsid w:val="0040344B"/>
    <w:rsid w:val="0040358C"/>
    <w:rsid w:val="004041DC"/>
    <w:rsid w:val="004044E0"/>
    <w:rsid w:val="0040468C"/>
    <w:rsid w:val="0040484C"/>
    <w:rsid w:val="0040498B"/>
    <w:rsid w:val="00404FFA"/>
    <w:rsid w:val="004053F0"/>
    <w:rsid w:val="00405D0C"/>
    <w:rsid w:val="00406983"/>
    <w:rsid w:val="00406F5C"/>
    <w:rsid w:val="004071A1"/>
    <w:rsid w:val="00407D7F"/>
    <w:rsid w:val="00410097"/>
    <w:rsid w:val="004113FC"/>
    <w:rsid w:val="0041161F"/>
    <w:rsid w:val="00411C6B"/>
    <w:rsid w:val="00411F34"/>
    <w:rsid w:val="004122CF"/>
    <w:rsid w:val="004126F6"/>
    <w:rsid w:val="004127BD"/>
    <w:rsid w:val="00412E02"/>
    <w:rsid w:val="0041369D"/>
    <w:rsid w:val="00413F03"/>
    <w:rsid w:val="00415248"/>
    <w:rsid w:val="004154CD"/>
    <w:rsid w:val="00416E1A"/>
    <w:rsid w:val="0041708A"/>
    <w:rsid w:val="00417585"/>
    <w:rsid w:val="0041758A"/>
    <w:rsid w:val="00417F28"/>
    <w:rsid w:val="00420A95"/>
    <w:rsid w:val="00420D0B"/>
    <w:rsid w:val="00421353"/>
    <w:rsid w:val="00421824"/>
    <w:rsid w:val="00422EEF"/>
    <w:rsid w:val="00423382"/>
    <w:rsid w:val="00423CB3"/>
    <w:rsid w:val="00424CF8"/>
    <w:rsid w:val="00424E58"/>
    <w:rsid w:val="00424EAC"/>
    <w:rsid w:val="004255A3"/>
    <w:rsid w:val="00425F69"/>
    <w:rsid w:val="00426333"/>
    <w:rsid w:val="00426C34"/>
    <w:rsid w:val="00426D31"/>
    <w:rsid w:val="00427473"/>
    <w:rsid w:val="00427E3A"/>
    <w:rsid w:val="004305E4"/>
    <w:rsid w:val="00430E9C"/>
    <w:rsid w:val="00430F5F"/>
    <w:rsid w:val="004325F0"/>
    <w:rsid w:val="00433627"/>
    <w:rsid w:val="0043468C"/>
    <w:rsid w:val="00434BCE"/>
    <w:rsid w:val="00434C00"/>
    <w:rsid w:val="0043579C"/>
    <w:rsid w:val="0043616F"/>
    <w:rsid w:val="00437006"/>
    <w:rsid w:val="00437688"/>
    <w:rsid w:val="004407CC"/>
    <w:rsid w:val="00440800"/>
    <w:rsid w:val="0044216B"/>
    <w:rsid w:val="00442791"/>
    <w:rsid w:val="00442961"/>
    <w:rsid w:val="00443A49"/>
    <w:rsid w:val="00443D35"/>
    <w:rsid w:val="0044463D"/>
    <w:rsid w:val="004458CA"/>
    <w:rsid w:val="00445C75"/>
    <w:rsid w:val="00446B63"/>
    <w:rsid w:val="00446C56"/>
    <w:rsid w:val="00447851"/>
    <w:rsid w:val="0045027F"/>
    <w:rsid w:val="00450281"/>
    <w:rsid w:val="00450369"/>
    <w:rsid w:val="0045095B"/>
    <w:rsid w:val="004510C2"/>
    <w:rsid w:val="00451182"/>
    <w:rsid w:val="004519A2"/>
    <w:rsid w:val="00452786"/>
    <w:rsid w:val="00452E79"/>
    <w:rsid w:val="004534D5"/>
    <w:rsid w:val="004536B8"/>
    <w:rsid w:val="004542B5"/>
    <w:rsid w:val="00454FD2"/>
    <w:rsid w:val="00455ABC"/>
    <w:rsid w:val="00456E52"/>
    <w:rsid w:val="004571CC"/>
    <w:rsid w:val="00457B2F"/>
    <w:rsid w:val="004604AD"/>
    <w:rsid w:val="0046055E"/>
    <w:rsid w:val="00460729"/>
    <w:rsid w:val="0046081F"/>
    <w:rsid w:val="00460A7B"/>
    <w:rsid w:val="00460A87"/>
    <w:rsid w:val="00463413"/>
    <w:rsid w:val="00463EA4"/>
    <w:rsid w:val="00465AA9"/>
    <w:rsid w:val="00465F1A"/>
    <w:rsid w:val="00465F47"/>
    <w:rsid w:val="00466510"/>
    <w:rsid w:val="00466C25"/>
    <w:rsid w:val="004675C2"/>
    <w:rsid w:val="0047012A"/>
    <w:rsid w:val="004702E1"/>
    <w:rsid w:val="00470768"/>
    <w:rsid w:val="0047210D"/>
    <w:rsid w:val="00472B0D"/>
    <w:rsid w:val="00472D68"/>
    <w:rsid w:val="00472F70"/>
    <w:rsid w:val="004741A1"/>
    <w:rsid w:val="00474248"/>
    <w:rsid w:val="004749BD"/>
    <w:rsid w:val="0047511D"/>
    <w:rsid w:val="00475EF7"/>
    <w:rsid w:val="00481C05"/>
    <w:rsid w:val="0048369D"/>
    <w:rsid w:val="004838AE"/>
    <w:rsid w:val="00483C60"/>
    <w:rsid w:val="004841AA"/>
    <w:rsid w:val="004842FB"/>
    <w:rsid w:val="00484E4B"/>
    <w:rsid w:val="00485214"/>
    <w:rsid w:val="0048575B"/>
    <w:rsid w:val="00485E39"/>
    <w:rsid w:val="00486603"/>
    <w:rsid w:val="00486609"/>
    <w:rsid w:val="004876A2"/>
    <w:rsid w:val="0049025B"/>
    <w:rsid w:val="0049165E"/>
    <w:rsid w:val="00491A46"/>
    <w:rsid w:val="00491CB1"/>
    <w:rsid w:val="00491F8A"/>
    <w:rsid w:val="00492AF1"/>
    <w:rsid w:val="00493B68"/>
    <w:rsid w:val="00495849"/>
    <w:rsid w:val="004958F7"/>
    <w:rsid w:val="0049624A"/>
    <w:rsid w:val="0049630B"/>
    <w:rsid w:val="00496D23"/>
    <w:rsid w:val="004977D3"/>
    <w:rsid w:val="004A07CE"/>
    <w:rsid w:val="004A1A6F"/>
    <w:rsid w:val="004A1DEF"/>
    <w:rsid w:val="004A50C0"/>
    <w:rsid w:val="004A51E9"/>
    <w:rsid w:val="004A69FB"/>
    <w:rsid w:val="004A6BFC"/>
    <w:rsid w:val="004A75FE"/>
    <w:rsid w:val="004B0A96"/>
    <w:rsid w:val="004B0D14"/>
    <w:rsid w:val="004B0D72"/>
    <w:rsid w:val="004B244E"/>
    <w:rsid w:val="004B291C"/>
    <w:rsid w:val="004B2E36"/>
    <w:rsid w:val="004B3788"/>
    <w:rsid w:val="004B4447"/>
    <w:rsid w:val="004B50D9"/>
    <w:rsid w:val="004B5545"/>
    <w:rsid w:val="004B573E"/>
    <w:rsid w:val="004B6306"/>
    <w:rsid w:val="004B65C7"/>
    <w:rsid w:val="004B6AB4"/>
    <w:rsid w:val="004B70E0"/>
    <w:rsid w:val="004B70F3"/>
    <w:rsid w:val="004B7BC2"/>
    <w:rsid w:val="004C1416"/>
    <w:rsid w:val="004C1C2D"/>
    <w:rsid w:val="004C26CB"/>
    <w:rsid w:val="004C318C"/>
    <w:rsid w:val="004C39F2"/>
    <w:rsid w:val="004C443D"/>
    <w:rsid w:val="004C44FA"/>
    <w:rsid w:val="004C5057"/>
    <w:rsid w:val="004C601A"/>
    <w:rsid w:val="004C6510"/>
    <w:rsid w:val="004C65C2"/>
    <w:rsid w:val="004C67FD"/>
    <w:rsid w:val="004C6AEC"/>
    <w:rsid w:val="004C7D08"/>
    <w:rsid w:val="004D0239"/>
    <w:rsid w:val="004D0B22"/>
    <w:rsid w:val="004D0CD7"/>
    <w:rsid w:val="004D18E3"/>
    <w:rsid w:val="004D1B60"/>
    <w:rsid w:val="004D21F5"/>
    <w:rsid w:val="004D357E"/>
    <w:rsid w:val="004D3D9C"/>
    <w:rsid w:val="004D3F6B"/>
    <w:rsid w:val="004D4EF0"/>
    <w:rsid w:val="004D51A5"/>
    <w:rsid w:val="004D5415"/>
    <w:rsid w:val="004D67AB"/>
    <w:rsid w:val="004D6C9C"/>
    <w:rsid w:val="004D7250"/>
    <w:rsid w:val="004D7B57"/>
    <w:rsid w:val="004E1EE1"/>
    <w:rsid w:val="004E2364"/>
    <w:rsid w:val="004E3290"/>
    <w:rsid w:val="004E3875"/>
    <w:rsid w:val="004E5BA4"/>
    <w:rsid w:val="004E6483"/>
    <w:rsid w:val="004E6654"/>
    <w:rsid w:val="004E6C6B"/>
    <w:rsid w:val="004E6D39"/>
    <w:rsid w:val="004E7813"/>
    <w:rsid w:val="004E78DB"/>
    <w:rsid w:val="004F0D4A"/>
    <w:rsid w:val="004F0F92"/>
    <w:rsid w:val="004F3DC5"/>
    <w:rsid w:val="004F544E"/>
    <w:rsid w:val="004F6678"/>
    <w:rsid w:val="004F6D83"/>
    <w:rsid w:val="004F6FD1"/>
    <w:rsid w:val="004F7814"/>
    <w:rsid w:val="00500898"/>
    <w:rsid w:val="005037E4"/>
    <w:rsid w:val="00503878"/>
    <w:rsid w:val="005047FC"/>
    <w:rsid w:val="00504963"/>
    <w:rsid w:val="00506B9A"/>
    <w:rsid w:val="00507090"/>
    <w:rsid w:val="0050751C"/>
    <w:rsid w:val="0050790D"/>
    <w:rsid w:val="005106C5"/>
    <w:rsid w:val="00510E2A"/>
    <w:rsid w:val="00511112"/>
    <w:rsid w:val="00511837"/>
    <w:rsid w:val="00511FEE"/>
    <w:rsid w:val="0051337A"/>
    <w:rsid w:val="0051431A"/>
    <w:rsid w:val="00514B99"/>
    <w:rsid w:val="00515AB0"/>
    <w:rsid w:val="00516D39"/>
    <w:rsid w:val="00516FC2"/>
    <w:rsid w:val="00517318"/>
    <w:rsid w:val="0051738E"/>
    <w:rsid w:val="00517845"/>
    <w:rsid w:val="00517ECD"/>
    <w:rsid w:val="00520145"/>
    <w:rsid w:val="00520486"/>
    <w:rsid w:val="00520968"/>
    <w:rsid w:val="005216E1"/>
    <w:rsid w:val="00522016"/>
    <w:rsid w:val="00522EDC"/>
    <w:rsid w:val="00523A01"/>
    <w:rsid w:val="00523F64"/>
    <w:rsid w:val="005240D9"/>
    <w:rsid w:val="005242FC"/>
    <w:rsid w:val="00524552"/>
    <w:rsid w:val="0052492E"/>
    <w:rsid w:val="00524EC8"/>
    <w:rsid w:val="005257C1"/>
    <w:rsid w:val="005257D2"/>
    <w:rsid w:val="00526081"/>
    <w:rsid w:val="00526FF1"/>
    <w:rsid w:val="00527731"/>
    <w:rsid w:val="0052786F"/>
    <w:rsid w:val="005279B5"/>
    <w:rsid w:val="00530122"/>
    <w:rsid w:val="0053033E"/>
    <w:rsid w:val="00530706"/>
    <w:rsid w:val="00530E9C"/>
    <w:rsid w:val="00530F08"/>
    <w:rsid w:val="00532DA0"/>
    <w:rsid w:val="00533345"/>
    <w:rsid w:val="005339E7"/>
    <w:rsid w:val="00534396"/>
    <w:rsid w:val="005347F9"/>
    <w:rsid w:val="00534DC6"/>
    <w:rsid w:val="00535B95"/>
    <w:rsid w:val="00535C4C"/>
    <w:rsid w:val="00536D2E"/>
    <w:rsid w:val="00537CD5"/>
    <w:rsid w:val="00537FAD"/>
    <w:rsid w:val="00540218"/>
    <w:rsid w:val="005408CF"/>
    <w:rsid w:val="0054105C"/>
    <w:rsid w:val="00541090"/>
    <w:rsid w:val="0054146F"/>
    <w:rsid w:val="00541B50"/>
    <w:rsid w:val="005424F8"/>
    <w:rsid w:val="00542871"/>
    <w:rsid w:val="00543106"/>
    <w:rsid w:val="00543361"/>
    <w:rsid w:val="00543B44"/>
    <w:rsid w:val="00543FAD"/>
    <w:rsid w:val="00543FC0"/>
    <w:rsid w:val="00544E5D"/>
    <w:rsid w:val="005450E3"/>
    <w:rsid w:val="00545C2F"/>
    <w:rsid w:val="00546330"/>
    <w:rsid w:val="00546686"/>
    <w:rsid w:val="00546FE0"/>
    <w:rsid w:val="00550818"/>
    <w:rsid w:val="00550DC6"/>
    <w:rsid w:val="005510AB"/>
    <w:rsid w:val="005517FC"/>
    <w:rsid w:val="00552465"/>
    <w:rsid w:val="0055340F"/>
    <w:rsid w:val="00554F55"/>
    <w:rsid w:val="0055648F"/>
    <w:rsid w:val="00556E3A"/>
    <w:rsid w:val="0055701E"/>
    <w:rsid w:val="005579B4"/>
    <w:rsid w:val="00557BF1"/>
    <w:rsid w:val="0056067D"/>
    <w:rsid w:val="00560EBA"/>
    <w:rsid w:val="00561FCF"/>
    <w:rsid w:val="00562215"/>
    <w:rsid w:val="00562D5A"/>
    <w:rsid w:val="005649CD"/>
    <w:rsid w:val="00564F01"/>
    <w:rsid w:val="005659B6"/>
    <w:rsid w:val="00565DD9"/>
    <w:rsid w:val="00566978"/>
    <w:rsid w:val="005670E8"/>
    <w:rsid w:val="00567380"/>
    <w:rsid w:val="005677E7"/>
    <w:rsid w:val="005700D5"/>
    <w:rsid w:val="005703A7"/>
    <w:rsid w:val="005709E8"/>
    <w:rsid w:val="0057177A"/>
    <w:rsid w:val="00571F4D"/>
    <w:rsid w:val="00572B45"/>
    <w:rsid w:val="00573FF2"/>
    <w:rsid w:val="0057624E"/>
    <w:rsid w:val="00576A20"/>
    <w:rsid w:val="00577465"/>
    <w:rsid w:val="00577A43"/>
    <w:rsid w:val="00577E0D"/>
    <w:rsid w:val="00577FAF"/>
    <w:rsid w:val="00582052"/>
    <w:rsid w:val="00582956"/>
    <w:rsid w:val="00584247"/>
    <w:rsid w:val="005847BF"/>
    <w:rsid w:val="005853E5"/>
    <w:rsid w:val="00585E31"/>
    <w:rsid w:val="00586365"/>
    <w:rsid w:val="005863B9"/>
    <w:rsid w:val="005865C6"/>
    <w:rsid w:val="005904E1"/>
    <w:rsid w:val="0059080E"/>
    <w:rsid w:val="005909B4"/>
    <w:rsid w:val="005911D3"/>
    <w:rsid w:val="0059137A"/>
    <w:rsid w:val="005913EB"/>
    <w:rsid w:val="00591459"/>
    <w:rsid w:val="00593224"/>
    <w:rsid w:val="00593721"/>
    <w:rsid w:val="00593829"/>
    <w:rsid w:val="00593FB5"/>
    <w:rsid w:val="00594789"/>
    <w:rsid w:val="00594C28"/>
    <w:rsid w:val="0059507D"/>
    <w:rsid w:val="0059552A"/>
    <w:rsid w:val="00595662"/>
    <w:rsid w:val="00595682"/>
    <w:rsid w:val="00595F32"/>
    <w:rsid w:val="005968C4"/>
    <w:rsid w:val="00596A01"/>
    <w:rsid w:val="005A02B2"/>
    <w:rsid w:val="005A0416"/>
    <w:rsid w:val="005A0945"/>
    <w:rsid w:val="005A15DD"/>
    <w:rsid w:val="005A2A01"/>
    <w:rsid w:val="005A308C"/>
    <w:rsid w:val="005A61AA"/>
    <w:rsid w:val="005A700F"/>
    <w:rsid w:val="005A7B55"/>
    <w:rsid w:val="005B080C"/>
    <w:rsid w:val="005B0F4C"/>
    <w:rsid w:val="005B35CB"/>
    <w:rsid w:val="005B3FFC"/>
    <w:rsid w:val="005B43DC"/>
    <w:rsid w:val="005B5ECF"/>
    <w:rsid w:val="005B6DB5"/>
    <w:rsid w:val="005B7326"/>
    <w:rsid w:val="005B7EA6"/>
    <w:rsid w:val="005C0C4D"/>
    <w:rsid w:val="005C1451"/>
    <w:rsid w:val="005C17D5"/>
    <w:rsid w:val="005C1B16"/>
    <w:rsid w:val="005C1BB1"/>
    <w:rsid w:val="005C32EA"/>
    <w:rsid w:val="005C3B40"/>
    <w:rsid w:val="005C4541"/>
    <w:rsid w:val="005C4566"/>
    <w:rsid w:val="005C495C"/>
    <w:rsid w:val="005C52C9"/>
    <w:rsid w:val="005C6DF9"/>
    <w:rsid w:val="005C791E"/>
    <w:rsid w:val="005C7E1D"/>
    <w:rsid w:val="005C7F3E"/>
    <w:rsid w:val="005D061E"/>
    <w:rsid w:val="005D0DA7"/>
    <w:rsid w:val="005D15E9"/>
    <w:rsid w:val="005D1CFA"/>
    <w:rsid w:val="005D2283"/>
    <w:rsid w:val="005D2782"/>
    <w:rsid w:val="005D2841"/>
    <w:rsid w:val="005D2AC6"/>
    <w:rsid w:val="005D3F9F"/>
    <w:rsid w:val="005D43C6"/>
    <w:rsid w:val="005D465E"/>
    <w:rsid w:val="005D494F"/>
    <w:rsid w:val="005D4AF0"/>
    <w:rsid w:val="005D5981"/>
    <w:rsid w:val="005D6347"/>
    <w:rsid w:val="005D6AE6"/>
    <w:rsid w:val="005D6CAC"/>
    <w:rsid w:val="005D6D01"/>
    <w:rsid w:val="005D7019"/>
    <w:rsid w:val="005D70D7"/>
    <w:rsid w:val="005D7AF3"/>
    <w:rsid w:val="005E0760"/>
    <w:rsid w:val="005E0D2C"/>
    <w:rsid w:val="005E11B5"/>
    <w:rsid w:val="005E12AA"/>
    <w:rsid w:val="005E1707"/>
    <w:rsid w:val="005E170D"/>
    <w:rsid w:val="005E2F9F"/>
    <w:rsid w:val="005E4E44"/>
    <w:rsid w:val="005E5B7F"/>
    <w:rsid w:val="005E65BF"/>
    <w:rsid w:val="005E65D9"/>
    <w:rsid w:val="005E65E8"/>
    <w:rsid w:val="005E6E5B"/>
    <w:rsid w:val="005E7A18"/>
    <w:rsid w:val="005F05DB"/>
    <w:rsid w:val="005F0A75"/>
    <w:rsid w:val="005F1CAB"/>
    <w:rsid w:val="005F1D49"/>
    <w:rsid w:val="005F1DB9"/>
    <w:rsid w:val="005F43C4"/>
    <w:rsid w:val="005F4538"/>
    <w:rsid w:val="005F491D"/>
    <w:rsid w:val="005F4CE8"/>
    <w:rsid w:val="005F5233"/>
    <w:rsid w:val="005F6441"/>
    <w:rsid w:val="005F7635"/>
    <w:rsid w:val="00600357"/>
    <w:rsid w:val="00600738"/>
    <w:rsid w:val="0060100E"/>
    <w:rsid w:val="0060155A"/>
    <w:rsid w:val="00601848"/>
    <w:rsid w:val="00601862"/>
    <w:rsid w:val="00601FE8"/>
    <w:rsid w:val="00602C13"/>
    <w:rsid w:val="006038E1"/>
    <w:rsid w:val="00603FB6"/>
    <w:rsid w:val="0060510D"/>
    <w:rsid w:val="00605C72"/>
    <w:rsid w:val="00606AF7"/>
    <w:rsid w:val="00606C25"/>
    <w:rsid w:val="0060744A"/>
    <w:rsid w:val="00607B38"/>
    <w:rsid w:val="00607F60"/>
    <w:rsid w:val="0061182F"/>
    <w:rsid w:val="00611EC3"/>
    <w:rsid w:val="006122C4"/>
    <w:rsid w:val="006122DE"/>
    <w:rsid w:val="006124D9"/>
    <w:rsid w:val="00613158"/>
    <w:rsid w:val="006134ED"/>
    <w:rsid w:val="00613863"/>
    <w:rsid w:val="0061511C"/>
    <w:rsid w:val="00617B58"/>
    <w:rsid w:val="00617F8B"/>
    <w:rsid w:val="00621C36"/>
    <w:rsid w:val="00621F20"/>
    <w:rsid w:val="00622160"/>
    <w:rsid w:val="00622381"/>
    <w:rsid w:val="006224E4"/>
    <w:rsid w:val="006225E8"/>
    <w:rsid w:val="00622E2A"/>
    <w:rsid w:val="006230DB"/>
    <w:rsid w:val="0062443A"/>
    <w:rsid w:val="00624899"/>
    <w:rsid w:val="00624A8D"/>
    <w:rsid w:val="00624D8E"/>
    <w:rsid w:val="00624EFD"/>
    <w:rsid w:val="00625380"/>
    <w:rsid w:val="006264EC"/>
    <w:rsid w:val="0063068F"/>
    <w:rsid w:val="00630F25"/>
    <w:rsid w:val="0063168E"/>
    <w:rsid w:val="00631DC8"/>
    <w:rsid w:val="00632BA5"/>
    <w:rsid w:val="006334E7"/>
    <w:rsid w:val="00633C06"/>
    <w:rsid w:val="0063466C"/>
    <w:rsid w:val="00634BFA"/>
    <w:rsid w:val="00635062"/>
    <w:rsid w:val="00637716"/>
    <w:rsid w:val="00642178"/>
    <w:rsid w:val="00642B0C"/>
    <w:rsid w:val="006432CD"/>
    <w:rsid w:val="00643B20"/>
    <w:rsid w:val="0064464A"/>
    <w:rsid w:val="00645311"/>
    <w:rsid w:val="00645688"/>
    <w:rsid w:val="006459C5"/>
    <w:rsid w:val="00645F01"/>
    <w:rsid w:val="0064630F"/>
    <w:rsid w:val="00646638"/>
    <w:rsid w:val="00647464"/>
    <w:rsid w:val="00647555"/>
    <w:rsid w:val="00647C1B"/>
    <w:rsid w:val="006507EF"/>
    <w:rsid w:val="00651A8C"/>
    <w:rsid w:val="0065394D"/>
    <w:rsid w:val="006540D7"/>
    <w:rsid w:val="00654311"/>
    <w:rsid w:val="006548FC"/>
    <w:rsid w:val="0065499E"/>
    <w:rsid w:val="0065548C"/>
    <w:rsid w:val="00656576"/>
    <w:rsid w:val="00656DF0"/>
    <w:rsid w:val="00657C92"/>
    <w:rsid w:val="00660E64"/>
    <w:rsid w:val="00661497"/>
    <w:rsid w:val="00661830"/>
    <w:rsid w:val="006622E3"/>
    <w:rsid w:val="0066279E"/>
    <w:rsid w:val="00665D40"/>
    <w:rsid w:val="00666EE8"/>
    <w:rsid w:val="006701DF"/>
    <w:rsid w:val="00671019"/>
    <w:rsid w:val="00671586"/>
    <w:rsid w:val="006715C8"/>
    <w:rsid w:val="00671996"/>
    <w:rsid w:val="006725F0"/>
    <w:rsid w:val="006729D9"/>
    <w:rsid w:val="00672B21"/>
    <w:rsid w:val="00673007"/>
    <w:rsid w:val="006739C4"/>
    <w:rsid w:val="0067474F"/>
    <w:rsid w:val="0067518E"/>
    <w:rsid w:val="00675EAD"/>
    <w:rsid w:val="006765B7"/>
    <w:rsid w:val="00676727"/>
    <w:rsid w:val="0067758A"/>
    <w:rsid w:val="0067762C"/>
    <w:rsid w:val="00680687"/>
    <w:rsid w:val="00680944"/>
    <w:rsid w:val="006809B5"/>
    <w:rsid w:val="00680A07"/>
    <w:rsid w:val="00680EB5"/>
    <w:rsid w:val="0068216F"/>
    <w:rsid w:val="006821F8"/>
    <w:rsid w:val="00682762"/>
    <w:rsid w:val="00682B40"/>
    <w:rsid w:val="006836C2"/>
    <w:rsid w:val="0068385F"/>
    <w:rsid w:val="00684559"/>
    <w:rsid w:val="00684AFF"/>
    <w:rsid w:val="00684BC7"/>
    <w:rsid w:val="006859AB"/>
    <w:rsid w:val="00686261"/>
    <w:rsid w:val="00686F88"/>
    <w:rsid w:val="00687642"/>
    <w:rsid w:val="006877FC"/>
    <w:rsid w:val="00687B7E"/>
    <w:rsid w:val="0069000D"/>
    <w:rsid w:val="006900B5"/>
    <w:rsid w:val="006909AB"/>
    <w:rsid w:val="0069176B"/>
    <w:rsid w:val="006922B4"/>
    <w:rsid w:val="0069357C"/>
    <w:rsid w:val="00693805"/>
    <w:rsid w:val="00693CC5"/>
    <w:rsid w:val="0069462F"/>
    <w:rsid w:val="00694801"/>
    <w:rsid w:val="0069482E"/>
    <w:rsid w:val="00694DF8"/>
    <w:rsid w:val="00695C1F"/>
    <w:rsid w:val="00695E25"/>
    <w:rsid w:val="0069607F"/>
    <w:rsid w:val="006960E9"/>
    <w:rsid w:val="00696612"/>
    <w:rsid w:val="00697F8C"/>
    <w:rsid w:val="006A0539"/>
    <w:rsid w:val="006A0691"/>
    <w:rsid w:val="006A074B"/>
    <w:rsid w:val="006A0AD3"/>
    <w:rsid w:val="006A1BE7"/>
    <w:rsid w:val="006A1C04"/>
    <w:rsid w:val="006A36F9"/>
    <w:rsid w:val="006A3B4C"/>
    <w:rsid w:val="006A3D52"/>
    <w:rsid w:val="006A4E72"/>
    <w:rsid w:val="006A6AB1"/>
    <w:rsid w:val="006A7719"/>
    <w:rsid w:val="006A7D36"/>
    <w:rsid w:val="006B0167"/>
    <w:rsid w:val="006B0177"/>
    <w:rsid w:val="006B1128"/>
    <w:rsid w:val="006B120F"/>
    <w:rsid w:val="006B2CAD"/>
    <w:rsid w:val="006B2F0A"/>
    <w:rsid w:val="006B3966"/>
    <w:rsid w:val="006B3FDD"/>
    <w:rsid w:val="006B5799"/>
    <w:rsid w:val="006B6048"/>
    <w:rsid w:val="006B6203"/>
    <w:rsid w:val="006B6C05"/>
    <w:rsid w:val="006B6FC1"/>
    <w:rsid w:val="006B73CE"/>
    <w:rsid w:val="006C094C"/>
    <w:rsid w:val="006C1232"/>
    <w:rsid w:val="006C185A"/>
    <w:rsid w:val="006C1988"/>
    <w:rsid w:val="006C1E49"/>
    <w:rsid w:val="006C2335"/>
    <w:rsid w:val="006C4C44"/>
    <w:rsid w:val="006C5300"/>
    <w:rsid w:val="006C5494"/>
    <w:rsid w:val="006C599C"/>
    <w:rsid w:val="006C739A"/>
    <w:rsid w:val="006D063C"/>
    <w:rsid w:val="006D186B"/>
    <w:rsid w:val="006D1D51"/>
    <w:rsid w:val="006D1FC0"/>
    <w:rsid w:val="006D2969"/>
    <w:rsid w:val="006D34B0"/>
    <w:rsid w:val="006D36D0"/>
    <w:rsid w:val="006D47C6"/>
    <w:rsid w:val="006D4DAD"/>
    <w:rsid w:val="006D5029"/>
    <w:rsid w:val="006D6456"/>
    <w:rsid w:val="006D66FE"/>
    <w:rsid w:val="006D7E6A"/>
    <w:rsid w:val="006D7FAE"/>
    <w:rsid w:val="006E0470"/>
    <w:rsid w:val="006E0555"/>
    <w:rsid w:val="006E05F6"/>
    <w:rsid w:val="006E09FB"/>
    <w:rsid w:val="006E20CC"/>
    <w:rsid w:val="006E2CBC"/>
    <w:rsid w:val="006E2FAE"/>
    <w:rsid w:val="006E3A64"/>
    <w:rsid w:val="006E4770"/>
    <w:rsid w:val="006E581B"/>
    <w:rsid w:val="006E59E2"/>
    <w:rsid w:val="006E5C2D"/>
    <w:rsid w:val="006E7990"/>
    <w:rsid w:val="006E7B55"/>
    <w:rsid w:val="006F0C58"/>
    <w:rsid w:val="006F1CFC"/>
    <w:rsid w:val="006F1E2B"/>
    <w:rsid w:val="006F2030"/>
    <w:rsid w:val="006F2266"/>
    <w:rsid w:val="006F2605"/>
    <w:rsid w:val="006F280A"/>
    <w:rsid w:val="006F29B8"/>
    <w:rsid w:val="006F3091"/>
    <w:rsid w:val="006F44FB"/>
    <w:rsid w:val="006F4ACD"/>
    <w:rsid w:val="006F536C"/>
    <w:rsid w:val="006F57B6"/>
    <w:rsid w:val="006F5D69"/>
    <w:rsid w:val="006F5EE5"/>
    <w:rsid w:val="006F67A4"/>
    <w:rsid w:val="006F758A"/>
    <w:rsid w:val="006F78D4"/>
    <w:rsid w:val="006F7E1C"/>
    <w:rsid w:val="006F7F20"/>
    <w:rsid w:val="007007D4"/>
    <w:rsid w:val="00700AF2"/>
    <w:rsid w:val="0070121D"/>
    <w:rsid w:val="007014CE"/>
    <w:rsid w:val="007017C5"/>
    <w:rsid w:val="00701E4D"/>
    <w:rsid w:val="007026FF"/>
    <w:rsid w:val="00702ADB"/>
    <w:rsid w:val="00702B93"/>
    <w:rsid w:val="007034C6"/>
    <w:rsid w:val="00703ED7"/>
    <w:rsid w:val="00705402"/>
    <w:rsid w:val="00705C17"/>
    <w:rsid w:val="0070601C"/>
    <w:rsid w:val="007068E7"/>
    <w:rsid w:val="00706C64"/>
    <w:rsid w:val="00710D11"/>
    <w:rsid w:val="007110C4"/>
    <w:rsid w:val="0071192D"/>
    <w:rsid w:val="00711DBA"/>
    <w:rsid w:val="00712095"/>
    <w:rsid w:val="00712335"/>
    <w:rsid w:val="00712752"/>
    <w:rsid w:val="00712897"/>
    <w:rsid w:val="00712ADB"/>
    <w:rsid w:val="00712F4C"/>
    <w:rsid w:val="0071337F"/>
    <w:rsid w:val="0071363F"/>
    <w:rsid w:val="0071565C"/>
    <w:rsid w:val="0071629D"/>
    <w:rsid w:val="0071759B"/>
    <w:rsid w:val="00717ADB"/>
    <w:rsid w:val="00720589"/>
    <w:rsid w:val="007208E1"/>
    <w:rsid w:val="00720CF6"/>
    <w:rsid w:val="00722EB5"/>
    <w:rsid w:val="00723E91"/>
    <w:rsid w:val="0072492E"/>
    <w:rsid w:val="00725462"/>
    <w:rsid w:val="00725B7A"/>
    <w:rsid w:val="00725BA5"/>
    <w:rsid w:val="00726063"/>
    <w:rsid w:val="00726131"/>
    <w:rsid w:val="007261B1"/>
    <w:rsid w:val="00726A47"/>
    <w:rsid w:val="0072789A"/>
    <w:rsid w:val="00727EA5"/>
    <w:rsid w:val="00730014"/>
    <w:rsid w:val="00733ACA"/>
    <w:rsid w:val="00735554"/>
    <w:rsid w:val="00736C0B"/>
    <w:rsid w:val="00736EF6"/>
    <w:rsid w:val="00737047"/>
    <w:rsid w:val="00737417"/>
    <w:rsid w:val="007377DD"/>
    <w:rsid w:val="0074095C"/>
    <w:rsid w:val="00741570"/>
    <w:rsid w:val="00742702"/>
    <w:rsid w:val="00742712"/>
    <w:rsid w:val="007427A7"/>
    <w:rsid w:val="00742F0A"/>
    <w:rsid w:val="007432AD"/>
    <w:rsid w:val="00743465"/>
    <w:rsid w:val="00743599"/>
    <w:rsid w:val="00745797"/>
    <w:rsid w:val="00745D47"/>
    <w:rsid w:val="0075050D"/>
    <w:rsid w:val="0075070A"/>
    <w:rsid w:val="00750AF1"/>
    <w:rsid w:val="00752DBD"/>
    <w:rsid w:val="00753101"/>
    <w:rsid w:val="00755F4C"/>
    <w:rsid w:val="007578F4"/>
    <w:rsid w:val="00757D80"/>
    <w:rsid w:val="00760132"/>
    <w:rsid w:val="00761722"/>
    <w:rsid w:val="0076334A"/>
    <w:rsid w:val="0076351E"/>
    <w:rsid w:val="00763558"/>
    <w:rsid w:val="00763743"/>
    <w:rsid w:val="0076380D"/>
    <w:rsid w:val="007640A2"/>
    <w:rsid w:val="00764123"/>
    <w:rsid w:val="00764189"/>
    <w:rsid w:val="00765310"/>
    <w:rsid w:val="007667CB"/>
    <w:rsid w:val="007679E7"/>
    <w:rsid w:val="00770BEA"/>
    <w:rsid w:val="00772C00"/>
    <w:rsid w:val="00772CBC"/>
    <w:rsid w:val="0077426F"/>
    <w:rsid w:val="00774EAC"/>
    <w:rsid w:val="00775DAC"/>
    <w:rsid w:val="00775DF4"/>
    <w:rsid w:val="00777778"/>
    <w:rsid w:val="00777CD3"/>
    <w:rsid w:val="00777D57"/>
    <w:rsid w:val="00777D6E"/>
    <w:rsid w:val="00781315"/>
    <w:rsid w:val="007815B2"/>
    <w:rsid w:val="00782928"/>
    <w:rsid w:val="00782E50"/>
    <w:rsid w:val="007830C4"/>
    <w:rsid w:val="007843F0"/>
    <w:rsid w:val="0078468D"/>
    <w:rsid w:val="0078502A"/>
    <w:rsid w:val="007857D2"/>
    <w:rsid w:val="00785D31"/>
    <w:rsid w:val="0078699E"/>
    <w:rsid w:val="00786DA9"/>
    <w:rsid w:val="007879E3"/>
    <w:rsid w:val="00787F03"/>
    <w:rsid w:val="007904B1"/>
    <w:rsid w:val="00790A70"/>
    <w:rsid w:val="00790B79"/>
    <w:rsid w:val="00791370"/>
    <w:rsid w:val="007923AB"/>
    <w:rsid w:val="00792612"/>
    <w:rsid w:val="00792B14"/>
    <w:rsid w:val="00792D34"/>
    <w:rsid w:val="00793938"/>
    <w:rsid w:val="00793D2C"/>
    <w:rsid w:val="007941FB"/>
    <w:rsid w:val="00794204"/>
    <w:rsid w:val="00794F8D"/>
    <w:rsid w:val="00795E5F"/>
    <w:rsid w:val="00796220"/>
    <w:rsid w:val="0079640D"/>
    <w:rsid w:val="0079772D"/>
    <w:rsid w:val="007A0F56"/>
    <w:rsid w:val="007A17C0"/>
    <w:rsid w:val="007A2166"/>
    <w:rsid w:val="007A2260"/>
    <w:rsid w:val="007A260F"/>
    <w:rsid w:val="007A3169"/>
    <w:rsid w:val="007A31BD"/>
    <w:rsid w:val="007A37D3"/>
    <w:rsid w:val="007A457A"/>
    <w:rsid w:val="007A5B2A"/>
    <w:rsid w:val="007A5F4E"/>
    <w:rsid w:val="007A7431"/>
    <w:rsid w:val="007A7BEF"/>
    <w:rsid w:val="007B036F"/>
    <w:rsid w:val="007B075A"/>
    <w:rsid w:val="007B1B61"/>
    <w:rsid w:val="007B1D3B"/>
    <w:rsid w:val="007B2B84"/>
    <w:rsid w:val="007B2BEC"/>
    <w:rsid w:val="007B48DF"/>
    <w:rsid w:val="007B56FE"/>
    <w:rsid w:val="007B5847"/>
    <w:rsid w:val="007B677F"/>
    <w:rsid w:val="007B7645"/>
    <w:rsid w:val="007C09A9"/>
    <w:rsid w:val="007C0A7D"/>
    <w:rsid w:val="007C0BF8"/>
    <w:rsid w:val="007C0D11"/>
    <w:rsid w:val="007C17DD"/>
    <w:rsid w:val="007C1CD2"/>
    <w:rsid w:val="007C2000"/>
    <w:rsid w:val="007C2E1E"/>
    <w:rsid w:val="007C4371"/>
    <w:rsid w:val="007C4578"/>
    <w:rsid w:val="007C4720"/>
    <w:rsid w:val="007C4C56"/>
    <w:rsid w:val="007C6078"/>
    <w:rsid w:val="007C73A1"/>
    <w:rsid w:val="007C742D"/>
    <w:rsid w:val="007C7F45"/>
    <w:rsid w:val="007D0424"/>
    <w:rsid w:val="007D1451"/>
    <w:rsid w:val="007D1FF4"/>
    <w:rsid w:val="007D2FE9"/>
    <w:rsid w:val="007D41AA"/>
    <w:rsid w:val="007D4CA7"/>
    <w:rsid w:val="007D4E58"/>
    <w:rsid w:val="007D5D6C"/>
    <w:rsid w:val="007D62FA"/>
    <w:rsid w:val="007D7751"/>
    <w:rsid w:val="007D79DC"/>
    <w:rsid w:val="007D7B40"/>
    <w:rsid w:val="007E1BE2"/>
    <w:rsid w:val="007E22C3"/>
    <w:rsid w:val="007E3BA3"/>
    <w:rsid w:val="007E462C"/>
    <w:rsid w:val="007E48C1"/>
    <w:rsid w:val="007E4F56"/>
    <w:rsid w:val="007E51F5"/>
    <w:rsid w:val="007E5576"/>
    <w:rsid w:val="007E58A6"/>
    <w:rsid w:val="007E5A83"/>
    <w:rsid w:val="007E6312"/>
    <w:rsid w:val="007F0987"/>
    <w:rsid w:val="007F1763"/>
    <w:rsid w:val="007F332A"/>
    <w:rsid w:val="007F45D1"/>
    <w:rsid w:val="007F60E0"/>
    <w:rsid w:val="007F622B"/>
    <w:rsid w:val="007F6318"/>
    <w:rsid w:val="007F63E8"/>
    <w:rsid w:val="007F6CB6"/>
    <w:rsid w:val="00800FA4"/>
    <w:rsid w:val="00801692"/>
    <w:rsid w:val="008024DB"/>
    <w:rsid w:val="00802C0D"/>
    <w:rsid w:val="00802C92"/>
    <w:rsid w:val="00802DBB"/>
    <w:rsid w:val="00803E07"/>
    <w:rsid w:val="00805526"/>
    <w:rsid w:val="0080592F"/>
    <w:rsid w:val="0080624B"/>
    <w:rsid w:val="00806689"/>
    <w:rsid w:val="008066E2"/>
    <w:rsid w:val="0080674B"/>
    <w:rsid w:val="00806B63"/>
    <w:rsid w:val="008076B4"/>
    <w:rsid w:val="008078BF"/>
    <w:rsid w:val="00807DAF"/>
    <w:rsid w:val="008101ED"/>
    <w:rsid w:val="0081035A"/>
    <w:rsid w:val="008108B9"/>
    <w:rsid w:val="008109C1"/>
    <w:rsid w:val="00810C9F"/>
    <w:rsid w:val="00812044"/>
    <w:rsid w:val="00814759"/>
    <w:rsid w:val="00814FD1"/>
    <w:rsid w:val="00815056"/>
    <w:rsid w:val="00815BD8"/>
    <w:rsid w:val="00815CBC"/>
    <w:rsid w:val="008165AF"/>
    <w:rsid w:val="00817D73"/>
    <w:rsid w:val="008227F8"/>
    <w:rsid w:val="00822EF8"/>
    <w:rsid w:val="00824471"/>
    <w:rsid w:val="00824491"/>
    <w:rsid w:val="00825A19"/>
    <w:rsid w:val="00826F51"/>
    <w:rsid w:val="008277A4"/>
    <w:rsid w:val="008303C2"/>
    <w:rsid w:val="00830E9A"/>
    <w:rsid w:val="00832ACF"/>
    <w:rsid w:val="008336A2"/>
    <w:rsid w:val="00833964"/>
    <w:rsid w:val="00833F09"/>
    <w:rsid w:val="00834701"/>
    <w:rsid w:val="00834FCB"/>
    <w:rsid w:val="00836248"/>
    <w:rsid w:val="00842C6B"/>
    <w:rsid w:val="00842FEC"/>
    <w:rsid w:val="00844680"/>
    <w:rsid w:val="008446E4"/>
    <w:rsid w:val="0084479D"/>
    <w:rsid w:val="00844848"/>
    <w:rsid w:val="00845CAC"/>
    <w:rsid w:val="00846024"/>
    <w:rsid w:val="00846908"/>
    <w:rsid w:val="0084701E"/>
    <w:rsid w:val="008477F8"/>
    <w:rsid w:val="008503BC"/>
    <w:rsid w:val="00851DDA"/>
    <w:rsid w:val="00852DE6"/>
    <w:rsid w:val="0085300F"/>
    <w:rsid w:val="008531F9"/>
    <w:rsid w:val="00853981"/>
    <w:rsid w:val="00853E40"/>
    <w:rsid w:val="00854640"/>
    <w:rsid w:val="00856712"/>
    <w:rsid w:val="00856DC2"/>
    <w:rsid w:val="00857150"/>
    <w:rsid w:val="008619B1"/>
    <w:rsid w:val="00861CED"/>
    <w:rsid w:val="008627D9"/>
    <w:rsid w:val="00862D68"/>
    <w:rsid w:val="008632B3"/>
    <w:rsid w:val="00863C06"/>
    <w:rsid w:val="008641DC"/>
    <w:rsid w:val="0086420D"/>
    <w:rsid w:val="00866B19"/>
    <w:rsid w:val="008676BE"/>
    <w:rsid w:val="0086780C"/>
    <w:rsid w:val="00870FE4"/>
    <w:rsid w:val="00872E67"/>
    <w:rsid w:val="00873071"/>
    <w:rsid w:val="008730F5"/>
    <w:rsid w:val="0087316C"/>
    <w:rsid w:val="008735C7"/>
    <w:rsid w:val="008740A0"/>
    <w:rsid w:val="00874903"/>
    <w:rsid w:val="00875E63"/>
    <w:rsid w:val="0087633A"/>
    <w:rsid w:val="00876E0B"/>
    <w:rsid w:val="0088120A"/>
    <w:rsid w:val="00881642"/>
    <w:rsid w:val="0088168E"/>
    <w:rsid w:val="00881ABE"/>
    <w:rsid w:val="00884EFA"/>
    <w:rsid w:val="00885EC5"/>
    <w:rsid w:val="00886214"/>
    <w:rsid w:val="0088661F"/>
    <w:rsid w:val="00886A0C"/>
    <w:rsid w:val="00887973"/>
    <w:rsid w:val="008879D2"/>
    <w:rsid w:val="008901F2"/>
    <w:rsid w:val="00890798"/>
    <w:rsid w:val="008914A1"/>
    <w:rsid w:val="00892D87"/>
    <w:rsid w:val="00894225"/>
    <w:rsid w:val="008944AE"/>
    <w:rsid w:val="00894779"/>
    <w:rsid w:val="00895100"/>
    <w:rsid w:val="008954B6"/>
    <w:rsid w:val="008954FE"/>
    <w:rsid w:val="0089575C"/>
    <w:rsid w:val="008958B1"/>
    <w:rsid w:val="00895BBA"/>
    <w:rsid w:val="00896A61"/>
    <w:rsid w:val="00896ECA"/>
    <w:rsid w:val="00897D82"/>
    <w:rsid w:val="008A0FD9"/>
    <w:rsid w:val="008A134D"/>
    <w:rsid w:val="008A2023"/>
    <w:rsid w:val="008A2158"/>
    <w:rsid w:val="008A2B2C"/>
    <w:rsid w:val="008A3609"/>
    <w:rsid w:val="008A3857"/>
    <w:rsid w:val="008A3903"/>
    <w:rsid w:val="008A39DE"/>
    <w:rsid w:val="008A499E"/>
    <w:rsid w:val="008A4D2D"/>
    <w:rsid w:val="008A5CD8"/>
    <w:rsid w:val="008A62F6"/>
    <w:rsid w:val="008A6F06"/>
    <w:rsid w:val="008A7A99"/>
    <w:rsid w:val="008B029E"/>
    <w:rsid w:val="008B0D33"/>
    <w:rsid w:val="008B12C7"/>
    <w:rsid w:val="008B1EA7"/>
    <w:rsid w:val="008B3646"/>
    <w:rsid w:val="008B46E7"/>
    <w:rsid w:val="008B4806"/>
    <w:rsid w:val="008B4939"/>
    <w:rsid w:val="008B4F07"/>
    <w:rsid w:val="008B69D1"/>
    <w:rsid w:val="008B76CF"/>
    <w:rsid w:val="008B793C"/>
    <w:rsid w:val="008B7D5A"/>
    <w:rsid w:val="008B7E9A"/>
    <w:rsid w:val="008C0076"/>
    <w:rsid w:val="008C00E4"/>
    <w:rsid w:val="008C0A6E"/>
    <w:rsid w:val="008C12F5"/>
    <w:rsid w:val="008C1586"/>
    <w:rsid w:val="008C1914"/>
    <w:rsid w:val="008C2544"/>
    <w:rsid w:val="008C2E58"/>
    <w:rsid w:val="008C30AD"/>
    <w:rsid w:val="008C36A9"/>
    <w:rsid w:val="008C3978"/>
    <w:rsid w:val="008C39D8"/>
    <w:rsid w:val="008C3F49"/>
    <w:rsid w:val="008C40BA"/>
    <w:rsid w:val="008C4A25"/>
    <w:rsid w:val="008C5173"/>
    <w:rsid w:val="008C52C3"/>
    <w:rsid w:val="008C5797"/>
    <w:rsid w:val="008C646B"/>
    <w:rsid w:val="008C6594"/>
    <w:rsid w:val="008C69F5"/>
    <w:rsid w:val="008D0534"/>
    <w:rsid w:val="008D0C9A"/>
    <w:rsid w:val="008D1F59"/>
    <w:rsid w:val="008D21D9"/>
    <w:rsid w:val="008D29C8"/>
    <w:rsid w:val="008D3020"/>
    <w:rsid w:val="008D3120"/>
    <w:rsid w:val="008D452A"/>
    <w:rsid w:val="008D4C88"/>
    <w:rsid w:val="008D553A"/>
    <w:rsid w:val="008D6060"/>
    <w:rsid w:val="008D71C9"/>
    <w:rsid w:val="008D75B3"/>
    <w:rsid w:val="008D79B5"/>
    <w:rsid w:val="008E1496"/>
    <w:rsid w:val="008E179D"/>
    <w:rsid w:val="008E2371"/>
    <w:rsid w:val="008E274E"/>
    <w:rsid w:val="008E27C2"/>
    <w:rsid w:val="008E2A27"/>
    <w:rsid w:val="008E31B9"/>
    <w:rsid w:val="008E36EE"/>
    <w:rsid w:val="008E3CA3"/>
    <w:rsid w:val="008E4091"/>
    <w:rsid w:val="008E4FA0"/>
    <w:rsid w:val="008E6AB3"/>
    <w:rsid w:val="008E7757"/>
    <w:rsid w:val="008E77D7"/>
    <w:rsid w:val="008F021C"/>
    <w:rsid w:val="008F1ED2"/>
    <w:rsid w:val="008F200E"/>
    <w:rsid w:val="008F2FF0"/>
    <w:rsid w:val="008F32AC"/>
    <w:rsid w:val="008F3758"/>
    <w:rsid w:val="008F3F5F"/>
    <w:rsid w:val="008F4DC6"/>
    <w:rsid w:val="008F4EF4"/>
    <w:rsid w:val="008F6323"/>
    <w:rsid w:val="008F66A1"/>
    <w:rsid w:val="008F73E0"/>
    <w:rsid w:val="009001C1"/>
    <w:rsid w:val="009006EA"/>
    <w:rsid w:val="00902B04"/>
    <w:rsid w:val="0090348E"/>
    <w:rsid w:val="0090351E"/>
    <w:rsid w:val="00904B8C"/>
    <w:rsid w:val="00904EBD"/>
    <w:rsid w:val="00905D8F"/>
    <w:rsid w:val="0090673B"/>
    <w:rsid w:val="009114A9"/>
    <w:rsid w:val="009133A3"/>
    <w:rsid w:val="0091382B"/>
    <w:rsid w:val="00914130"/>
    <w:rsid w:val="009141A7"/>
    <w:rsid w:val="009143F9"/>
    <w:rsid w:val="00914462"/>
    <w:rsid w:val="0091552F"/>
    <w:rsid w:val="00916FDF"/>
    <w:rsid w:val="009171EE"/>
    <w:rsid w:val="009174F0"/>
    <w:rsid w:val="00920123"/>
    <w:rsid w:val="00920496"/>
    <w:rsid w:val="00920737"/>
    <w:rsid w:val="0092095E"/>
    <w:rsid w:val="00921263"/>
    <w:rsid w:val="009215DF"/>
    <w:rsid w:val="0092178C"/>
    <w:rsid w:val="0092230C"/>
    <w:rsid w:val="00922C48"/>
    <w:rsid w:val="0092399A"/>
    <w:rsid w:val="00930064"/>
    <w:rsid w:val="00931576"/>
    <w:rsid w:val="009323C9"/>
    <w:rsid w:val="0093295C"/>
    <w:rsid w:val="00933F69"/>
    <w:rsid w:val="00934768"/>
    <w:rsid w:val="009348D1"/>
    <w:rsid w:val="00940FBA"/>
    <w:rsid w:val="0094102C"/>
    <w:rsid w:val="0094303F"/>
    <w:rsid w:val="00943D37"/>
    <w:rsid w:val="009444A8"/>
    <w:rsid w:val="0094490A"/>
    <w:rsid w:val="00944DC9"/>
    <w:rsid w:val="00944F49"/>
    <w:rsid w:val="009458E6"/>
    <w:rsid w:val="00946471"/>
    <w:rsid w:val="00946650"/>
    <w:rsid w:val="00946B25"/>
    <w:rsid w:val="00946D61"/>
    <w:rsid w:val="00946E9A"/>
    <w:rsid w:val="009475EF"/>
    <w:rsid w:val="00947DE9"/>
    <w:rsid w:val="00947F91"/>
    <w:rsid w:val="00947FC9"/>
    <w:rsid w:val="009505B1"/>
    <w:rsid w:val="0095069E"/>
    <w:rsid w:val="0095088F"/>
    <w:rsid w:val="00950EFB"/>
    <w:rsid w:val="00951BF6"/>
    <w:rsid w:val="0095253F"/>
    <w:rsid w:val="00952FBF"/>
    <w:rsid w:val="009531D0"/>
    <w:rsid w:val="0095789C"/>
    <w:rsid w:val="00960082"/>
    <w:rsid w:val="00960119"/>
    <w:rsid w:val="009603E0"/>
    <w:rsid w:val="00962588"/>
    <w:rsid w:val="00962F90"/>
    <w:rsid w:val="00963709"/>
    <w:rsid w:val="00964FB0"/>
    <w:rsid w:val="00965F97"/>
    <w:rsid w:val="00966EF8"/>
    <w:rsid w:val="0096737D"/>
    <w:rsid w:val="00967492"/>
    <w:rsid w:val="00967B1E"/>
    <w:rsid w:val="00967B34"/>
    <w:rsid w:val="00967C3D"/>
    <w:rsid w:val="00971CBA"/>
    <w:rsid w:val="009721D2"/>
    <w:rsid w:val="0097226D"/>
    <w:rsid w:val="00972857"/>
    <w:rsid w:val="00973A42"/>
    <w:rsid w:val="00975F60"/>
    <w:rsid w:val="00976871"/>
    <w:rsid w:val="00976E42"/>
    <w:rsid w:val="0097715A"/>
    <w:rsid w:val="00977B15"/>
    <w:rsid w:val="00980028"/>
    <w:rsid w:val="00980971"/>
    <w:rsid w:val="009828C9"/>
    <w:rsid w:val="00983DD5"/>
    <w:rsid w:val="00984153"/>
    <w:rsid w:val="00984331"/>
    <w:rsid w:val="0098514F"/>
    <w:rsid w:val="00986C39"/>
    <w:rsid w:val="009901E5"/>
    <w:rsid w:val="00990A37"/>
    <w:rsid w:val="00990BD8"/>
    <w:rsid w:val="00991C46"/>
    <w:rsid w:val="00991F51"/>
    <w:rsid w:val="009921D8"/>
    <w:rsid w:val="00993052"/>
    <w:rsid w:val="00994DF9"/>
    <w:rsid w:val="00994E6E"/>
    <w:rsid w:val="00995032"/>
    <w:rsid w:val="00995465"/>
    <w:rsid w:val="00995510"/>
    <w:rsid w:val="009961A2"/>
    <w:rsid w:val="00996EA5"/>
    <w:rsid w:val="00997379"/>
    <w:rsid w:val="00997B52"/>
    <w:rsid w:val="00997BBD"/>
    <w:rsid w:val="009A17B4"/>
    <w:rsid w:val="009A1832"/>
    <w:rsid w:val="009A2A2F"/>
    <w:rsid w:val="009A2CD9"/>
    <w:rsid w:val="009A3AC8"/>
    <w:rsid w:val="009A51CA"/>
    <w:rsid w:val="009A595B"/>
    <w:rsid w:val="009A70EB"/>
    <w:rsid w:val="009A7E42"/>
    <w:rsid w:val="009B076E"/>
    <w:rsid w:val="009B1FF4"/>
    <w:rsid w:val="009B208C"/>
    <w:rsid w:val="009B23CD"/>
    <w:rsid w:val="009B2625"/>
    <w:rsid w:val="009B27DD"/>
    <w:rsid w:val="009B3380"/>
    <w:rsid w:val="009B3BB4"/>
    <w:rsid w:val="009B41E2"/>
    <w:rsid w:val="009B5592"/>
    <w:rsid w:val="009B6884"/>
    <w:rsid w:val="009B7203"/>
    <w:rsid w:val="009B74AB"/>
    <w:rsid w:val="009B7BB7"/>
    <w:rsid w:val="009C01C4"/>
    <w:rsid w:val="009C01D2"/>
    <w:rsid w:val="009C1C8B"/>
    <w:rsid w:val="009C3DFC"/>
    <w:rsid w:val="009C494C"/>
    <w:rsid w:val="009C4B81"/>
    <w:rsid w:val="009C5780"/>
    <w:rsid w:val="009C5F93"/>
    <w:rsid w:val="009C6332"/>
    <w:rsid w:val="009C64DC"/>
    <w:rsid w:val="009C67A1"/>
    <w:rsid w:val="009C7178"/>
    <w:rsid w:val="009C7319"/>
    <w:rsid w:val="009C7388"/>
    <w:rsid w:val="009C76F9"/>
    <w:rsid w:val="009D0FE4"/>
    <w:rsid w:val="009D1285"/>
    <w:rsid w:val="009D136D"/>
    <w:rsid w:val="009D141D"/>
    <w:rsid w:val="009D2258"/>
    <w:rsid w:val="009D29CA"/>
    <w:rsid w:val="009D3054"/>
    <w:rsid w:val="009D3154"/>
    <w:rsid w:val="009D31FF"/>
    <w:rsid w:val="009D4055"/>
    <w:rsid w:val="009D40E7"/>
    <w:rsid w:val="009D5E62"/>
    <w:rsid w:val="009D7456"/>
    <w:rsid w:val="009D7AC9"/>
    <w:rsid w:val="009E059D"/>
    <w:rsid w:val="009E132E"/>
    <w:rsid w:val="009E15DE"/>
    <w:rsid w:val="009E29CE"/>
    <w:rsid w:val="009E3A82"/>
    <w:rsid w:val="009E4085"/>
    <w:rsid w:val="009E4601"/>
    <w:rsid w:val="009E4C6A"/>
    <w:rsid w:val="009E567A"/>
    <w:rsid w:val="009E61C8"/>
    <w:rsid w:val="009E6254"/>
    <w:rsid w:val="009E675C"/>
    <w:rsid w:val="009F0344"/>
    <w:rsid w:val="009F04E7"/>
    <w:rsid w:val="009F103D"/>
    <w:rsid w:val="009F182A"/>
    <w:rsid w:val="009F1A11"/>
    <w:rsid w:val="009F2619"/>
    <w:rsid w:val="009F2AC8"/>
    <w:rsid w:val="009F3146"/>
    <w:rsid w:val="009F3870"/>
    <w:rsid w:val="009F3B53"/>
    <w:rsid w:val="009F49DD"/>
    <w:rsid w:val="009F4D8D"/>
    <w:rsid w:val="009F4DBB"/>
    <w:rsid w:val="009F542D"/>
    <w:rsid w:val="009F6102"/>
    <w:rsid w:val="00A007C8"/>
    <w:rsid w:val="00A00D57"/>
    <w:rsid w:val="00A01040"/>
    <w:rsid w:val="00A016F9"/>
    <w:rsid w:val="00A02946"/>
    <w:rsid w:val="00A02A80"/>
    <w:rsid w:val="00A02BE8"/>
    <w:rsid w:val="00A02D81"/>
    <w:rsid w:val="00A030A6"/>
    <w:rsid w:val="00A03824"/>
    <w:rsid w:val="00A03D2B"/>
    <w:rsid w:val="00A041B1"/>
    <w:rsid w:val="00A055F9"/>
    <w:rsid w:val="00A05EA3"/>
    <w:rsid w:val="00A06903"/>
    <w:rsid w:val="00A07623"/>
    <w:rsid w:val="00A1027B"/>
    <w:rsid w:val="00A104B7"/>
    <w:rsid w:val="00A114B2"/>
    <w:rsid w:val="00A11755"/>
    <w:rsid w:val="00A121F5"/>
    <w:rsid w:val="00A12AC4"/>
    <w:rsid w:val="00A13D00"/>
    <w:rsid w:val="00A14EFD"/>
    <w:rsid w:val="00A155DA"/>
    <w:rsid w:val="00A17170"/>
    <w:rsid w:val="00A20C55"/>
    <w:rsid w:val="00A214A2"/>
    <w:rsid w:val="00A21739"/>
    <w:rsid w:val="00A21A70"/>
    <w:rsid w:val="00A2450D"/>
    <w:rsid w:val="00A24A6A"/>
    <w:rsid w:val="00A24F0A"/>
    <w:rsid w:val="00A2792E"/>
    <w:rsid w:val="00A307ED"/>
    <w:rsid w:val="00A30C98"/>
    <w:rsid w:val="00A31B91"/>
    <w:rsid w:val="00A3294D"/>
    <w:rsid w:val="00A33135"/>
    <w:rsid w:val="00A33874"/>
    <w:rsid w:val="00A33882"/>
    <w:rsid w:val="00A33F21"/>
    <w:rsid w:val="00A340EC"/>
    <w:rsid w:val="00A36B00"/>
    <w:rsid w:val="00A36BA3"/>
    <w:rsid w:val="00A37048"/>
    <w:rsid w:val="00A417C2"/>
    <w:rsid w:val="00A41D2B"/>
    <w:rsid w:val="00A42639"/>
    <w:rsid w:val="00A43200"/>
    <w:rsid w:val="00A4328B"/>
    <w:rsid w:val="00A43999"/>
    <w:rsid w:val="00A452A5"/>
    <w:rsid w:val="00A45351"/>
    <w:rsid w:val="00A463FB"/>
    <w:rsid w:val="00A46B14"/>
    <w:rsid w:val="00A50A63"/>
    <w:rsid w:val="00A51766"/>
    <w:rsid w:val="00A529A9"/>
    <w:rsid w:val="00A52D95"/>
    <w:rsid w:val="00A53213"/>
    <w:rsid w:val="00A53B45"/>
    <w:rsid w:val="00A547AA"/>
    <w:rsid w:val="00A54D6C"/>
    <w:rsid w:val="00A5680F"/>
    <w:rsid w:val="00A56C7C"/>
    <w:rsid w:val="00A575A2"/>
    <w:rsid w:val="00A57627"/>
    <w:rsid w:val="00A5772A"/>
    <w:rsid w:val="00A57A05"/>
    <w:rsid w:val="00A60233"/>
    <w:rsid w:val="00A6227D"/>
    <w:rsid w:val="00A62E0A"/>
    <w:rsid w:val="00A636FE"/>
    <w:rsid w:val="00A6376E"/>
    <w:rsid w:val="00A63ACF"/>
    <w:rsid w:val="00A63D78"/>
    <w:rsid w:val="00A6547C"/>
    <w:rsid w:val="00A6633E"/>
    <w:rsid w:val="00A66639"/>
    <w:rsid w:val="00A66A51"/>
    <w:rsid w:val="00A66ADE"/>
    <w:rsid w:val="00A66F6B"/>
    <w:rsid w:val="00A67944"/>
    <w:rsid w:val="00A67F62"/>
    <w:rsid w:val="00A703F1"/>
    <w:rsid w:val="00A70DA3"/>
    <w:rsid w:val="00A719E0"/>
    <w:rsid w:val="00A71CA5"/>
    <w:rsid w:val="00A73F08"/>
    <w:rsid w:val="00A748F2"/>
    <w:rsid w:val="00A75D61"/>
    <w:rsid w:val="00A762B5"/>
    <w:rsid w:val="00A77302"/>
    <w:rsid w:val="00A77B35"/>
    <w:rsid w:val="00A80223"/>
    <w:rsid w:val="00A80390"/>
    <w:rsid w:val="00A805BC"/>
    <w:rsid w:val="00A8066A"/>
    <w:rsid w:val="00A81125"/>
    <w:rsid w:val="00A822CE"/>
    <w:rsid w:val="00A830CA"/>
    <w:rsid w:val="00A83A5A"/>
    <w:rsid w:val="00A83A9E"/>
    <w:rsid w:val="00A83B32"/>
    <w:rsid w:val="00A84207"/>
    <w:rsid w:val="00A8481C"/>
    <w:rsid w:val="00A84C23"/>
    <w:rsid w:val="00A856E5"/>
    <w:rsid w:val="00A8610D"/>
    <w:rsid w:val="00A8691A"/>
    <w:rsid w:val="00A90F1B"/>
    <w:rsid w:val="00A92625"/>
    <w:rsid w:val="00A92665"/>
    <w:rsid w:val="00A92D43"/>
    <w:rsid w:val="00A94C89"/>
    <w:rsid w:val="00A956A9"/>
    <w:rsid w:val="00A965B7"/>
    <w:rsid w:val="00A9727A"/>
    <w:rsid w:val="00A97AA1"/>
    <w:rsid w:val="00AA02A5"/>
    <w:rsid w:val="00AA0B45"/>
    <w:rsid w:val="00AA1F17"/>
    <w:rsid w:val="00AA2065"/>
    <w:rsid w:val="00AA348E"/>
    <w:rsid w:val="00AA38DE"/>
    <w:rsid w:val="00AA424B"/>
    <w:rsid w:val="00AA4BE3"/>
    <w:rsid w:val="00AA4E23"/>
    <w:rsid w:val="00AA4FE0"/>
    <w:rsid w:val="00AA5E53"/>
    <w:rsid w:val="00AA6691"/>
    <w:rsid w:val="00AA6F1C"/>
    <w:rsid w:val="00AA6FAD"/>
    <w:rsid w:val="00AA7FFB"/>
    <w:rsid w:val="00AB02F3"/>
    <w:rsid w:val="00AB10F7"/>
    <w:rsid w:val="00AB11F1"/>
    <w:rsid w:val="00AB17CC"/>
    <w:rsid w:val="00AB22E1"/>
    <w:rsid w:val="00AB382E"/>
    <w:rsid w:val="00AB3BE8"/>
    <w:rsid w:val="00AB3F8A"/>
    <w:rsid w:val="00AB50EC"/>
    <w:rsid w:val="00AB5CDD"/>
    <w:rsid w:val="00AB5EBA"/>
    <w:rsid w:val="00AB6405"/>
    <w:rsid w:val="00AC0991"/>
    <w:rsid w:val="00AC1803"/>
    <w:rsid w:val="00AC3617"/>
    <w:rsid w:val="00AC3A77"/>
    <w:rsid w:val="00AC4154"/>
    <w:rsid w:val="00AC4C8E"/>
    <w:rsid w:val="00AD052F"/>
    <w:rsid w:val="00AD0FA0"/>
    <w:rsid w:val="00AD0FD9"/>
    <w:rsid w:val="00AD1491"/>
    <w:rsid w:val="00AD158A"/>
    <w:rsid w:val="00AD15CE"/>
    <w:rsid w:val="00AD1CBB"/>
    <w:rsid w:val="00AD1F15"/>
    <w:rsid w:val="00AD21DC"/>
    <w:rsid w:val="00AD295A"/>
    <w:rsid w:val="00AD2BDB"/>
    <w:rsid w:val="00AD3A96"/>
    <w:rsid w:val="00AD3EB3"/>
    <w:rsid w:val="00AD4B84"/>
    <w:rsid w:val="00AD56C2"/>
    <w:rsid w:val="00AD5C5F"/>
    <w:rsid w:val="00AE04C4"/>
    <w:rsid w:val="00AE2299"/>
    <w:rsid w:val="00AE481D"/>
    <w:rsid w:val="00AE509A"/>
    <w:rsid w:val="00AE6054"/>
    <w:rsid w:val="00AE7EA4"/>
    <w:rsid w:val="00AF03C8"/>
    <w:rsid w:val="00AF2064"/>
    <w:rsid w:val="00AF24E8"/>
    <w:rsid w:val="00AF32BC"/>
    <w:rsid w:val="00AF40C6"/>
    <w:rsid w:val="00AF4484"/>
    <w:rsid w:val="00AF46DE"/>
    <w:rsid w:val="00AF4B76"/>
    <w:rsid w:val="00AF62CA"/>
    <w:rsid w:val="00AF66F2"/>
    <w:rsid w:val="00AF7147"/>
    <w:rsid w:val="00AF748D"/>
    <w:rsid w:val="00AF7691"/>
    <w:rsid w:val="00B00267"/>
    <w:rsid w:val="00B012FF"/>
    <w:rsid w:val="00B01659"/>
    <w:rsid w:val="00B03595"/>
    <w:rsid w:val="00B03779"/>
    <w:rsid w:val="00B03D76"/>
    <w:rsid w:val="00B05AA2"/>
    <w:rsid w:val="00B06CF4"/>
    <w:rsid w:val="00B07AEC"/>
    <w:rsid w:val="00B07D87"/>
    <w:rsid w:val="00B10B7D"/>
    <w:rsid w:val="00B10F3E"/>
    <w:rsid w:val="00B11211"/>
    <w:rsid w:val="00B114D9"/>
    <w:rsid w:val="00B12D36"/>
    <w:rsid w:val="00B1362B"/>
    <w:rsid w:val="00B13A5A"/>
    <w:rsid w:val="00B1522C"/>
    <w:rsid w:val="00B15460"/>
    <w:rsid w:val="00B15DCF"/>
    <w:rsid w:val="00B1674B"/>
    <w:rsid w:val="00B1744D"/>
    <w:rsid w:val="00B175EE"/>
    <w:rsid w:val="00B1766A"/>
    <w:rsid w:val="00B17D2F"/>
    <w:rsid w:val="00B20D69"/>
    <w:rsid w:val="00B20F03"/>
    <w:rsid w:val="00B212E7"/>
    <w:rsid w:val="00B21510"/>
    <w:rsid w:val="00B21BD2"/>
    <w:rsid w:val="00B22299"/>
    <w:rsid w:val="00B22511"/>
    <w:rsid w:val="00B253C8"/>
    <w:rsid w:val="00B253E2"/>
    <w:rsid w:val="00B254E6"/>
    <w:rsid w:val="00B254EE"/>
    <w:rsid w:val="00B265EC"/>
    <w:rsid w:val="00B27AB1"/>
    <w:rsid w:val="00B27E78"/>
    <w:rsid w:val="00B334AC"/>
    <w:rsid w:val="00B3380F"/>
    <w:rsid w:val="00B34A8F"/>
    <w:rsid w:val="00B3539E"/>
    <w:rsid w:val="00B373D8"/>
    <w:rsid w:val="00B37A33"/>
    <w:rsid w:val="00B37DC8"/>
    <w:rsid w:val="00B37E6D"/>
    <w:rsid w:val="00B4103F"/>
    <w:rsid w:val="00B4198C"/>
    <w:rsid w:val="00B41A93"/>
    <w:rsid w:val="00B41E18"/>
    <w:rsid w:val="00B432AE"/>
    <w:rsid w:val="00B4374E"/>
    <w:rsid w:val="00B44441"/>
    <w:rsid w:val="00B44869"/>
    <w:rsid w:val="00B44EF3"/>
    <w:rsid w:val="00B45C50"/>
    <w:rsid w:val="00B46930"/>
    <w:rsid w:val="00B470F6"/>
    <w:rsid w:val="00B47361"/>
    <w:rsid w:val="00B4756B"/>
    <w:rsid w:val="00B478A6"/>
    <w:rsid w:val="00B50652"/>
    <w:rsid w:val="00B5166D"/>
    <w:rsid w:val="00B516DD"/>
    <w:rsid w:val="00B51F43"/>
    <w:rsid w:val="00B51F9F"/>
    <w:rsid w:val="00B523E2"/>
    <w:rsid w:val="00B526B1"/>
    <w:rsid w:val="00B52AE6"/>
    <w:rsid w:val="00B52B59"/>
    <w:rsid w:val="00B53DEA"/>
    <w:rsid w:val="00B54C9C"/>
    <w:rsid w:val="00B56414"/>
    <w:rsid w:val="00B5657F"/>
    <w:rsid w:val="00B5683D"/>
    <w:rsid w:val="00B56FD4"/>
    <w:rsid w:val="00B57E53"/>
    <w:rsid w:val="00B607BD"/>
    <w:rsid w:val="00B612EC"/>
    <w:rsid w:val="00B644FC"/>
    <w:rsid w:val="00B64B34"/>
    <w:rsid w:val="00B66332"/>
    <w:rsid w:val="00B66B56"/>
    <w:rsid w:val="00B67806"/>
    <w:rsid w:val="00B67D3F"/>
    <w:rsid w:val="00B713E2"/>
    <w:rsid w:val="00B71C4B"/>
    <w:rsid w:val="00B723AF"/>
    <w:rsid w:val="00B723B7"/>
    <w:rsid w:val="00B725EB"/>
    <w:rsid w:val="00B737C9"/>
    <w:rsid w:val="00B738FE"/>
    <w:rsid w:val="00B73985"/>
    <w:rsid w:val="00B73F3F"/>
    <w:rsid w:val="00B74662"/>
    <w:rsid w:val="00B74754"/>
    <w:rsid w:val="00B74A28"/>
    <w:rsid w:val="00B75B73"/>
    <w:rsid w:val="00B75BA6"/>
    <w:rsid w:val="00B75EB7"/>
    <w:rsid w:val="00B761FC"/>
    <w:rsid w:val="00B765CB"/>
    <w:rsid w:val="00B7757B"/>
    <w:rsid w:val="00B7783F"/>
    <w:rsid w:val="00B77DBC"/>
    <w:rsid w:val="00B8045B"/>
    <w:rsid w:val="00B81081"/>
    <w:rsid w:val="00B826AB"/>
    <w:rsid w:val="00B82F94"/>
    <w:rsid w:val="00B834EF"/>
    <w:rsid w:val="00B83541"/>
    <w:rsid w:val="00B84A90"/>
    <w:rsid w:val="00B84FCC"/>
    <w:rsid w:val="00B85A17"/>
    <w:rsid w:val="00B863AB"/>
    <w:rsid w:val="00B9066E"/>
    <w:rsid w:val="00B9110E"/>
    <w:rsid w:val="00B9213E"/>
    <w:rsid w:val="00B9348E"/>
    <w:rsid w:val="00B957B9"/>
    <w:rsid w:val="00B965AB"/>
    <w:rsid w:val="00B96993"/>
    <w:rsid w:val="00B971F7"/>
    <w:rsid w:val="00B974DD"/>
    <w:rsid w:val="00B975FF"/>
    <w:rsid w:val="00B97671"/>
    <w:rsid w:val="00B97B95"/>
    <w:rsid w:val="00BA00F7"/>
    <w:rsid w:val="00BA0D02"/>
    <w:rsid w:val="00BA0FA5"/>
    <w:rsid w:val="00BA10D9"/>
    <w:rsid w:val="00BA1231"/>
    <w:rsid w:val="00BA1BA3"/>
    <w:rsid w:val="00BA2A04"/>
    <w:rsid w:val="00BA3418"/>
    <w:rsid w:val="00BA36EF"/>
    <w:rsid w:val="00BA4B87"/>
    <w:rsid w:val="00BA60E5"/>
    <w:rsid w:val="00BA6979"/>
    <w:rsid w:val="00BA6E6B"/>
    <w:rsid w:val="00BA7002"/>
    <w:rsid w:val="00BB1AE7"/>
    <w:rsid w:val="00BB34AC"/>
    <w:rsid w:val="00BB35F1"/>
    <w:rsid w:val="00BB36D2"/>
    <w:rsid w:val="00BB38C6"/>
    <w:rsid w:val="00BB4583"/>
    <w:rsid w:val="00BB518F"/>
    <w:rsid w:val="00BB616F"/>
    <w:rsid w:val="00BB62BE"/>
    <w:rsid w:val="00BB65B9"/>
    <w:rsid w:val="00BB6613"/>
    <w:rsid w:val="00BB79A4"/>
    <w:rsid w:val="00BC0D86"/>
    <w:rsid w:val="00BC1D15"/>
    <w:rsid w:val="00BC1E70"/>
    <w:rsid w:val="00BC229B"/>
    <w:rsid w:val="00BC3067"/>
    <w:rsid w:val="00BC363D"/>
    <w:rsid w:val="00BC3DE3"/>
    <w:rsid w:val="00BC4203"/>
    <w:rsid w:val="00BC4288"/>
    <w:rsid w:val="00BC489D"/>
    <w:rsid w:val="00BC5381"/>
    <w:rsid w:val="00BC6524"/>
    <w:rsid w:val="00BC7BB1"/>
    <w:rsid w:val="00BC7E3B"/>
    <w:rsid w:val="00BC7EE3"/>
    <w:rsid w:val="00BD07A5"/>
    <w:rsid w:val="00BD0D0F"/>
    <w:rsid w:val="00BD1C99"/>
    <w:rsid w:val="00BD4B21"/>
    <w:rsid w:val="00BD53D5"/>
    <w:rsid w:val="00BD57CA"/>
    <w:rsid w:val="00BD68F1"/>
    <w:rsid w:val="00BD6D84"/>
    <w:rsid w:val="00BD6DB5"/>
    <w:rsid w:val="00BD6FF1"/>
    <w:rsid w:val="00BD71F8"/>
    <w:rsid w:val="00BD74E1"/>
    <w:rsid w:val="00BD7A1D"/>
    <w:rsid w:val="00BD7F0D"/>
    <w:rsid w:val="00BE0250"/>
    <w:rsid w:val="00BE09D3"/>
    <w:rsid w:val="00BE0B1F"/>
    <w:rsid w:val="00BE20AD"/>
    <w:rsid w:val="00BE2542"/>
    <w:rsid w:val="00BE2887"/>
    <w:rsid w:val="00BE2ABB"/>
    <w:rsid w:val="00BE4754"/>
    <w:rsid w:val="00BE543A"/>
    <w:rsid w:val="00BE582E"/>
    <w:rsid w:val="00BE62A9"/>
    <w:rsid w:val="00BE642C"/>
    <w:rsid w:val="00BE6CAC"/>
    <w:rsid w:val="00BE7108"/>
    <w:rsid w:val="00BF158E"/>
    <w:rsid w:val="00BF2F7E"/>
    <w:rsid w:val="00BF389A"/>
    <w:rsid w:val="00BF3A26"/>
    <w:rsid w:val="00BF43D8"/>
    <w:rsid w:val="00BF49D5"/>
    <w:rsid w:val="00BF7060"/>
    <w:rsid w:val="00BF79DB"/>
    <w:rsid w:val="00BF7E1C"/>
    <w:rsid w:val="00C0191B"/>
    <w:rsid w:val="00C023B5"/>
    <w:rsid w:val="00C02A2A"/>
    <w:rsid w:val="00C03269"/>
    <w:rsid w:val="00C03BB3"/>
    <w:rsid w:val="00C03C7A"/>
    <w:rsid w:val="00C03F2B"/>
    <w:rsid w:val="00C0414D"/>
    <w:rsid w:val="00C0426E"/>
    <w:rsid w:val="00C04429"/>
    <w:rsid w:val="00C045AD"/>
    <w:rsid w:val="00C05DD5"/>
    <w:rsid w:val="00C067EC"/>
    <w:rsid w:val="00C06DC9"/>
    <w:rsid w:val="00C1046E"/>
    <w:rsid w:val="00C11AA8"/>
    <w:rsid w:val="00C12138"/>
    <w:rsid w:val="00C124E7"/>
    <w:rsid w:val="00C1266A"/>
    <w:rsid w:val="00C12830"/>
    <w:rsid w:val="00C12CDF"/>
    <w:rsid w:val="00C147AE"/>
    <w:rsid w:val="00C14F69"/>
    <w:rsid w:val="00C15D52"/>
    <w:rsid w:val="00C17499"/>
    <w:rsid w:val="00C175CE"/>
    <w:rsid w:val="00C17825"/>
    <w:rsid w:val="00C179C5"/>
    <w:rsid w:val="00C17DDD"/>
    <w:rsid w:val="00C20B41"/>
    <w:rsid w:val="00C218D1"/>
    <w:rsid w:val="00C2266B"/>
    <w:rsid w:val="00C228DC"/>
    <w:rsid w:val="00C237F0"/>
    <w:rsid w:val="00C25630"/>
    <w:rsid w:val="00C25A25"/>
    <w:rsid w:val="00C27448"/>
    <w:rsid w:val="00C30364"/>
    <w:rsid w:val="00C3056A"/>
    <w:rsid w:val="00C305D9"/>
    <w:rsid w:val="00C317C8"/>
    <w:rsid w:val="00C31C8F"/>
    <w:rsid w:val="00C323A9"/>
    <w:rsid w:val="00C34EA3"/>
    <w:rsid w:val="00C35AFB"/>
    <w:rsid w:val="00C36661"/>
    <w:rsid w:val="00C36A22"/>
    <w:rsid w:val="00C40B9B"/>
    <w:rsid w:val="00C416A0"/>
    <w:rsid w:val="00C4172B"/>
    <w:rsid w:val="00C4175C"/>
    <w:rsid w:val="00C41D2A"/>
    <w:rsid w:val="00C42AA5"/>
    <w:rsid w:val="00C43081"/>
    <w:rsid w:val="00C4575C"/>
    <w:rsid w:val="00C45D35"/>
    <w:rsid w:val="00C4604A"/>
    <w:rsid w:val="00C46C7D"/>
    <w:rsid w:val="00C47B5A"/>
    <w:rsid w:val="00C502B9"/>
    <w:rsid w:val="00C503D9"/>
    <w:rsid w:val="00C515AC"/>
    <w:rsid w:val="00C51EF5"/>
    <w:rsid w:val="00C52D62"/>
    <w:rsid w:val="00C52DB6"/>
    <w:rsid w:val="00C52EA8"/>
    <w:rsid w:val="00C53E5E"/>
    <w:rsid w:val="00C541D9"/>
    <w:rsid w:val="00C54735"/>
    <w:rsid w:val="00C5520A"/>
    <w:rsid w:val="00C5556D"/>
    <w:rsid w:val="00C55820"/>
    <w:rsid w:val="00C56426"/>
    <w:rsid w:val="00C56B03"/>
    <w:rsid w:val="00C56C96"/>
    <w:rsid w:val="00C579F9"/>
    <w:rsid w:val="00C60C7C"/>
    <w:rsid w:val="00C61B44"/>
    <w:rsid w:val="00C63438"/>
    <w:rsid w:val="00C63DBE"/>
    <w:rsid w:val="00C643F6"/>
    <w:rsid w:val="00C64EA0"/>
    <w:rsid w:val="00C657B4"/>
    <w:rsid w:val="00C657E4"/>
    <w:rsid w:val="00C65BDC"/>
    <w:rsid w:val="00C65C15"/>
    <w:rsid w:val="00C662CC"/>
    <w:rsid w:val="00C67175"/>
    <w:rsid w:val="00C67AE4"/>
    <w:rsid w:val="00C67E04"/>
    <w:rsid w:val="00C70183"/>
    <w:rsid w:val="00C70268"/>
    <w:rsid w:val="00C7032D"/>
    <w:rsid w:val="00C708FC"/>
    <w:rsid w:val="00C70AE8"/>
    <w:rsid w:val="00C70BDE"/>
    <w:rsid w:val="00C70D07"/>
    <w:rsid w:val="00C722DA"/>
    <w:rsid w:val="00C727EC"/>
    <w:rsid w:val="00C727F8"/>
    <w:rsid w:val="00C7546F"/>
    <w:rsid w:val="00C7568E"/>
    <w:rsid w:val="00C76607"/>
    <w:rsid w:val="00C77634"/>
    <w:rsid w:val="00C776EE"/>
    <w:rsid w:val="00C8195B"/>
    <w:rsid w:val="00C82948"/>
    <w:rsid w:val="00C83718"/>
    <w:rsid w:val="00C845B0"/>
    <w:rsid w:val="00C85211"/>
    <w:rsid w:val="00C85BF4"/>
    <w:rsid w:val="00C86560"/>
    <w:rsid w:val="00C907D0"/>
    <w:rsid w:val="00C9081A"/>
    <w:rsid w:val="00C90D06"/>
    <w:rsid w:val="00C90F08"/>
    <w:rsid w:val="00C92A95"/>
    <w:rsid w:val="00C93603"/>
    <w:rsid w:val="00C93EE9"/>
    <w:rsid w:val="00C942EE"/>
    <w:rsid w:val="00C96A32"/>
    <w:rsid w:val="00C97A42"/>
    <w:rsid w:val="00CA1B42"/>
    <w:rsid w:val="00CA1D66"/>
    <w:rsid w:val="00CA2AA9"/>
    <w:rsid w:val="00CA310C"/>
    <w:rsid w:val="00CA3BEC"/>
    <w:rsid w:val="00CA45E4"/>
    <w:rsid w:val="00CA5162"/>
    <w:rsid w:val="00CA5801"/>
    <w:rsid w:val="00CA6D19"/>
    <w:rsid w:val="00CB0BF4"/>
    <w:rsid w:val="00CB13BC"/>
    <w:rsid w:val="00CB14F9"/>
    <w:rsid w:val="00CB1D22"/>
    <w:rsid w:val="00CB1EB8"/>
    <w:rsid w:val="00CB360F"/>
    <w:rsid w:val="00CB450B"/>
    <w:rsid w:val="00CB5FB3"/>
    <w:rsid w:val="00CB6E77"/>
    <w:rsid w:val="00CC03A5"/>
    <w:rsid w:val="00CC1BB3"/>
    <w:rsid w:val="00CC225C"/>
    <w:rsid w:val="00CC27F8"/>
    <w:rsid w:val="00CC3FF9"/>
    <w:rsid w:val="00CC48F5"/>
    <w:rsid w:val="00CC4ACF"/>
    <w:rsid w:val="00CC4C08"/>
    <w:rsid w:val="00CC580C"/>
    <w:rsid w:val="00CC694C"/>
    <w:rsid w:val="00CC6D85"/>
    <w:rsid w:val="00CC723C"/>
    <w:rsid w:val="00CC785B"/>
    <w:rsid w:val="00CD1512"/>
    <w:rsid w:val="00CD1CF2"/>
    <w:rsid w:val="00CD24A0"/>
    <w:rsid w:val="00CD29E6"/>
    <w:rsid w:val="00CD35FE"/>
    <w:rsid w:val="00CD36A3"/>
    <w:rsid w:val="00CD3821"/>
    <w:rsid w:val="00CD6230"/>
    <w:rsid w:val="00CD6B5C"/>
    <w:rsid w:val="00CE0309"/>
    <w:rsid w:val="00CE0881"/>
    <w:rsid w:val="00CE131A"/>
    <w:rsid w:val="00CE14D0"/>
    <w:rsid w:val="00CE18C9"/>
    <w:rsid w:val="00CE18FE"/>
    <w:rsid w:val="00CE2CA8"/>
    <w:rsid w:val="00CE313A"/>
    <w:rsid w:val="00CE4043"/>
    <w:rsid w:val="00CE503A"/>
    <w:rsid w:val="00CE6EFA"/>
    <w:rsid w:val="00CE7D94"/>
    <w:rsid w:val="00CF0434"/>
    <w:rsid w:val="00CF14A5"/>
    <w:rsid w:val="00CF3AC1"/>
    <w:rsid w:val="00CF3CC3"/>
    <w:rsid w:val="00CF5012"/>
    <w:rsid w:val="00CF53D6"/>
    <w:rsid w:val="00CF5740"/>
    <w:rsid w:val="00CF5919"/>
    <w:rsid w:val="00CF6359"/>
    <w:rsid w:val="00CF6410"/>
    <w:rsid w:val="00CF7BEF"/>
    <w:rsid w:val="00D0067B"/>
    <w:rsid w:val="00D0109C"/>
    <w:rsid w:val="00D0359B"/>
    <w:rsid w:val="00D03ADB"/>
    <w:rsid w:val="00D078E2"/>
    <w:rsid w:val="00D10207"/>
    <w:rsid w:val="00D11783"/>
    <w:rsid w:val="00D12262"/>
    <w:rsid w:val="00D122E9"/>
    <w:rsid w:val="00D1274C"/>
    <w:rsid w:val="00D12F6C"/>
    <w:rsid w:val="00D134F4"/>
    <w:rsid w:val="00D14F8D"/>
    <w:rsid w:val="00D15DE5"/>
    <w:rsid w:val="00D16502"/>
    <w:rsid w:val="00D206B2"/>
    <w:rsid w:val="00D21515"/>
    <w:rsid w:val="00D21D6A"/>
    <w:rsid w:val="00D220FF"/>
    <w:rsid w:val="00D23749"/>
    <w:rsid w:val="00D23C8D"/>
    <w:rsid w:val="00D24D83"/>
    <w:rsid w:val="00D24E93"/>
    <w:rsid w:val="00D25127"/>
    <w:rsid w:val="00D26294"/>
    <w:rsid w:val="00D26816"/>
    <w:rsid w:val="00D27180"/>
    <w:rsid w:val="00D27707"/>
    <w:rsid w:val="00D27884"/>
    <w:rsid w:val="00D347C4"/>
    <w:rsid w:val="00D34B88"/>
    <w:rsid w:val="00D35017"/>
    <w:rsid w:val="00D3739A"/>
    <w:rsid w:val="00D37CE4"/>
    <w:rsid w:val="00D37FBD"/>
    <w:rsid w:val="00D4141F"/>
    <w:rsid w:val="00D41820"/>
    <w:rsid w:val="00D44118"/>
    <w:rsid w:val="00D44190"/>
    <w:rsid w:val="00D450A8"/>
    <w:rsid w:val="00D45C0A"/>
    <w:rsid w:val="00D467E3"/>
    <w:rsid w:val="00D46FCB"/>
    <w:rsid w:val="00D50411"/>
    <w:rsid w:val="00D504FB"/>
    <w:rsid w:val="00D505A7"/>
    <w:rsid w:val="00D50A77"/>
    <w:rsid w:val="00D522A2"/>
    <w:rsid w:val="00D52530"/>
    <w:rsid w:val="00D54450"/>
    <w:rsid w:val="00D556CC"/>
    <w:rsid w:val="00D55A3E"/>
    <w:rsid w:val="00D55B71"/>
    <w:rsid w:val="00D562A3"/>
    <w:rsid w:val="00D570FA"/>
    <w:rsid w:val="00D57C7A"/>
    <w:rsid w:val="00D6011A"/>
    <w:rsid w:val="00D60160"/>
    <w:rsid w:val="00D60A5C"/>
    <w:rsid w:val="00D6119A"/>
    <w:rsid w:val="00D6169D"/>
    <w:rsid w:val="00D61A16"/>
    <w:rsid w:val="00D620D1"/>
    <w:rsid w:val="00D62689"/>
    <w:rsid w:val="00D63661"/>
    <w:rsid w:val="00D650DE"/>
    <w:rsid w:val="00D65DE9"/>
    <w:rsid w:val="00D65E10"/>
    <w:rsid w:val="00D66076"/>
    <w:rsid w:val="00D66442"/>
    <w:rsid w:val="00D679CD"/>
    <w:rsid w:val="00D67AFE"/>
    <w:rsid w:val="00D70735"/>
    <w:rsid w:val="00D71483"/>
    <w:rsid w:val="00D716C6"/>
    <w:rsid w:val="00D719F1"/>
    <w:rsid w:val="00D721E7"/>
    <w:rsid w:val="00D73A72"/>
    <w:rsid w:val="00D751A1"/>
    <w:rsid w:val="00D7610D"/>
    <w:rsid w:val="00D76C33"/>
    <w:rsid w:val="00D803E4"/>
    <w:rsid w:val="00D803F9"/>
    <w:rsid w:val="00D80779"/>
    <w:rsid w:val="00D80885"/>
    <w:rsid w:val="00D813CA"/>
    <w:rsid w:val="00D81987"/>
    <w:rsid w:val="00D81A69"/>
    <w:rsid w:val="00D81DAC"/>
    <w:rsid w:val="00D82629"/>
    <w:rsid w:val="00D830C7"/>
    <w:rsid w:val="00D8316F"/>
    <w:rsid w:val="00D83AF7"/>
    <w:rsid w:val="00D84294"/>
    <w:rsid w:val="00D847EE"/>
    <w:rsid w:val="00D84C87"/>
    <w:rsid w:val="00D854EC"/>
    <w:rsid w:val="00D860CD"/>
    <w:rsid w:val="00D86126"/>
    <w:rsid w:val="00D87006"/>
    <w:rsid w:val="00D873E9"/>
    <w:rsid w:val="00D9013C"/>
    <w:rsid w:val="00D908A3"/>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3FCC"/>
    <w:rsid w:val="00DA4373"/>
    <w:rsid w:val="00DA4FB4"/>
    <w:rsid w:val="00DA5A09"/>
    <w:rsid w:val="00DA618E"/>
    <w:rsid w:val="00DA673A"/>
    <w:rsid w:val="00DA6EB5"/>
    <w:rsid w:val="00DA7BF3"/>
    <w:rsid w:val="00DB06F5"/>
    <w:rsid w:val="00DB0B48"/>
    <w:rsid w:val="00DB111A"/>
    <w:rsid w:val="00DB1E35"/>
    <w:rsid w:val="00DB227A"/>
    <w:rsid w:val="00DB4235"/>
    <w:rsid w:val="00DB5286"/>
    <w:rsid w:val="00DB53B7"/>
    <w:rsid w:val="00DB5437"/>
    <w:rsid w:val="00DB5567"/>
    <w:rsid w:val="00DB57AE"/>
    <w:rsid w:val="00DB5E15"/>
    <w:rsid w:val="00DB6A79"/>
    <w:rsid w:val="00DB6F5A"/>
    <w:rsid w:val="00DB7294"/>
    <w:rsid w:val="00DB7632"/>
    <w:rsid w:val="00DB770C"/>
    <w:rsid w:val="00DC085D"/>
    <w:rsid w:val="00DC0E3A"/>
    <w:rsid w:val="00DC12C9"/>
    <w:rsid w:val="00DC1769"/>
    <w:rsid w:val="00DC1934"/>
    <w:rsid w:val="00DC1BF7"/>
    <w:rsid w:val="00DC1C7C"/>
    <w:rsid w:val="00DC1FFA"/>
    <w:rsid w:val="00DC35C6"/>
    <w:rsid w:val="00DC45A8"/>
    <w:rsid w:val="00DC4CD8"/>
    <w:rsid w:val="00DC5123"/>
    <w:rsid w:val="00DC6078"/>
    <w:rsid w:val="00DC7E98"/>
    <w:rsid w:val="00DD0A8B"/>
    <w:rsid w:val="00DD13A0"/>
    <w:rsid w:val="00DD1784"/>
    <w:rsid w:val="00DD2A88"/>
    <w:rsid w:val="00DD35D6"/>
    <w:rsid w:val="00DD3874"/>
    <w:rsid w:val="00DD3D2E"/>
    <w:rsid w:val="00DD4265"/>
    <w:rsid w:val="00DD4C47"/>
    <w:rsid w:val="00DD5D23"/>
    <w:rsid w:val="00DD6055"/>
    <w:rsid w:val="00DD6F2E"/>
    <w:rsid w:val="00DD7107"/>
    <w:rsid w:val="00DD7A82"/>
    <w:rsid w:val="00DE0A15"/>
    <w:rsid w:val="00DE11D3"/>
    <w:rsid w:val="00DE1CC1"/>
    <w:rsid w:val="00DE23E8"/>
    <w:rsid w:val="00DE283A"/>
    <w:rsid w:val="00DE2DC7"/>
    <w:rsid w:val="00DE2FF9"/>
    <w:rsid w:val="00DE4FCB"/>
    <w:rsid w:val="00DE52E6"/>
    <w:rsid w:val="00DE5CB4"/>
    <w:rsid w:val="00DE6222"/>
    <w:rsid w:val="00DE6435"/>
    <w:rsid w:val="00DE7018"/>
    <w:rsid w:val="00DF0428"/>
    <w:rsid w:val="00DF0522"/>
    <w:rsid w:val="00DF127A"/>
    <w:rsid w:val="00DF1CBB"/>
    <w:rsid w:val="00DF225D"/>
    <w:rsid w:val="00DF3402"/>
    <w:rsid w:val="00DF428A"/>
    <w:rsid w:val="00DF58D7"/>
    <w:rsid w:val="00DF5D9C"/>
    <w:rsid w:val="00DF6F65"/>
    <w:rsid w:val="00DF7723"/>
    <w:rsid w:val="00DF7B16"/>
    <w:rsid w:val="00E01A50"/>
    <w:rsid w:val="00E01B37"/>
    <w:rsid w:val="00E01FB1"/>
    <w:rsid w:val="00E02295"/>
    <w:rsid w:val="00E026C6"/>
    <w:rsid w:val="00E029DA"/>
    <w:rsid w:val="00E02A1D"/>
    <w:rsid w:val="00E02E03"/>
    <w:rsid w:val="00E03590"/>
    <w:rsid w:val="00E03CFA"/>
    <w:rsid w:val="00E03FD4"/>
    <w:rsid w:val="00E04242"/>
    <w:rsid w:val="00E04AD6"/>
    <w:rsid w:val="00E04B98"/>
    <w:rsid w:val="00E04DA8"/>
    <w:rsid w:val="00E05F6A"/>
    <w:rsid w:val="00E0630D"/>
    <w:rsid w:val="00E063DE"/>
    <w:rsid w:val="00E0648D"/>
    <w:rsid w:val="00E06514"/>
    <w:rsid w:val="00E06C40"/>
    <w:rsid w:val="00E10633"/>
    <w:rsid w:val="00E10ED4"/>
    <w:rsid w:val="00E11A21"/>
    <w:rsid w:val="00E120C3"/>
    <w:rsid w:val="00E12C9E"/>
    <w:rsid w:val="00E12CD1"/>
    <w:rsid w:val="00E1397C"/>
    <w:rsid w:val="00E139C0"/>
    <w:rsid w:val="00E13AE5"/>
    <w:rsid w:val="00E14E03"/>
    <w:rsid w:val="00E14E59"/>
    <w:rsid w:val="00E1647B"/>
    <w:rsid w:val="00E16D0E"/>
    <w:rsid w:val="00E16F20"/>
    <w:rsid w:val="00E17C2A"/>
    <w:rsid w:val="00E17CAD"/>
    <w:rsid w:val="00E22294"/>
    <w:rsid w:val="00E22C01"/>
    <w:rsid w:val="00E22FDB"/>
    <w:rsid w:val="00E23583"/>
    <w:rsid w:val="00E2372C"/>
    <w:rsid w:val="00E2380E"/>
    <w:rsid w:val="00E23CCC"/>
    <w:rsid w:val="00E23D83"/>
    <w:rsid w:val="00E249FE"/>
    <w:rsid w:val="00E25913"/>
    <w:rsid w:val="00E2599B"/>
    <w:rsid w:val="00E261F6"/>
    <w:rsid w:val="00E266A3"/>
    <w:rsid w:val="00E27344"/>
    <w:rsid w:val="00E302BC"/>
    <w:rsid w:val="00E30384"/>
    <w:rsid w:val="00E30CC4"/>
    <w:rsid w:val="00E3173F"/>
    <w:rsid w:val="00E31BF9"/>
    <w:rsid w:val="00E31D7E"/>
    <w:rsid w:val="00E32226"/>
    <w:rsid w:val="00E3316F"/>
    <w:rsid w:val="00E33C5B"/>
    <w:rsid w:val="00E34E9C"/>
    <w:rsid w:val="00E359F9"/>
    <w:rsid w:val="00E373B3"/>
    <w:rsid w:val="00E40DB3"/>
    <w:rsid w:val="00E4100A"/>
    <w:rsid w:val="00E41674"/>
    <w:rsid w:val="00E41B7F"/>
    <w:rsid w:val="00E422E1"/>
    <w:rsid w:val="00E43789"/>
    <w:rsid w:val="00E447D8"/>
    <w:rsid w:val="00E44A12"/>
    <w:rsid w:val="00E44E30"/>
    <w:rsid w:val="00E4573F"/>
    <w:rsid w:val="00E468A3"/>
    <w:rsid w:val="00E46A1F"/>
    <w:rsid w:val="00E4773C"/>
    <w:rsid w:val="00E47803"/>
    <w:rsid w:val="00E50F04"/>
    <w:rsid w:val="00E53D76"/>
    <w:rsid w:val="00E54900"/>
    <w:rsid w:val="00E5521C"/>
    <w:rsid w:val="00E555A4"/>
    <w:rsid w:val="00E56448"/>
    <w:rsid w:val="00E577EE"/>
    <w:rsid w:val="00E60092"/>
    <w:rsid w:val="00E60E18"/>
    <w:rsid w:val="00E61D38"/>
    <w:rsid w:val="00E62EFF"/>
    <w:rsid w:val="00E64637"/>
    <w:rsid w:val="00E64E5A"/>
    <w:rsid w:val="00E651E3"/>
    <w:rsid w:val="00E659EB"/>
    <w:rsid w:val="00E65AC1"/>
    <w:rsid w:val="00E66223"/>
    <w:rsid w:val="00E66248"/>
    <w:rsid w:val="00E708CB"/>
    <w:rsid w:val="00E70A33"/>
    <w:rsid w:val="00E714D5"/>
    <w:rsid w:val="00E72707"/>
    <w:rsid w:val="00E73231"/>
    <w:rsid w:val="00E738A1"/>
    <w:rsid w:val="00E73F33"/>
    <w:rsid w:val="00E74441"/>
    <w:rsid w:val="00E76203"/>
    <w:rsid w:val="00E77BB0"/>
    <w:rsid w:val="00E80008"/>
    <w:rsid w:val="00E80599"/>
    <w:rsid w:val="00E80733"/>
    <w:rsid w:val="00E810CC"/>
    <w:rsid w:val="00E815CC"/>
    <w:rsid w:val="00E83DFF"/>
    <w:rsid w:val="00E8410F"/>
    <w:rsid w:val="00E84699"/>
    <w:rsid w:val="00E86372"/>
    <w:rsid w:val="00E86DDE"/>
    <w:rsid w:val="00E870D4"/>
    <w:rsid w:val="00E9025E"/>
    <w:rsid w:val="00E90307"/>
    <w:rsid w:val="00E9044A"/>
    <w:rsid w:val="00E90B2C"/>
    <w:rsid w:val="00E92AE2"/>
    <w:rsid w:val="00E92C72"/>
    <w:rsid w:val="00E92DB3"/>
    <w:rsid w:val="00E92E8A"/>
    <w:rsid w:val="00E939EC"/>
    <w:rsid w:val="00E93D44"/>
    <w:rsid w:val="00E94856"/>
    <w:rsid w:val="00E94978"/>
    <w:rsid w:val="00E949F6"/>
    <w:rsid w:val="00E94A3D"/>
    <w:rsid w:val="00E94F83"/>
    <w:rsid w:val="00E95084"/>
    <w:rsid w:val="00E9512B"/>
    <w:rsid w:val="00E95995"/>
    <w:rsid w:val="00E95C99"/>
    <w:rsid w:val="00E9669E"/>
    <w:rsid w:val="00E97D9E"/>
    <w:rsid w:val="00E97E2D"/>
    <w:rsid w:val="00EA0330"/>
    <w:rsid w:val="00EA0BC8"/>
    <w:rsid w:val="00EA18DA"/>
    <w:rsid w:val="00EA1EA3"/>
    <w:rsid w:val="00EA262B"/>
    <w:rsid w:val="00EA380E"/>
    <w:rsid w:val="00EA47C7"/>
    <w:rsid w:val="00EA4ACC"/>
    <w:rsid w:val="00EA5312"/>
    <w:rsid w:val="00EA5BDF"/>
    <w:rsid w:val="00EA7062"/>
    <w:rsid w:val="00EA7756"/>
    <w:rsid w:val="00EB09D0"/>
    <w:rsid w:val="00EB11B8"/>
    <w:rsid w:val="00EB1223"/>
    <w:rsid w:val="00EB149D"/>
    <w:rsid w:val="00EB26A0"/>
    <w:rsid w:val="00EB3645"/>
    <w:rsid w:val="00EB3943"/>
    <w:rsid w:val="00EB3DA4"/>
    <w:rsid w:val="00EB4FEB"/>
    <w:rsid w:val="00EB591D"/>
    <w:rsid w:val="00EB6F06"/>
    <w:rsid w:val="00EB6F7C"/>
    <w:rsid w:val="00EB7F5D"/>
    <w:rsid w:val="00EC0FFB"/>
    <w:rsid w:val="00EC2089"/>
    <w:rsid w:val="00EC3DA2"/>
    <w:rsid w:val="00EC488E"/>
    <w:rsid w:val="00EC504C"/>
    <w:rsid w:val="00EC54BC"/>
    <w:rsid w:val="00EC57E1"/>
    <w:rsid w:val="00EC667A"/>
    <w:rsid w:val="00EC6E5E"/>
    <w:rsid w:val="00EC7413"/>
    <w:rsid w:val="00EC7468"/>
    <w:rsid w:val="00EC749E"/>
    <w:rsid w:val="00ED0176"/>
    <w:rsid w:val="00ED0F80"/>
    <w:rsid w:val="00ED0FDA"/>
    <w:rsid w:val="00ED1EE1"/>
    <w:rsid w:val="00ED22F6"/>
    <w:rsid w:val="00ED2366"/>
    <w:rsid w:val="00ED358E"/>
    <w:rsid w:val="00ED38E0"/>
    <w:rsid w:val="00ED3953"/>
    <w:rsid w:val="00ED3993"/>
    <w:rsid w:val="00ED39A1"/>
    <w:rsid w:val="00ED545D"/>
    <w:rsid w:val="00ED54B0"/>
    <w:rsid w:val="00ED5802"/>
    <w:rsid w:val="00ED623A"/>
    <w:rsid w:val="00ED6AC5"/>
    <w:rsid w:val="00ED7CB2"/>
    <w:rsid w:val="00EE19F2"/>
    <w:rsid w:val="00EE2C5A"/>
    <w:rsid w:val="00EE4E75"/>
    <w:rsid w:val="00EE6BF6"/>
    <w:rsid w:val="00EE6FFA"/>
    <w:rsid w:val="00EE729B"/>
    <w:rsid w:val="00EE74B2"/>
    <w:rsid w:val="00EE75CB"/>
    <w:rsid w:val="00EE7F56"/>
    <w:rsid w:val="00EF0965"/>
    <w:rsid w:val="00EF0B44"/>
    <w:rsid w:val="00EF1735"/>
    <w:rsid w:val="00EF1DCD"/>
    <w:rsid w:val="00EF1F87"/>
    <w:rsid w:val="00EF21EE"/>
    <w:rsid w:val="00EF4176"/>
    <w:rsid w:val="00EF41DE"/>
    <w:rsid w:val="00EF454C"/>
    <w:rsid w:val="00EF483C"/>
    <w:rsid w:val="00EF48B7"/>
    <w:rsid w:val="00EF5004"/>
    <w:rsid w:val="00EF5564"/>
    <w:rsid w:val="00EF5A5C"/>
    <w:rsid w:val="00EF5B8B"/>
    <w:rsid w:val="00EF6970"/>
    <w:rsid w:val="00EF6B8A"/>
    <w:rsid w:val="00F00047"/>
    <w:rsid w:val="00F00789"/>
    <w:rsid w:val="00F00CD9"/>
    <w:rsid w:val="00F012FD"/>
    <w:rsid w:val="00F0203E"/>
    <w:rsid w:val="00F0330A"/>
    <w:rsid w:val="00F03E7B"/>
    <w:rsid w:val="00F060ED"/>
    <w:rsid w:val="00F06309"/>
    <w:rsid w:val="00F06CAE"/>
    <w:rsid w:val="00F06CB4"/>
    <w:rsid w:val="00F07F24"/>
    <w:rsid w:val="00F10AB1"/>
    <w:rsid w:val="00F111CE"/>
    <w:rsid w:val="00F118D3"/>
    <w:rsid w:val="00F1192A"/>
    <w:rsid w:val="00F12EEA"/>
    <w:rsid w:val="00F14476"/>
    <w:rsid w:val="00F149E4"/>
    <w:rsid w:val="00F1518C"/>
    <w:rsid w:val="00F15864"/>
    <w:rsid w:val="00F15B3D"/>
    <w:rsid w:val="00F1605F"/>
    <w:rsid w:val="00F16E50"/>
    <w:rsid w:val="00F171D6"/>
    <w:rsid w:val="00F17937"/>
    <w:rsid w:val="00F17BAD"/>
    <w:rsid w:val="00F17FDD"/>
    <w:rsid w:val="00F20A9C"/>
    <w:rsid w:val="00F21DAD"/>
    <w:rsid w:val="00F221B5"/>
    <w:rsid w:val="00F239DE"/>
    <w:rsid w:val="00F247ED"/>
    <w:rsid w:val="00F248A3"/>
    <w:rsid w:val="00F250DF"/>
    <w:rsid w:val="00F2526B"/>
    <w:rsid w:val="00F254E7"/>
    <w:rsid w:val="00F25C5B"/>
    <w:rsid w:val="00F260EC"/>
    <w:rsid w:val="00F278A6"/>
    <w:rsid w:val="00F30412"/>
    <w:rsid w:val="00F31C06"/>
    <w:rsid w:val="00F35904"/>
    <w:rsid w:val="00F35EBC"/>
    <w:rsid w:val="00F36FBE"/>
    <w:rsid w:val="00F40FA9"/>
    <w:rsid w:val="00F4105E"/>
    <w:rsid w:val="00F428F4"/>
    <w:rsid w:val="00F42DD2"/>
    <w:rsid w:val="00F43773"/>
    <w:rsid w:val="00F44CC0"/>
    <w:rsid w:val="00F45651"/>
    <w:rsid w:val="00F46424"/>
    <w:rsid w:val="00F47D23"/>
    <w:rsid w:val="00F502B8"/>
    <w:rsid w:val="00F50D42"/>
    <w:rsid w:val="00F51227"/>
    <w:rsid w:val="00F51BDC"/>
    <w:rsid w:val="00F51D5E"/>
    <w:rsid w:val="00F52A06"/>
    <w:rsid w:val="00F52B38"/>
    <w:rsid w:val="00F53E16"/>
    <w:rsid w:val="00F54DB1"/>
    <w:rsid w:val="00F56223"/>
    <w:rsid w:val="00F60B50"/>
    <w:rsid w:val="00F61004"/>
    <w:rsid w:val="00F624A2"/>
    <w:rsid w:val="00F62B98"/>
    <w:rsid w:val="00F641A2"/>
    <w:rsid w:val="00F65053"/>
    <w:rsid w:val="00F650C5"/>
    <w:rsid w:val="00F6572C"/>
    <w:rsid w:val="00F657C9"/>
    <w:rsid w:val="00F6599E"/>
    <w:rsid w:val="00F65B55"/>
    <w:rsid w:val="00F704FB"/>
    <w:rsid w:val="00F7184D"/>
    <w:rsid w:val="00F720DE"/>
    <w:rsid w:val="00F72108"/>
    <w:rsid w:val="00F72C55"/>
    <w:rsid w:val="00F72D70"/>
    <w:rsid w:val="00F72E51"/>
    <w:rsid w:val="00F73C3C"/>
    <w:rsid w:val="00F740B2"/>
    <w:rsid w:val="00F75029"/>
    <w:rsid w:val="00F75093"/>
    <w:rsid w:val="00F75284"/>
    <w:rsid w:val="00F77C36"/>
    <w:rsid w:val="00F77D44"/>
    <w:rsid w:val="00F811CD"/>
    <w:rsid w:val="00F815AC"/>
    <w:rsid w:val="00F81C9A"/>
    <w:rsid w:val="00F82B3B"/>
    <w:rsid w:val="00F83225"/>
    <w:rsid w:val="00F83B6D"/>
    <w:rsid w:val="00F8455E"/>
    <w:rsid w:val="00F84938"/>
    <w:rsid w:val="00F84F2D"/>
    <w:rsid w:val="00F85A89"/>
    <w:rsid w:val="00F86FD9"/>
    <w:rsid w:val="00F874BB"/>
    <w:rsid w:val="00F90A41"/>
    <w:rsid w:val="00F9102B"/>
    <w:rsid w:val="00F910DA"/>
    <w:rsid w:val="00F91FAA"/>
    <w:rsid w:val="00F925A3"/>
    <w:rsid w:val="00F9288E"/>
    <w:rsid w:val="00F92E22"/>
    <w:rsid w:val="00F93110"/>
    <w:rsid w:val="00F93423"/>
    <w:rsid w:val="00F9346C"/>
    <w:rsid w:val="00F94D60"/>
    <w:rsid w:val="00F95172"/>
    <w:rsid w:val="00F95BDE"/>
    <w:rsid w:val="00F96162"/>
    <w:rsid w:val="00F961BC"/>
    <w:rsid w:val="00F965DD"/>
    <w:rsid w:val="00F968E1"/>
    <w:rsid w:val="00F97125"/>
    <w:rsid w:val="00F97758"/>
    <w:rsid w:val="00FA0527"/>
    <w:rsid w:val="00FA0760"/>
    <w:rsid w:val="00FA1338"/>
    <w:rsid w:val="00FA1739"/>
    <w:rsid w:val="00FA1E9A"/>
    <w:rsid w:val="00FA2043"/>
    <w:rsid w:val="00FA2479"/>
    <w:rsid w:val="00FA26FD"/>
    <w:rsid w:val="00FA2C5C"/>
    <w:rsid w:val="00FA4A80"/>
    <w:rsid w:val="00FA4FEF"/>
    <w:rsid w:val="00FA65F9"/>
    <w:rsid w:val="00FA761F"/>
    <w:rsid w:val="00FA7B41"/>
    <w:rsid w:val="00FB05F0"/>
    <w:rsid w:val="00FB0E93"/>
    <w:rsid w:val="00FB130D"/>
    <w:rsid w:val="00FB2666"/>
    <w:rsid w:val="00FB2A8E"/>
    <w:rsid w:val="00FB39B2"/>
    <w:rsid w:val="00FB3E12"/>
    <w:rsid w:val="00FB4197"/>
    <w:rsid w:val="00FB448C"/>
    <w:rsid w:val="00FB448F"/>
    <w:rsid w:val="00FB4DBF"/>
    <w:rsid w:val="00FB52D1"/>
    <w:rsid w:val="00FB5B6A"/>
    <w:rsid w:val="00FC01CD"/>
    <w:rsid w:val="00FC15C2"/>
    <w:rsid w:val="00FC1960"/>
    <w:rsid w:val="00FC1DF8"/>
    <w:rsid w:val="00FC1E70"/>
    <w:rsid w:val="00FC2345"/>
    <w:rsid w:val="00FC3353"/>
    <w:rsid w:val="00FC4EAA"/>
    <w:rsid w:val="00FD1807"/>
    <w:rsid w:val="00FD1922"/>
    <w:rsid w:val="00FD1957"/>
    <w:rsid w:val="00FD1A79"/>
    <w:rsid w:val="00FD365F"/>
    <w:rsid w:val="00FD39C8"/>
    <w:rsid w:val="00FD4845"/>
    <w:rsid w:val="00FD5A29"/>
    <w:rsid w:val="00FD5C7E"/>
    <w:rsid w:val="00FD61E3"/>
    <w:rsid w:val="00FD7811"/>
    <w:rsid w:val="00FE00F9"/>
    <w:rsid w:val="00FE05D4"/>
    <w:rsid w:val="00FE1326"/>
    <w:rsid w:val="00FE1422"/>
    <w:rsid w:val="00FE2770"/>
    <w:rsid w:val="00FE2CA6"/>
    <w:rsid w:val="00FE2D4C"/>
    <w:rsid w:val="00FE31D4"/>
    <w:rsid w:val="00FE3AC1"/>
    <w:rsid w:val="00FE591D"/>
    <w:rsid w:val="00FE6094"/>
    <w:rsid w:val="00FE6B79"/>
    <w:rsid w:val="00FE703B"/>
    <w:rsid w:val="00FF0396"/>
    <w:rsid w:val="00FF0B81"/>
    <w:rsid w:val="00FF0D3C"/>
    <w:rsid w:val="00FF27B2"/>
    <w:rsid w:val="00FF4778"/>
    <w:rsid w:val="00FF4BB3"/>
    <w:rsid w:val="00FF5793"/>
    <w:rsid w:val="00FF5991"/>
    <w:rsid w:val="00FF5FA8"/>
    <w:rsid w:val="00FF6314"/>
    <w:rsid w:val="00FF64FE"/>
    <w:rsid w:val="384B9305"/>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31119"/>
  <w14:defaultImageDpi w14:val="0"/>
  <w15:docId w15:val="{64D12D34-A3C7-4355-96F2-EF2289B3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uiPriority="10"/>
    <w:lsdException w:name="Subtitle" w:uiPriority="1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AF"/>
    <w:pPr>
      <w:spacing w:after="200"/>
      <w:jc w:val="both"/>
    </w:pPr>
    <w:rPr>
      <w:sz w:val="22"/>
      <w:lang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pPr>
      <w:keepNext/>
      <w:keepLines/>
      <w:numPr>
        <w:ilvl w:val="1"/>
        <w:numId w:val="3"/>
      </w:numPr>
      <w:tabs>
        <w:tab w:val="num" w:pos="283"/>
        <w:tab w:val="num" w:pos="567"/>
      </w:tabs>
      <w:spacing w:after="120"/>
      <w:ind w:left="283" w:hanging="283"/>
      <w:outlineLvl w:val="1"/>
    </w:pPr>
    <w:rPr>
      <w:b/>
    </w:rPr>
  </w:style>
  <w:style w:type="paragraph" w:styleId="Heading3">
    <w:name w:val="heading 3"/>
    <w:basedOn w:val="Normal"/>
    <w:next w:val="Normal"/>
    <w:link w:val="Heading3Char"/>
    <w:uiPriority w:val="9"/>
    <w:pPr>
      <w:keepNext/>
      <w:numPr>
        <w:ilvl w:val="2"/>
        <w:numId w:val="3"/>
      </w:numPr>
      <w:tabs>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2"/>
      </w:numPr>
      <w:tabs>
        <w:tab w:val="clear" w:pos="360"/>
        <w:tab w:val="num" w:pos="0"/>
      </w:tabs>
      <w:spacing w:before="240" w:after="60"/>
      <w:ind w:left="0" w:firstLine="0"/>
      <w:outlineLvl w:val="4"/>
    </w:pPr>
    <w:rPr>
      <w:rFonts w:ascii="Arial" w:hAnsi="Arial"/>
    </w:rPr>
  </w:style>
  <w:style w:type="paragraph" w:styleId="Heading6">
    <w:name w:val="heading 6"/>
    <w:basedOn w:val="Normal"/>
    <w:next w:val="Normal"/>
    <w:link w:val="Heading6Char"/>
    <w:uiPriority w:val="9"/>
    <w:pPr>
      <w:numPr>
        <w:ilvl w:val="2"/>
        <w:numId w:val="2"/>
      </w:numPr>
      <w:tabs>
        <w:tab w:val="clear" w:pos="360"/>
        <w:tab w:val="num" w:pos="0"/>
      </w:tabs>
      <w:spacing w:before="240" w:after="60"/>
      <w:ind w:left="0" w:firstLine="0"/>
      <w:outlineLvl w:val="5"/>
    </w:pPr>
    <w:rPr>
      <w:rFonts w:ascii="Arial" w:hAnsi="Arial"/>
      <w:i/>
    </w:rPr>
  </w:style>
  <w:style w:type="paragraph" w:styleId="Heading7">
    <w:name w:val="heading 7"/>
    <w:basedOn w:val="Normal"/>
    <w:next w:val="Normal"/>
    <w:link w:val="Heading7Char"/>
    <w:uiPriority w:val="9"/>
    <w:pPr>
      <w:numPr>
        <w:ilvl w:val="6"/>
        <w:numId w:val="2"/>
      </w:numPr>
      <w:tabs>
        <w:tab w:val="clear" w:pos="360"/>
        <w:tab w:val="num" w:pos="0"/>
      </w:tabs>
      <w:spacing w:before="240" w:after="60"/>
      <w:ind w:left="0" w:firstLine="0"/>
      <w:outlineLvl w:val="6"/>
    </w:pPr>
    <w:rPr>
      <w:rFonts w:ascii="Arial" w:hAnsi="Arial"/>
      <w:sz w:val="20"/>
    </w:rPr>
  </w:style>
  <w:style w:type="paragraph" w:styleId="Heading8">
    <w:name w:val="heading 8"/>
    <w:basedOn w:val="Normal"/>
    <w:next w:val="Normal"/>
    <w:link w:val="Heading8Char"/>
    <w:uiPriority w:val="9"/>
    <w:pPr>
      <w:numPr>
        <w:ilvl w:val="7"/>
        <w:numId w:val="2"/>
      </w:numPr>
      <w:tabs>
        <w:tab w:val="clear" w:pos="360"/>
        <w:tab w:val="num" w:pos="0"/>
      </w:tabs>
      <w:spacing w:before="240" w:after="60"/>
      <w:ind w:left="0" w:firstLine="0"/>
      <w:outlineLvl w:val="7"/>
    </w:pPr>
    <w:rPr>
      <w:rFonts w:ascii="Arial" w:hAnsi="Arial"/>
      <w:i/>
      <w:sz w:val="20"/>
    </w:rPr>
  </w:style>
  <w:style w:type="paragraph" w:styleId="Heading9">
    <w:name w:val="heading 9"/>
    <w:basedOn w:val="Normal"/>
    <w:next w:val="Normal"/>
    <w:link w:val="Heading9Char"/>
    <w:uiPriority w:val="9"/>
    <w:pPr>
      <w:numPr>
        <w:ilvl w:val="8"/>
        <w:numId w:val="2"/>
      </w:numPr>
      <w:tabs>
        <w:tab w:val="clear" w:pos="360"/>
        <w:tab w:val="num" w:pos="0"/>
      </w:tabs>
      <w:spacing w:before="240" w:after="60"/>
      <w:ind w:left="0" w:firstLine="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locked/>
    <w:rPr>
      <w:rFonts w:cs="Times New Roman"/>
      <w:b/>
      <w:sz w:val="22"/>
      <w:lang w:val="x-none" w:eastAsia="en-US"/>
    </w:rPr>
  </w:style>
  <w:style w:type="character" w:customStyle="1" w:styleId="Heading3Char">
    <w:name w:val="Heading 3 Char"/>
    <w:basedOn w:val="DefaultParagraphFont"/>
    <w:link w:val="Heading3"/>
    <w:uiPriority w:val="9"/>
    <w:locked/>
    <w:rPr>
      <w:rFonts w:cs="Times New Roman"/>
      <w:b/>
      <w:sz w:val="22"/>
      <w:lang w:val="x-none" w:eastAsia="en-US"/>
    </w:rPr>
  </w:style>
  <w:style w:type="character" w:customStyle="1" w:styleId="Heading4Char">
    <w:name w:val="Heading 4 Char"/>
    <w:basedOn w:val="DefaultParagraphFont"/>
    <w:link w:val="Heading4"/>
    <w:uiPriority w:val="9"/>
    <w:locked/>
    <w:rsid w:val="008109C1"/>
    <w:rPr>
      <w:rFonts w:cs="Times New Roman"/>
      <w:sz w:val="24"/>
      <w:lang w:val="x-none" w:eastAsia="en-US"/>
    </w:rPr>
  </w:style>
  <w:style w:type="character" w:customStyle="1" w:styleId="Heading5Char">
    <w:name w:val="Heading 5 Char"/>
    <w:basedOn w:val="DefaultParagraphFont"/>
    <w:link w:val="Heading5"/>
    <w:uiPriority w:val="9"/>
    <w:locked/>
    <w:rPr>
      <w:rFonts w:ascii="Arial" w:hAnsi="Arial" w:cs="Times New Roman"/>
      <w:sz w:val="22"/>
      <w:lang w:val="x-none" w:eastAsia="en-US"/>
    </w:rPr>
  </w:style>
  <w:style w:type="character" w:customStyle="1" w:styleId="Heading6Char">
    <w:name w:val="Heading 6 Char"/>
    <w:basedOn w:val="DefaultParagraphFont"/>
    <w:link w:val="Heading6"/>
    <w:uiPriority w:val="9"/>
    <w:locked/>
    <w:rPr>
      <w:rFonts w:ascii="Arial" w:hAnsi="Arial" w:cs="Times New Roman"/>
      <w:i/>
      <w:sz w:val="22"/>
      <w:lang w:val="x-none" w:eastAsia="en-US"/>
    </w:rPr>
  </w:style>
  <w:style w:type="character" w:customStyle="1" w:styleId="Heading7Char">
    <w:name w:val="Heading 7 Char"/>
    <w:basedOn w:val="DefaultParagraphFont"/>
    <w:link w:val="Heading7"/>
    <w:uiPriority w:val="9"/>
    <w:locked/>
    <w:rPr>
      <w:rFonts w:ascii="Arial" w:hAnsi="Arial" w:cs="Times New Roman"/>
      <w:lang w:val="x-none" w:eastAsia="en-US"/>
    </w:rPr>
  </w:style>
  <w:style w:type="character" w:customStyle="1" w:styleId="Heading8Char">
    <w:name w:val="Heading 8 Char"/>
    <w:basedOn w:val="DefaultParagraphFont"/>
    <w:link w:val="Heading8"/>
    <w:uiPriority w:val="9"/>
    <w:locked/>
    <w:rPr>
      <w:rFonts w:ascii="Arial" w:hAnsi="Arial" w:cs="Times New Roman"/>
      <w:i/>
      <w:lang w:val="x-none" w:eastAsia="en-US"/>
    </w:rPr>
  </w:style>
  <w:style w:type="character" w:customStyle="1" w:styleId="Heading9Char">
    <w:name w:val="Heading 9 Char"/>
    <w:basedOn w:val="DefaultParagraphFont"/>
    <w:link w:val="Heading9"/>
    <w:uiPriority w:val="9"/>
    <w:locked/>
    <w:rPr>
      <w:rFonts w:ascii="Arial" w:hAnsi="Arial" w:cs="Times New Roman"/>
      <w:i/>
      <w:sz w:val="18"/>
      <w:lang w:val="x-none"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pPr>
      <w:widowControl w:val="0"/>
      <w:numPr>
        <w:numId w:val="1"/>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pPr>
      <w:spacing w:after="480"/>
      <w:jc w:val="center"/>
    </w:pPr>
    <w:rPr>
      <w:b/>
      <w:sz w:val="48"/>
    </w:rPr>
  </w:style>
  <w:style w:type="character" w:customStyle="1" w:styleId="TitleChar">
    <w:name w:val="Title Char"/>
    <w:basedOn w:val="DefaultParagraphFont"/>
    <w:link w:val="Title"/>
    <w:uiPriority w:val="10"/>
    <w:locked/>
    <w:rsid w:val="00856DC2"/>
    <w:rPr>
      <w:rFonts w:cs="Times New Roman"/>
      <w:b/>
      <w:sz w:val="48"/>
      <w:lang w:val="x-none"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tabs>
        <w:tab w:val="num" w:pos="283"/>
        <w:tab w:val="num" w:pos="567"/>
        <w:tab w:val="num" w:pos="1492"/>
      </w:tabs>
      <w:spacing w:after="360"/>
      <w:ind w:left="567" w:hanging="567"/>
    </w:pPr>
    <w:rPr>
      <w:rFonts w:ascii="Times New Roman Bold" w:hAnsi="Times New Roman Bold"/>
      <w:b/>
      <w:caps/>
    </w:rPr>
  </w:style>
  <w:style w:type="paragraph" w:customStyle="1" w:styleId="Guidelines2">
    <w:name w:val="Guidelines 2"/>
    <w:basedOn w:val="Normal"/>
    <w:next w:val="Normal"/>
    <w:autoRedefine/>
    <w:qFormat/>
    <w:rsid w:val="004741A1"/>
    <w:pPr>
      <w:tabs>
        <w:tab w:val="num" w:pos="283"/>
        <w:tab w:val="num" w:pos="567"/>
      </w:tabs>
      <w:spacing w:before="240" w:after="120"/>
      <w:ind w:left="567" w:hanging="567"/>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4B7BC2"/>
    <w:pPr>
      <w:keepNext/>
      <w:pBdr>
        <w:top w:val="single" w:sz="4" w:space="1" w:color="auto"/>
        <w:left w:val="single" w:sz="4" w:space="4" w:color="auto"/>
        <w:bottom w:val="single" w:sz="4" w:space="1" w:color="auto"/>
        <w:right w:val="single" w:sz="4" w:space="4" w:color="auto"/>
      </w:pBdr>
      <w:tabs>
        <w:tab w:val="num" w:pos="283"/>
        <w:tab w:val="num" w:pos="567"/>
        <w:tab w:val="left" w:pos="900"/>
      </w:tabs>
      <w:spacing w:before="120" w:after="0"/>
      <w:ind w:left="851" w:hanging="851"/>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basedOn w:val="DefaultParagraphFont"/>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
    <w:basedOn w:val="Normal"/>
    <w:link w:val="FootnoteTextChar"/>
    <w:autoRedefine/>
    <w:uiPriority w:val="99"/>
    <w:qFormat/>
    <w:rsid w:val="00D11783"/>
    <w:pPr>
      <w:spacing w:after="60"/>
    </w:pPr>
    <w:rPr>
      <w:sz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locked/>
    <w:rsid w:val="00D11783"/>
    <w:rPr>
      <w:rFonts w:cs="Times New Roman"/>
      <w:lang w:val="x-none"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semiHidden/>
    <w:locked/>
    <w:rPr>
      <w:rFonts w:cs="Times New Roman"/>
      <w:sz w:val="22"/>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basedOn w:val="DefaultParagraphFont"/>
    <w:link w:val="Footer"/>
    <w:uiPriority w:val="99"/>
    <w:locked/>
    <w:rsid w:val="00856DC2"/>
    <w:rPr>
      <w:rFonts w:ascii="Arial" w:hAnsi="Arial" w:cs="Times New Roman"/>
      <w:sz w:val="16"/>
      <w:lang w:val="x-none" w:eastAsia="en-US"/>
    </w:rPr>
  </w:style>
  <w:style w:type="paragraph" w:customStyle="1" w:styleId="Style0">
    <w:name w:val="Style0"/>
    <w:rPr>
      <w:rFonts w:ascii="Arial" w:hAnsi="Arial"/>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basedOn w:val="DefaultParagraphFont"/>
    <w:link w:val="BodyTextIndent"/>
    <w:uiPriority w:val="99"/>
    <w:locked/>
    <w:rsid w:val="0090351E"/>
    <w:rPr>
      <w:rFonts w:cs="Times New Roman"/>
      <w:sz w:val="24"/>
      <w:lang w:val="x-none" w:eastAsia="en-US"/>
    </w:rPr>
  </w:style>
  <w:style w:type="paragraph" w:styleId="TOC5">
    <w:name w:val="toc 5"/>
    <w:basedOn w:val="Normal"/>
    <w:next w:val="Normal"/>
    <w:autoRedefine/>
    <w:uiPriority w:val="39"/>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basedOn w:val="DefaultParagraphFont"/>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num" w:pos="360"/>
      </w:tabs>
      <w:spacing w:after="240"/>
      <w:ind w:left="283" w:hanging="283"/>
      <w:outlineLvl w:val="9"/>
    </w:pPr>
    <w:rPr>
      <w:b w:val="0"/>
      <w:lang w:val="fr-FR"/>
    </w:rPr>
  </w:style>
  <w:style w:type="paragraph" w:styleId="ListBullet5">
    <w:name w:val="List Bullet 5"/>
    <w:basedOn w:val="Normal"/>
    <w:autoRedefine/>
    <w:uiPriority w:val="99"/>
    <w:pPr>
      <w:tabs>
        <w:tab w:val="num" w:pos="360"/>
      </w:tabs>
      <w:spacing w:after="240"/>
      <w:ind w:left="360" w:hanging="360"/>
    </w:pPr>
    <w:rPr>
      <w:lang w:val="fr-FR"/>
    </w:rPr>
  </w:style>
  <w:style w:type="paragraph" w:styleId="ListBullet">
    <w:name w:val="List Bullet"/>
    <w:basedOn w:val="Normal"/>
    <w:link w:val="ListBulletChar"/>
    <w:uiPriority w:val="99"/>
    <w:rsid w:val="00684AFF"/>
    <w:pPr>
      <w:tabs>
        <w:tab w:val="num" w:pos="567"/>
      </w:tabs>
      <w:spacing w:after="240"/>
      <w:ind w:left="567" w:hanging="283"/>
    </w:pPr>
    <w:rPr>
      <w:lang w:eastAsia="en-GB"/>
    </w:rPr>
  </w:style>
  <w:style w:type="character" w:customStyle="1" w:styleId="ListBulletChar">
    <w:name w:val="List Bullet Char"/>
    <w:link w:val="ListBullet"/>
    <w:uiPriority w:val="99"/>
    <w:locked/>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3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6A7719"/>
    <w:pPr>
      <w:spacing w:before="120" w:after="120"/>
      <w:jc w:val="center"/>
    </w:pPr>
    <w:rPr>
      <w:rFonts w:ascii="Arial" w:hAnsi="Arial"/>
      <w:b/>
      <w:sz w:val="28"/>
      <w:lang w:val="fr-BE"/>
    </w:rPr>
  </w:style>
  <w:style w:type="character" w:customStyle="1" w:styleId="SubtitleChar">
    <w:name w:val="Subtitle Char"/>
    <w:basedOn w:val="DefaultParagraphFont"/>
    <w:link w:val="Subtitle"/>
    <w:uiPriority w:val="11"/>
    <w:locked/>
    <w:rsid w:val="00EE4E75"/>
    <w:rPr>
      <w:rFonts w:ascii="Arial" w:hAnsi="Arial" w:cs="Times New Roman"/>
      <w:b/>
      <w:sz w:val="28"/>
      <w:lang w:val="fr-BE"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basedOn w:val="DefaultParagraphFont"/>
    <w:link w:val="CommentText"/>
    <w:uiPriority w:val="99"/>
    <w:locked/>
    <w:rsid w:val="00A6227D"/>
    <w:rPr>
      <w:rFonts w:cs="Times New Roman"/>
      <w:lang w:val="x-none" w:eastAsia="en-US"/>
    </w:rPr>
  </w:style>
  <w:style w:type="paragraph" w:styleId="CommentSubject">
    <w:name w:val="annotation subject"/>
    <w:basedOn w:val="Normal"/>
    <w:next w:val="CommentText"/>
    <w:link w:val="CommentSubjectChar"/>
    <w:uiPriority w:val="99"/>
    <w:semiHidden/>
    <w:rsid w:val="0090351E"/>
    <w:rPr>
      <w:b/>
      <w:bCs/>
      <w:sz w:val="20"/>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pPr>
      <w:spacing w:after="120"/>
    </w:pPr>
    <w:rPr>
      <w:szCs w:val="22"/>
      <w:lang w:eastAsia="en-GB"/>
    </w:rPr>
  </w:style>
  <w:style w:type="paragraph" w:styleId="ListNumber2">
    <w:name w:val="List Number 2"/>
    <w:basedOn w:val="Text2"/>
    <w:uiPriority w:val="99"/>
    <w:rsid w:val="0022128C"/>
    <w:pPr>
      <w:tabs>
        <w:tab w:val="clear" w:pos="2161"/>
        <w:tab w:val="num" w:pos="0"/>
        <w:tab w:val="num" w:pos="1485"/>
        <w:tab w:val="num" w:pos="1911"/>
      </w:tabs>
      <w:ind w:left="1911" w:hanging="709"/>
    </w:pPr>
  </w:style>
  <w:style w:type="paragraph" w:customStyle="1" w:styleId="ListNumber2Level2">
    <w:name w:val="List Number 2 (Level 2)"/>
    <w:basedOn w:val="Text2"/>
    <w:rsid w:val="0022128C"/>
    <w:pPr>
      <w:numPr>
        <w:ilvl w:val="1"/>
        <w:numId w:val="4"/>
      </w:numPr>
      <w:tabs>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4"/>
      </w:numPr>
      <w:tabs>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4"/>
      </w:numPr>
      <w:tabs>
        <w:tab w:val="clear" w:pos="2161"/>
        <w:tab w:val="num" w:pos="1485"/>
        <w:tab w:val="num" w:pos="4037"/>
      </w:tabs>
      <w:ind w:left="4037" w:hanging="709"/>
    </w:pPr>
  </w:style>
  <w:style w:type="character" w:styleId="Strong">
    <w:name w:val="Strong"/>
    <w:basedOn w:val="DefaultParagraphFont"/>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aliases w:val="Ha,Bullet Points,Indent Paragraph,List1,1st level - Bullet List Paragraph,Lettre d'introduction,Paragrafo elenco,Normal bullet 2,Medium Grid 1 - Accent 21,FooterText,Bullet list,Bullet List Paragraph,Normal numbered,OBC Bullet,EC,PROVERE"/>
    <w:basedOn w:val="Normal"/>
    <w:link w:val="ListParagraphChar"/>
    <w:uiPriority w:val="34"/>
    <w:qFormat/>
    <w:rsid w:val="00495849"/>
    <w:pPr>
      <w:ind w:left="708"/>
    </w:pPr>
  </w:style>
  <w:style w:type="paragraph" w:styleId="TOAHeading">
    <w:name w:val="toa heading"/>
    <w:basedOn w:val="Normal"/>
    <w:next w:val="Normal"/>
    <w:uiPriority w:val="99"/>
    <w:rsid w:val="0021362B"/>
    <w:pPr>
      <w:spacing w:before="120"/>
    </w:pPr>
    <w:rPr>
      <w:rFonts w:ascii="Cambria" w:hAnsi="Cambria"/>
      <w:b/>
      <w:bCs/>
      <w:szCs w:val="24"/>
    </w:rPr>
  </w:style>
  <w:style w:type="character" w:styleId="FootnoteReference">
    <w:name w:val="footnote reference"/>
    <w:aliases w:val="BVI fnr Char1,Appel note de bas de p..BVI fnr Car Car Car Car,BVI fnr Car Car,BVI fnr Car,BVI fnr Car Car Car Car,BVI fnr Car Car Car Car Char,BVI fnr,BVI fnr Char,Appel note de bas de p."/>
    <w:basedOn w:val="DefaultParagraphFont"/>
    <w:link w:val="Char2"/>
    <w:uiPriority w:val="99"/>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2BC"/>
    <w:rPr>
      <w:rFonts w:ascii="Tahoma" w:hAnsi="Tahoma" w:cs="Times New Roman"/>
      <w:sz w:val="16"/>
      <w:lang w:val="x-none" w:eastAsia="en-US"/>
    </w:rPr>
  </w:style>
  <w:style w:type="character" w:styleId="CommentReference">
    <w:name w:val="annotation reference"/>
    <w:basedOn w:val="DefaultParagraphFont"/>
    <w:uiPriority w:val="99"/>
    <w:rsid w:val="00A6227D"/>
    <w:rPr>
      <w:rFonts w:cs="Times New Roman"/>
      <w:sz w:val="16"/>
    </w:rPr>
  </w:style>
  <w:style w:type="paragraph" w:customStyle="1" w:styleId="Char2">
    <w:name w:val="Char2"/>
    <w:basedOn w:val="Normal"/>
    <w:link w:val="FootnoteReference"/>
    <w:uiPriority w:val="99"/>
    <w:rsid w:val="00DB57AE"/>
    <w:pPr>
      <w:spacing w:before="120" w:after="160" w:line="240" w:lineRule="exact"/>
      <w:jc w:val="left"/>
    </w:pPr>
    <w:rPr>
      <w:sz w:val="24"/>
      <w:vertAlign w:val="superscript"/>
      <w:lang w:eastAsia="en-GB"/>
    </w:rPr>
  </w:style>
  <w:style w:type="paragraph" w:customStyle="1" w:styleId="Default">
    <w:name w:val="Default"/>
    <w:rsid w:val="00EE4E75"/>
    <w:pPr>
      <w:autoSpaceDE w:val="0"/>
      <w:autoSpaceDN w:val="0"/>
      <w:adjustRightInd w:val="0"/>
    </w:pPr>
    <w:rPr>
      <w:color w:val="000000"/>
      <w:sz w:val="24"/>
      <w:szCs w:val="24"/>
    </w:rPr>
  </w:style>
  <w:style w:type="paragraph" w:styleId="Caption">
    <w:name w:val="caption"/>
    <w:basedOn w:val="Normal"/>
    <w:next w:val="Normal"/>
    <w:uiPriority w:val="35"/>
    <w:unhideWhenUsed/>
    <w:qFormat/>
    <w:rsid w:val="00A6547C"/>
    <w:rPr>
      <w:b/>
      <w:bCs/>
      <w:sz w:val="20"/>
    </w:rPr>
  </w:style>
  <w:style w:type="paragraph" w:customStyle="1" w:styleId="Pa7">
    <w:name w:val="Pa7"/>
    <w:basedOn w:val="Default"/>
    <w:next w:val="Default"/>
    <w:uiPriority w:val="99"/>
    <w:rsid w:val="005D0DA7"/>
    <w:pPr>
      <w:spacing w:line="241" w:lineRule="atLeast"/>
    </w:pPr>
    <w:rPr>
      <w:rFonts w:ascii="Facit Light" w:hAnsi="Facit Light"/>
      <w:color w:val="auto"/>
    </w:rPr>
  </w:style>
  <w:style w:type="character" w:customStyle="1" w:styleId="A7">
    <w:name w:val="A7"/>
    <w:uiPriority w:val="99"/>
    <w:rsid w:val="005D0DA7"/>
    <w:rPr>
      <w:color w:val="000000"/>
      <w:sz w:val="15"/>
    </w:rPr>
  </w:style>
  <w:style w:type="character" w:customStyle="1" w:styleId="ListParagraphChar">
    <w:name w:val="List Paragraph Char"/>
    <w:aliases w:val="Ha Char,Bullet Points Char,Indent Paragraph Char,List1 Char,1st level - Bullet List Paragraph Char,Lettre d'introduction Char,Paragrafo elenco Char,Normal bullet 2 Char,Medium Grid 1 - Accent 21 Char,FooterText Char,Bullet list Char"/>
    <w:link w:val="ListParagraph"/>
    <w:uiPriority w:val="34"/>
    <w:qFormat/>
    <w:locked/>
    <w:rsid w:val="001D2E90"/>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4228">
      <w:bodyDiv w:val="1"/>
      <w:marLeft w:val="0"/>
      <w:marRight w:val="0"/>
      <w:marTop w:val="0"/>
      <w:marBottom w:val="0"/>
      <w:divBdr>
        <w:top w:val="none" w:sz="0" w:space="0" w:color="auto"/>
        <w:left w:val="none" w:sz="0" w:space="0" w:color="auto"/>
        <w:bottom w:val="none" w:sz="0" w:space="0" w:color="auto"/>
        <w:right w:val="none" w:sz="0" w:space="0" w:color="auto"/>
      </w:divBdr>
    </w:div>
    <w:div w:id="1752199351">
      <w:marLeft w:val="0"/>
      <w:marRight w:val="0"/>
      <w:marTop w:val="0"/>
      <w:marBottom w:val="0"/>
      <w:divBdr>
        <w:top w:val="none" w:sz="0" w:space="0" w:color="auto"/>
        <w:left w:val="none" w:sz="0" w:space="0" w:color="auto"/>
        <w:bottom w:val="none" w:sz="0" w:space="0" w:color="auto"/>
        <w:right w:val="none" w:sz="0" w:space="0" w:color="auto"/>
      </w:divBdr>
    </w:div>
    <w:div w:id="1752199352">
      <w:marLeft w:val="0"/>
      <w:marRight w:val="0"/>
      <w:marTop w:val="0"/>
      <w:marBottom w:val="0"/>
      <w:divBdr>
        <w:top w:val="none" w:sz="0" w:space="0" w:color="auto"/>
        <w:left w:val="none" w:sz="0" w:space="0" w:color="auto"/>
        <w:bottom w:val="none" w:sz="0" w:space="0" w:color="auto"/>
        <w:right w:val="none" w:sz="0" w:space="0" w:color="auto"/>
      </w:divBdr>
    </w:div>
    <w:div w:id="1752199353">
      <w:marLeft w:val="0"/>
      <w:marRight w:val="0"/>
      <w:marTop w:val="0"/>
      <w:marBottom w:val="0"/>
      <w:divBdr>
        <w:top w:val="none" w:sz="0" w:space="0" w:color="auto"/>
        <w:left w:val="none" w:sz="0" w:space="0" w:color="auto"/>
        <w:bottom w:val="none" w:sz="0" w:space="0" w:color="auto"/>
        <w:right w:val="none" w:sz="0" w:space="0" w:color="auto"/>
      </w:divBdr>
    </w:div>
    <w:div w:id="1752199354">
      <w:marLeft w:val="0"/>
      <w:marRight w:val="0"/>
      <w:marTop w:val="0"/>
      <w:marBottom w:val="0"/>
      <w:divBdr>
        <w:top w:val="none" w:sz="0" w:space="0" w:color="auto"/>
        <w:left w:val="none" w:sz="0" w:space="0" w:color="auto"/>
        <w:bottom w:val="none" w:sz="0" w:space="0" w:color="auto"/>
        <w:right w:val="none" w:sz="0" w:space="0" w:color="auto"/>
      </w:divBdr>
    </w:div>
    <w:div w:id="1752199355">
      <w:marLeft w:val="0"/>
      <w:marRight w:val="0"/>
      <w:marTop w:val="0"/>
      <w:marBottom w:val="0"/>
      <w:divBdr>
        <w:top w:val="none" w:sz="0" w:space="0" w:color="auto"/>
        <w:left w:val="none" w:sz="0" w:space="0" w:color="auto"/>
        <w:bottom w:val="none" w:sz="0" w:space="0" w:color="auto"/>
        <w:right w:val="none" w:sz="0" w:space="0" w:color="auto"/>
      </w:divBdr>
    </w:div>
    <w:div w:id="1752199356">
      <w:marLeft w:val="0"/>
      <w:marRight w:val="0"/>
      <w:marTop w:val="0"/>
      <w:marBottom w:val="0"/>
      <w:divBdr>
        <w:top w:val="none" w:sz="0" w:space="0" w:color="auto"/>
        <w:left w:val="none" w:sz="0" w:space="0" w:color="auto"/>
        <w:bottom w:val="none" w:sz="0" w:space="0" w:color="auto"/>
        <w:right w:val="none" w:sz="0" w:space="0" w:color="auto"/>
      </w:divBdr>
    </w:div>
    <w:div w:id="1752199357">
      <w:marLeft w:val="0"/>
      <w:marRight w:val="0"/>
      <w:marTop w:val="0"/>
      <w:marBottom w:val="0"/>
      <w:divBdr>
        <w:top w:val="none" w:sz="0" w:space="0" w:color="auto"/>
        <w:left w:val="none" w:sz="0" w:space="0" w:color="auto"/>
        <w:bottom w:val="none" w:sz="0" w:space="0" w:color="auto"/>
        <w:right w:val="none" w:sz="0" w:space="0" w:color="auto"/>
      </w:divBdr>
    </w:div>
    <w:div w:id="1752199358">
      <w:marLeft w:val="0"/>
      <w:marRight w:val="0"/>
      <w:marTop w:val="0"/>
      <w:marBottom w:val="0"/>
      <w:divBdr>
        <w:top w:val="none" w:sz="0" w:space="0" w:color="auto"/>
        <w:left w:val="none" w:sz="0" w:space="0" w:color="auto"/>
        <w:bottom w:val="none" w:sz="0" w:space="0" w:color="auto"/>
        <w:right w:val="none" w:sz="0" w:space="0" w:color="auto"/>
      </w:divBdr>
    </w:div>
    <w:div w:id="1752199359">
      <w:marLeft w:val="0"/>
      <w:marRight w:val="0"/>
      <w:marTop w:val="0"/>
      <w:marBottom w:val="0"/>
      <w:divBdr>
        <w:top w:val="none" w:sz="0" w:space="0" w:color="auto"/>
        <w:left w:val="none" w:sz="0" w:space="0" w:color="auto"/>
        <w:bottom w:val="none" w:sz="0" w:space="0" w:color="auto"/>
        <w:right w:val="none" w:sz="0" w:space="0" w:color="auto"/>
      </w:divBdr>
    </w:div>
    <w:div w:id="1752199360">
      <w:marLeft w:val="0"/>
      <w:marRight w:val="0"/>
      <w:marTop w:val="0"/>
      <w:marBottom w:val="0"/>
      <w:divBdr>
        <w:top w:val="none" w:sz="0" w:space="0" w:color="auto"/>
        <w:left w:val="none" w:sz="0" w:space="0" w:color="auto"/>
        <w:bottom w:val="none" w:sz="0" w:space="0" w:color="auto"/>
        <w:right w:val="none" w:sz="0" w:space="0" w:color="auto"/>
      </w:divBdr>
    </w:div>
    <w:div w:id="1752199361">
      <w:marLeft w:val="0"/>
      <w:marRight w:val="0"/>
      <w:marTop w:val="0"/>
      <w:marBottom w:val="0"/>
      <w:divBdr>
        <w:top w:val="none" w:sz="0" w:space="0" w:color="auto"/>
        <w:left w:val="none" w:sz="0" w:space="0" w:color="auto"/>
        <w:bottom w:val="none" w:sz="0" w:space="0" w:color="auto"/>
        <w:right w:val="none" w:sz="0" w:space="0" w:color="auto"/>
      </w:divBdr>
    </w:div>
    <w:div w:id="1752199362">
      <w:marLeft w:val="0"/>
      <w:marRight w:val="0"/>
      <w:marTop w:val="0"/>
      <w:marBottom w:val="0"/>
      <w:divBdr>
        <w:top w:val="none" w:sz="0" w:space="0" w:color="auto"/>
        <w:left w:val="none" w:sz="0" w:space="0" w:color="auto"/>
        <w:bottom w:val="none" w:sz="0" w:space="0" w:color="auto"/>
        <w:right w:val="none" w:sz="0" w:space="0" w:color="auto"/>
      </w:divBdr>
    </w:div>
    <w:div w:id="1752199363">
      <w:marLeft w:val="0"/>
      <w:marRight w:val="0"/>
      <w:marTop w:val="0"/>
      <w:marBottom w:val="0"/>
      <w:divBdr>
        <w:top w:val="none" w:sz="0" w:space="0" w:color="auto"/>
        <w:left w:val="none" w:sz="0" w:space="0" w:color="auto"/>
        <w:bottom w:val="none" w:sz="0" w:space="0" w:color="auto"/>
        <w:right w:val="none" w:sz="0" w:space="0" w:color="auto"/>
      </w:divBdr>
    </w:div>
    <w:div w:id="1752199364">
      <w:marLeft w:val="0"/>
      <w:marRight w:val="0"/>
      <w:marTop w:val="0"/>
      <w:marBottom w:val="0"/>
      <w:divBdr>
        <w:top w:val="none" w:sz="0" w:space="0" w:color="auto"/>
        <w:left w:val="none" w:sz="0" w:space="0" w:color="auto"/>
        <w:bottom w:val="none" w:sz="0" w:space="0" w:color="auto"/>
        <w:right w:val="none" w:sz="0" w:space="0" w:color="auto"/>
      </w:divBdr>
    </w:div>
    <w:div w:id="1752199365">
      <w:marLeft w:val="0"/>
      <w:marRight w:val="0"/>
      <w:marTop w:val="0"/>
      <w:marBottom w:val="0"/>
      <w:divBdr>
        <w:top w:val="none" w:sz="0" w:space="0" w:color="auto"/>
        <w:left w:val="none" w:sz="0" w:space="0" w:color="auto"/>
        <w:bottom w:val="none" w:sz="0" w:space="0" w:color="auto"/>
        <w:right w:val="none" w:sz="0" w:space="0" w:color="auto"/>
      </w:divBdr>
    </w:div>
    <w:div w:id="1752199366">
      <w:marLeft w:val="0"/>
      <w:marRight w:val="0"/>
      <w:marTop w:val="0"/>
      <w:marBottom w:val="0"/>
      <w:divBdr>
        <w:top w:val="none" w:sz="0" w:space="0" w:color="auto"/>
        <w:left w:val="none" w:sz="0" w:space="0" w:color="auto"/>
        <w:bottom w:val="none" w:sz="0" w:space="0" w:color="auto"/>
        <w:right w:val="none" w:sz="0" w:space="0" w:color="auto"/>
      </w:divBdr>
    </w:div>
    <w:div w:id="1752199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ec.europa.eu/international-partnerships/comm-visibility-requirements_en" TargetMode="External"/><Relationship Id="rId26" Type="http://schemas.openxmlformats.org/officeDocument/2006/relationships/hyperlink" Target="mailto:INTPA-SUPPORT-SERVICES@ec.europa.e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gate.ec.europa.eu/prospect" TargetMode="External"/><Relationship Id="rId34" Type="http://schemas.openxmlformats.org/officeDocument/2006/relationships/hyperlink" Target="https://international-partnerships.ec.europa.eu/funding/guidelines/managing-project/diem-rates_en" TargetMode="External"/><Relationship Id="rId7" Type="http://schemas.openxmlformats.org/officeDocument/2006/relationships/endnotes" Target="endnotes.xml"/><Relationship Id="rId12" Type="http://schemas.openxmlformats.org/officeDocument/2006/relationships/hyperlink" Target="https://wikis.ec.europa.eu/display/ExactExternalWiki/e-Learning+Videos+-+e-Calls+PROPECT" TargetMode="External"/><Relationship Id="rId17" Type="http://schemas.openxmlformats.org/officeDocument/2006/relationships/hyperlink" Target="https://www.legis.md/cautare/getResults?doc_id=138546&amp;lang=ro" TargetMode="External"/><Relationship Id="rId25" Type="http://schemas.openxmlformats.org/officeDocument/2006/relationships/hyperlink" Target="https://ec.europa.eu/info/funding-tenders/opportunities/portal/screen/home%20" TargetMode="External"/><Relationship Id="rId33" Type="http://schemas.openxmlformats.org/officeDocument/2006/relationships/hyperlink" Target="https://ec.europa.eu/info/funding-tenders/opportunities/portal/screen/home%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s.ec.europa.eu/display/ExactExternalWiki/ePRAG" TargetMode="External"/><Relationship Id="rId20" Type="http://schemas.openxmlformats.org/officeDocument/2006/relationships/hyperlink" Target="mailto:INTPA-SUPPORT-SERVICES@ec.europa.eu" TargetMode="External"/><Relationship Id="rId29" Type="http://schemas.openxmlformats.org/officeDocument/2006/relationships/hyperlink" Target="https://ec.europa.eu/international-partnerships/home_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Manual+for+Applicants+-+e-Calls+PROSPECT" TargetMode="External"/><Relationship Id="rId24" Type="http://schemas.openxmlformats.org/officeDocument/2006/relationships/hyperlink" Target="https://ec.europa.eu/international-partnerships/home_fr" TargetMode="External"/><Relationship Id="rId32" Type="http://schemas.openxmlformats.org/officeDocument/2006/relationships/hyperlink" Target="https://ec.europa.eu/international-partnerships/home_fr" TargetMode="External"/><Relationship Id="rId37" Type="http://schemas.openxmlformats.org/officeDocument/2006/relationships/hyperlink" Target="https://ec.europa.eu/international-partnerships/financial-management-toolkit_e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delegation-moldova-procurement@eeas.europa.eu" TargetMode="External"/><Relationship Id="rId28" Type="http://schemas.openxmlformats.org/officeDocument/2006/relationships/hyperlink" Target="mailto:delegation-moldova-procurement@eeas.europa.eu" TargetMode="External"/><Relationship Id="rId36" Type="http://schemas.openxmlformats.org/officeDocument/2006/relationships/hyperlink" Target="https://wikis.ec.europa.eu/pages/viewpage.action?pageId=48169235" TargetMode="External"/><Relationship Id="rId10" Type="http://schemas.openxmlformats.org/officeDocument/2006/relationships/hyperlink" Target="mailto:delegation-moldova-operations@eeas.europa.eu" TargetMode="External"/><Relationship Id="rId19" Type="http://schemas.openxmlformats.org/officeDocument/2006/relationships/hyperlink" Target="https://webgate.ec.europa.eu/pador" TargetMode="External"/><Relationship Id="rId31" Type="http://schemas.openxmlformats.org/officeDocument/2006/relationships/hyperlink" Target="http://ec.europa.eu/budget/explained/management/protecting/protect_en.cfm" TargetMode="Externa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footer" Target="footer2.xml"/><Relationship Id="rId22" Type="http://schemas.openxmlformats.org/officeDocument/2006/relationships/hyperlink" Target="http://www.timeanddate.com/worldclock/converter.html" TargetMode="External"/><Relationship Id="rId27" Type="http://schemas.openxmlformats.org/officeDocument/2006/relationships/hyperlink" Target="https://webgate.ec.europa.eu/prospect" TargetMode="External"/><Relationship Id="rId30" Type="http://schemas.openxmlformats.org/officeDocument/2006/relationships/hyperlink" Target="mailto:INTPA-SUPPORT-SERVICES@ec.europa.eu" TargetMode="External"/><Relationship Id="rId35" Type="http://schemas.openxmlformats.org/officeDocument/2006/relationships/hyperlink" Target="https://ec.europa.eu/international-partnerships/funding/managing-project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md/cautare/getResults?doc_id=138546&amp;lang=ro" TargetMode="External"/><Relationship Id="rId2" Type="http://schemas.openxmlformats.org/officeDocument/2006/relationships/hyperlink" Target="mailto:INTPA-SUPPORT-SERVICES@ec.europa.eu" TargetMode="External"/><Relationship Id="rId1" Type="http://schemas.openxmlformats.org/officeDocument/2006/relationships/hyperlink" Target="http://www.timeanddate.com/worldclock/conver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0B02-641C-447E-9CDC-B743C598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33</Pages>
  <Words>12473</Words>
  <Characters>73293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85595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dc:description/>
  <cp:lastModifiedBy>BOTNARU Lina (EEAS-CHISINAU)</cp:lastModifiedBy>
  <cp:revision>11</cp:revision>
  <cp:lastPrinted>2020-04-15T14:41:00Z</cp:lastPrinted>
  <dcterms:created xsi:type="dcterms:W3CDTF">2024-03-13T14:28:00Z</dcterms:created>
  <dcterms:modified xsi:type="dcterms:W3CDTF">2024-03-14T11:12:00Z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