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9748F" w14:textId="77777777" w:rsidR="004E2BE2" w:rsidRPr="004E2BE2" w:rsidRDefault="005052F7" w:rsidP="005166CC">
      <w:pPr>
        <w:pStyle w:val="Subtitle"/>
        <w:rPr>
          <w:rFonts w:ascii="Times New Roman" w:hAnsi="Times New Roman"/>
          <w:noProof/>
          <w:sz w:val="24"/>
          <w:szCs w:val="24"/>
        </w:rPr>
      </w:pPr>
      <w:r>
        <w:rPr>
          <w:noProof/>
        </w:rPr>
        <w:t xml:space="preserve">COMMUNIQUE DE PRESSE </w:t>
      </w:r>
    </w:p>
    <w:p w14:paraId="72B89245" w14:textId="77777777" w:rsidR="002E477E" w:rsidRDefault="002E477E" w:rsidP="006672BF">
      <w:pPr>
        <w:pStyle w:val="titlefront"/>
        <w:spacing w:before="0"/>
        <w:ind w:left="5760" w:firstLine="720"/>
        <w:jc w:val="center"/>
        <w:outlineLvl w:val="0"/>
        <w:rPr>
          <w:rFonts w:ascii="Times New Roman" w:hAnsi="Times New Roman"/>
          <w:noProof/>
          <w:sz w:val="24"/>
          <w:szCs w:val="24"/>
        </w:rPr>
      </w:pPr>
    </w:p>
    <w:p w14:paraId="2E1966D9" w14:textId="77777777" w:rsidR="002E477E" w:rsidRPr="00E45040" w:rsidRDefault="002E477E" w:rsidP="006672BF">
      <w:pPr>
        <w:pStyle w:val="titlefront"/>
        <w:spacing w:before="0"/>
        <w:ind w:left="5760" w:firstLine="720"/>
        <w:jc w:val="center"/>
        <w:outlineLvl w:val="0"/>
        <w:rPr>
          <w:rFonts w:ascii="Times New Roman" w:hAnsi="Times New Roman"/>
          <w:noProof/>
          <w:szCs w:val="28"/>
        </w:rPr>
      </w:pPr>
    </w:p>
    <w:p w14:paraId="00C9511E" w14:textId="7795CC7B" w:rsidR="00341972" w:rsidRPr="00E45040" w:rsidRDefault="00341972" w:rsidP="006672BF">
      <w:pPr>
        <w:pStyle w:val="titlefront"/>
        <w:spacing w:before="0"/>
        <w:ind w:left="5760" w:firstLine="720"/>
        <w:jc w:val="center"/>
        <w:outlineLvl w:val="0"/>
        <w:rPr>
          <w:rFonts w:ascii="Times New Roman" w:hAnsi="Times New Roman"/>
          <w:noProof/>
          <w:szCs w:val="28"/>
        </w:rPr>
      </w:pPr>
      <w:r w:rsidRPr="00E45040">
        <w:rPr>
          <w:rFonts w:ascii="Times New Roman" w:hAnsi="Times New Roman"/>
          <w:noProof/>
          <w:szCs w:val="28"/>
        </w:rPr>
        <w:t xml:space="preserve">Cotonou, le </w:t>
      </w:r>
      <w:r w:rsidR="008C059A" w:rsidRPr="00E45040">
        <w:rPr>
          <w:rFonts w:ascii="Times New Roman" w:hAnsi="Times New Roman"/>
          <w:noProof/>
          <w:szCs w:val="28"/>
        </w:rPr>
        <w:t>19</w:t>
      </w:r>
      <w:r w:rsidR="00D70F1E" w:rsidRPr="00E45040">
        <w:rPr>
          <w:rFonts w:ascii="Times New Roman" w:hAnsi="Times New Roman"/>
          <w:noProof/>
          <w:szCs w:val="28"/>
        </w:rPr>
        <w:t xml:space="preserve"> </w:t>
      </w:r>
      <w:r w:rsidR="00DC4991" w:rsidRPr="00E45040">
        <w:rPr>
          <w:rFonts w:ascii="Times New Roman" w:hAnsi="Times New Roman"/>
          <w:noProof/>
          <w:szCs w:val="28"/>
        </w:rPr>
        <w:t>mars 2024</w:t>
      </w:r>
    </w:p>
    <w:p w14:paraId="2EC56703" w14:textId="77777777" w:rsidR="000F513A" w:rsidRPr="00E45040" w:rsidRDefault="000F513A" w:rsidP="000F513A">
      <w:pPr>
        <w:jc w:val="both"/>
        <w:rPr>
          <w:bCs/>
          <w:sz w:val="28"/>
          <w:szCs w:val="28"/>
        </w:rPr>
      </w:pPr>
    </w:p>
    <w:p w14:paraId="778772A0" w14:textId="43334E25" w:rsidR="00E40A44" w:rsidRPr="00E45040" w:rsidRDefault="00E40A44" w:rsidP="002E477E">
      <w:pPr>
        <w:pStyle w:val="titlefront"/>
        <w:spacing w:before="0"/>
        <w:ind w:left="0"/>
        <w:jc w:val="center"/>
        <w:outlineLvl w:val="0"/>
        <w:rPr>
          <w:rFonts w:ascii="Times New Roman" w:hAnsi="Times New Roman"/>
          <w:noProof/>
          <w:szCs w:val="28"/>
        </w:rPr>
      </w:pPr>
      <w:r w:rsidRPr="00E45040">
        <w:rPr>
          <w:rFonts w:ascii="Times New Roman" w:hAnsi="Times New Roman"/>
          <w:noProof/>
          <w:szCs w:val="28"/>
        </w:rPr>
        <w:t>L’Union européenne et Team Europe mobilisent financement et expertise pour renforcer conjointement leur action au Bénin</w:t>
      </w:r>
    </w:p>
    <w:p w14:paraId="2DD98A90" w14:textId="77777777" w:rsidR="00E40A44" w:rsidRPr="002E477E" w:rsidRDefault="00E40A44" w:rsidP="002E477E">
      <w:pPr>
        <w:pStyle w:val="titlefront"/>
        <w:spacing w:before="0"/>
        <w:ind w:left="0"/>
        <w:jc w:val="center"/>
        <w:outlineLvl w:val="0"/>
        <w:rPr>
          <w:rFonts w:asciiTheme="minorHAnsi" w:hAnsiTheme="minorHAnsi" w:cstheme="minorHAnsi"/>
          <w:noProof/>
          <w:sz w:val="24"/>
          <w:szCs w:val="24"/>
        </w:rPr>
      </w:pPr>
    </w:p>
    <w:p w14:paraId="0DA578A1" w14:textId="77777777" w:rsidR="00E40A44" w:rsidRPr="002E477E" w:rsidRDefault="00E40A44" w:rsidP="002E477E">
      <w:pPr>
        <w:jc w:val="both"/>
        <w:rPr>
          <w:rFonts w:asciiTheme="minorHAnsi" w:hAnsiTheme="minorHAnsi" w:cstheme="minorHAnsi"/>
          <w:bCs/>
          <w:szCs w:val="24"/>
        </w:rPr>
      </w:pPr>
    </w:p>
    <w:p w14:paraId="20116273" w14:textId="5122A706" w:rsidR="00E40A44" w:rsidRPr="00E45040" w:rsidRDefault="00E40A44" w:rsidP="002E477E">
      <w:pPr>
        <w:jc w:val="both"/>
        <w:rPr>
          <w:bCs/>
          <w:szCs w:val="24"/>
        </w:rPr>
      </w:pPr>
      <w:r w:rsidRPr="00E45040">
        <w:rPr>
          <w:bCs/>
          <w:szCs w:val="24"/>
        </w:rPr>
        <w:t xml:space="preserve">Une délégation de </w:t>
      </w:r>
      <w:r w:rsidR="00E848A5" w:rsidRPr="00E45040">
        <w:rPr>
          <w:bCs/>
          <w:szCs w:val="24"/>
        </w:rPr>
        <w:t>l’</w:t>
      </w:r>
      <w:r w:rsidRPr="00E45040">
        <w:rPr>
          <w:bCs/>
          <w:szCs w:val="24"/>
        </w:rPr>
        <w:t xml:space="preserve">Équipe Europe s’est rendue en visite officielle au Bénin du 18 au 20 mars 2024 pour renforcer le partenariat entre l’Union européenne (UE) et le Bénin. Constituée de haut dirigeants des institutions européennes, de plusieurs agences et banques de développement européennes et de représentants des États membres de l’UE, la mission a pu développer des échanges fructueux avec le gouvernement béninois et procédé à la signature de plusieurs accords de financement pour un montant total de 166 millions d’euros soit environ 109 milliards de Francs CFA.  </w:t>
      </w:r>
    </w:p>
    <w:p w14:paraId="55FAA4D3" w14:textId="77777777" w:rsidR="00E40A44" w:rsidRPr="00E45040" w:rsidRDefault="00E40A44" w:rsidP="002E477E">
      <w:pPr>
        <w:jc w:val="both"/>
        <w:rPr>
          <w:bCs/>
          <w:szCs w:val="24"/>
        </w:rPr>
      </w:pPr>
    </w:p>
    <w:p w14:paraId="0B9224B2" w14:textId="05172126" w:rsidR="00E40A44" w:rsidRPr="00E45040" w:rsidRDefault="00E40A44" w:rsidP="002E477E">
      <w:pPr>
        <w:jc w:val="both"/>
        <w:rPr>
          <w:szCs w:val="24"/>
        </w:rPr>
      </w:pPr>
      <w:bookmarkStart w:id="0" w:name="_Hlk161306114"/>
      <w:r w:rsidRPr="00E45040">
        <w:rPr>
          <w:szCs w:val="24"/>
        </w:rPr>
        <w:t xml:space="preserve">A l’issue d’une séance de travail interministérielle, organisée par le Ministre d’État, Ministre de l’Économie et des Finances Romuald </w:t>
      </w:r>
      <w:proofErr w:type="spellStart"/>
      <w:r w:rsidRPr="00E45040">
        <w:rPr>
          <w:szCs w:val="24"/>
        </w:rPr>
        <w:t>Wadagni</w:t>
      </w:r>
      <w:proofErr w:type="spellEnd"/>
      <w:r w:rsidRPr="00E45040">
        <w:rPr>
          <w:szCs w:val="24"/>
        </w:rPr>
        <w:t xml:space="preserve">, </w:t>
      </w:r>
      <w:r w:rsidRPr="00E45040">
        <w:rPr>
          <w:rStyle w:val="Emphasis"/>
          <w:i w:val="0"/>
          <w:szCs w:val="24"/>
        </w:rPr>
        <w:t xml:space="preserve">Koen </w:t>
      </w:r>
      <w:proofErr w:type="spellStart"/>
      <w:r w:rsidRPr="00E45040">
        <w:rPr>
          <w:rStyle w:val="Emphasis"/>
          <w:i w:val="0"/>
          <w:szCs w:val="24"/>
        </w:rPr>
        <w:t>Doens</w:t>
      </w:r>
      <w:proofErr w:type="spellEnd"/>
      <w:r w:rsidRPr="00E45040">
        <w:rPr>
          <w:rStyle w:val="Emphasis"/>
          <w:i w:val="0"/>
          <w:szCs w:val="24"/>
        </w:rPr>
        <w:t xml:space="preserve"> le Directeur général des Partenariats internationaux au sein de la Commission européenne </w:t>
      </w:r>
      <w:r w:rsidR="002E477E" w:rsidRPr="00E45040">
        <w:rPr>
          <w:rStyle w:val="Emphasis"/>
          <w:i w:val="0"/>
          <w:szCs w:val="24"/>
        </w:rPr>
        <w:t xml:space="preserve">et Roger Stuart, Chef du pôle régional Afrique de l’Ouest et Centrale de la Banque européenne d’investissement (BEI), </w:t>
      </w:r>
      <w:r w:rsidRPr="00E45040">
        <w:rPr>
          <w:rStyle w:val="Emphasis"/>
          <w:i w:val="0"/>
          <w:szCs w:val="24"/>
        </w:rPr>
        <w:t xml:space="preserve">ont </w:t>
      </w:r>
      <w:r w:rsidRPr="00E45040">
        <w:rPr>
          <w:bCs/>
          <w:szCs w:val="24"/>
        </w:rPr>
        <w:t xml:space="preserve">annoncé la mobilisation de l’Union européenne à hauteur de </w:t>
      </w:r>
      <w:r w:rsidRPr="00E45040">
        <w:rPr>
          <w:b/>
          <w:bCs/>
          <w:szCs w:val="24"/>
        </w:rPr>
        <w:t xml:space="preserve">166 millions d’euros </w:t>
      </w:r>
      <w:r w:rsidRPr="00E45040">
        <w:rPr>
          <w:bCs/>
          <w:szCs w:val="24"/>
        </w:rPr>
        <w:t>soit environ</w:t>
      </w:r>
      <w:r w:rsidRPr="00E45040">
        <w:rPr>
          <w:b/>
          <w:bCs/>
          <w:szCs w:val="24"/>
        </w:rPr>
        <w:t xml:space="preserve"> 109 milliards de Francs CFA. </w:t>
      </w:r>
      <w:r w:rsidR="002E477E" w:rsidRPr="00E45040">
        <w:rPr>
          <w:szCs w:val="24"/>
        </w:rPr>
        <w:t xml:space="preserve">La BEI </w:t>
      </w:r>
      <w:r w:rsidRPr="00E45040">
        <w:rPr>
          <w:szCs w:val="24"/>
        </w:rPr>
        <w:t xml:space="preserve">a notamment réaffirmé son engagement à mettre en œuvre dans le cadre de BEI Monde, la branche de la BEI dédiée au développement et aux partenariats internationaux, deux projets à fort impact pour les populations dans le domaine de l’eau et de la résilience climatique via un financement global de 132 millions d’euros, soit environ 86,3 milliards de Francs CFA. </w:t>
      </w:r>
    </w:p>
    <w:p w14:paraId="009685AD" w14:textId="77777777" w:rsidR="00E40A44" w:rsidRPr="00E45040" w:rsidRDefault="00E40A44" w:rsidP="002E477E">
      <w:pPr>
        <w:jc w:val="both"/>
        <w:rPr>
          <w:b/>
          <w:bCs/>
          <w:szCs w:val="24"/>
        </w:rPr>
      </w:pPr>
    </w:p>
    <w:p w14:paraId="2992FC7D" w14:textId="2129F75B" w:rsidR="00E40A44" w:rsidRPr="00E45040" w:rsidRDefault="00E40A44" w:rsidP="002E477E">
      <w:pPr>
        <w:jc w:val="both"/>
        <w:rPr>
          <w:szCs w:val="24"/>
          <w:lang w:eastAsia="de-DE"/>
        </w:rPr>
      </w:pPr>
      <w:r w:rsidRPr="00E45040">
        <w:rPr>
          <w:szCs w:val="24"/>
        </w:rPr>
        <w:t>Cette forte mobilisation a pour objectif de soutenir</w:t>
      </w:r>
      <w:r w:rsidRPr="00E45040">
        <w:rPr>
          <w:b/>
          <w:bCs/>
          <w:szCs w:val="24"/>
        </w:rPr>
        <w:t xml:space="preserve"> </w:t>
      </w:r>
      <w:r w:rsidRPr="00E45040">
        <w:rPr>
          <w:bCs/>
          <w:szCs w:val="24"/>
        </w:rPr>
        <w:t>l’action du Gouvernement dans le cadre d’un programme intégré dans le Nord du pays couvrant les domaines de l’eau et l’assainissement, la résilience et l’entreprenariat, la sécurité, la formation professionnelle et l’énergie.</w:t>
      </w:r>
      <w:r w:rsidRPr="00E45040">
        <w:rPr>
          <w:szCs w:val="24"/>
          <w:lang w:eastAsia="de-DE"/>
        </w:rPr>
        <w:t xml:space="preserve"> Les programmes concernés sont financés par l’Union européenne dans le cadre de </w:t>
      </w:r>
      <w:r w:rsidRPr="00E45040">
        <w:rPr>
          <w:b/>
          <w:szCs w:val="24"/>
          <w:lang w:eastAsia="de-DE"/>
        </w:rPr>
        <w:t>l’instrument financier ‘Global Europe’</w:t>
      </w:r>
      <w:r w:rsidRPr="00E45040">
        <w:rPr>
          <w:szCs w:val="24"/>
          <w:lang w:eastAsia="de-DE"/>
        </w:rPr>
        <w:t xml:space="preserve"> au titre de la </w:t>
      </w:r>
      <w:hyperlink r:id="rId8" w:history="1">
        <w:r w:rsidRPr="00E45040">
          <w:rPr>
            <w:rStyle w:val="Hyperlink"/>
            <w:szCs w:val="24"/>
            <w:lang w:eastAsia="de-DE"/>
          </w:rPr>
          <w:t>programmation 2021-2024</w:t>
        </w:r>
      </w:hyperlink>
      <w:r w:rsidRPr="00E45040">
        <w:rPr>
          <w:szCs w:val="24"/>
          <w:lang w:eastAsia="de-DE"/>
        </w:rPr>
        <w:t xml:space="preserve"> et font partie intégrante de la </w:t>
      </w:r>
      <w:r w:rsidRPr="00E45040">
        <w:rPr>
          <w:b/>
          <w:szCs w:val="24"/>
          <w:lang w:eastAsia="de-DE"/>
        </w:rPr>
        <w:t>stratégie « Global Gateway »</w:t>
      </w:r>
      <w:r w:rsidRPr="00E45040">
        <w:rPr>
          <w:szCs w:val="24"/>
          <w:lang w:eastAsia="de-DE"/>
        </w:rPr>
        <w:t xml:space="preserve">. </w:t>
      </w:r>
    </w:p>
    <w:p w14:paraId="06ED1B8F" w14:textId="77777777" w:rsidR="00E40A44" w:rsidRPr="00E45040" w:rsidRDefault="00E40A44" w:rsidP="002E477E">
      <w:pPr>
        <w:jc w:val="both"/>
        <w:rPr>
          <w:szCs w:val="24"/>
          <w:lang w:eastAsia="de-DE"/>
        </w:rPr>
      </w:pPr>
    </w:p>
    <w:p w14:paraId="5146FB40" w14:textId="5FE033A1" w:rsidR="00E40A44" w:rsidRPr="00E45040" w:rsidRDefault="00E40A44" w:rsidP="002E477E">
      <w:pPr>
        <w:jc w:val="both"/>
        <w:rPr>
          <w:szCs w:val="24"/>
          <w:lang w:eastAsia="de-DE"/>
        </w:rPr>
      </w:pPr>
      <w:r w:rsidRPr="00E45040">
        <w:rPr>
          <w:szCs w:val="24"/>
          <w:lang w:eastAsia="de-DE"/>
        </w:rPr>
        <w:t xml:space="preserve">Ces ressources nouvelles sont mobilisées en soutien au Programme d’Actions du Gouvernement 2021-2026. Elles sont complétées par des co-financements des États membres de l’Union européenne </w:t>
      </w:r>
      <w:r w:rsidRPr="00E45040">
        <w:rPr>
          <w:b/>
          <w:szCs w:val="24"/>
          <w:lang w:eastAsia="de-DE"/>
        </w:rPr>
        <w:t>notamment l’Allemagne, la Belgique, les Pays Bas</w:t>
      </w:r>
      <w:r w:rsidRPr="00E45040">
        <w:rPr>
          <w:szCs w:val="24"/>
          <w:lang w:eastAsia="de-DE"/>
        </w:rPr>
        <w:t xml:space="preserve"> pour un montant total additionnel de </w:t>
      </w:r>
      <w:r w:rsidRPr="00E45040">
        <w:rPr>
          <w:b/>
          <w:szCs w:val="24"/>
          <w:lang w:eastAsia="de-DE"/>
        </w:rPr>
        <w:t xml:space="preserve">50 millions d’euros, </w:t>
      </w:r>
      <w:r w:rsidRPr="00E45040">
        <w:rPr>
          <w:szCs w:val="24"/>
          <w:lang w:eastAsia="de-DE"/>
        </w:rPr>
        <w:t>soit environ</w:t>
      </w:r>
      <w:r w:rsidRPr="00E45040">
        <w:rPr>
          <w:b/>
          <w:szCs w:val="24"/>
          <w:lang w:eastAsia="de-DE"/>
        </w:rPr>
        <w:t xml:space="preserve"> 32,8 milliards de Francs CFA</w:t>
      </w:r>
      <w:r w:rsidRPr="00E45040">
        <w:rPr>
          <w:szCs w:val="24"/>
          <w:lang w:eastAsia="de-DE"/>
        </w:rPr>
        <w:t>.</w:t>
      </w:r>
    </w:p>
    <w:p w14:paraId="37298530" w14:textId="77777777" w:rsidR="00E848A5" w:rsidRPr="00E45040" w:rsidRDefault="00E848A5" w:rsidP="002E477E">
      <w:pPr>
        <w:jc w:val="both"/>
        <w:rPr>
          <w:szCs w:val="24"/>
          <w:lang w:eastAsia="de-DE"/>
        </w:rPr>
      </w:pPr>
    </w:p>
    <w:bookmarkEnd w:id="0"/>
    <w:p w14:paraId="2B21B495" w14:textId="77777777" w:rsidR="00E40A44" w:rsidRPr="00E45040" w:rsidRDefault="00E40A44" w:rsidP="002E477E">
      <w:pPr>
        <w:jc w:val="both"/>
        <w:rPr>
          <w:szCs w:val="24"/>
          <w:lang w:eastAsia="de-DE"/>
        </w:rPr>
      </w:pPr>
      <w:r w:rsidRPr="00E45040">
        <w:rPr>
          <w:szCs w:val="24"/>
          <w:lang w:eastAsia="de-DE"/>
        </w:rPr>
        <w:t xml:space="preserve">Des conventions de délégation vers les agences de développement </w:t>
      </w:r>
      <w:proofErr w:type="spellStart"/>
      <w:r w:rsidRPr="00E45040">
        <w:rPr>
          <w:szCs w:val="24"/>
          <w:lang w:eastAsia="de-DE"/>
        </w:rPr>
        <w:t>Enabel</w:t>
      </w:r>
      <w:proofErr w:type="spellEnd"/>
      <w:r w:rsidRPr="00E45040">
        <w:rPr>
          <w:szCs w:val="24"/>
          <w:lang w:eastAsia="de-DE"/>
        </w:rPr>
        <w:t xml:space="preserve">, GIZ et l’ambassade des Pays Bas ont également été signées pour un montant de </w:t>
      </w:r>
      <w:r w:rsidRPr="00E45040">
        <w:rPr>
          <w:b/>
          <w:szCs w:val="24"/>
          <w:lang w:eastAsia="de-DE"/>
        </w:rPr>
        <w:t xml:space="preserve">34,5 millions d’euros, </w:t>
      </w:r>
      <w:r w:rsidRPr="00E45040">
        <w:rPr>
          <w:szCs w:val="24"/>
          <w:lang w:eastAsia="de-DE"/>
        </w:rPr>
        <w:t>soit environ</w:t>
      </w:r>
      <w:r w:rsidRPr="00E45040">
        <w:rPr>
          <w:b/>
          <w:szCs w:val="24"/>
          <w:lang w:eastAsia="de-DE"/>
        </w:rPr>
        <w:t xml:space="preserve"> 22,6 milliards de Francs CFA. </w:t>
      </w:r>
      <w:r w:rsidRPr="00E45040">
        <w:rPr>
          <w:szCs w:val="24"/>
          <w:lang w:eastAsia="de-DE"/>
        </w:rPr>
        <w:t>Les agences bénéficiaires disposant d’expérience et de savoir-faire dans les domaines concernés, sont chargées de la mise en œuvre des activités prévues avec les parties nationales.</w:t>
      </w:r>
    </w:p>
    <w:p w14:paraId="471990B2" w14:textId="77777777" w:rsidR="00E40A44" w:rsidRPr="00E45040" w:rsidRDefault="00E40A44" w:rsidP="002E477E">
      <w:pPr>
        <w:jc w:val="both"/>
        <w:rPr>
          <w:szCs w:val="24"/>
          <w:lang w:eastAsia="de-DE"/>
        </w:rPr>
      </w:pPr>
    </w:p>
    <w:p w14:paraId="3AD0CAF7" w14:textId="13CB9AAC" w:rsidR="00E40A44" w:rsidRPr="00E45040" w:rsidRDefault="00E40A44" w:rsidP="002E477E">
      <w:pPr>
        <w:jc w:val="both"/>
        <w:rPr>
          <w:bCs/>
          <w:szCs w:val="24"/>
        </w:rPr>
      </w:pPr>
      <w:r w:rsidRPr="00E45040">
        <w:rPr>
          <w:bCs/>
          <w:szCs w:val="24"/>
        </w:rPr>
        <w:t>Lors de la cérémonie de signature, le Directeur général des Partenariats internationaux</w:t>
      </w:r>
      <w:r w:rsidR="00852F7C" w:rsidRPr="00E45040">
        <w:rPr>
          <w:bCs/>
          <w:szCs w:val="24"/>
        </w:rPr>
        <w:t>, M.</w:t>
      </w:r>
      <w:r w:rsidRPr="00E45040">
        <w:rPr>
          <w:bCs/>
          <w:szCs w:val="24"/>
        </w:rPr>
        <w:t xml:space="preserve"> Koen </w:t>
      </w:r>
      <w:proofErr w:type="spellStart"/>
      <w:r w:rsidRPr="00E45040">
        <w:rPr>
          <w:bCs/>
          <w:szCs w:val="24"/>
        </w:rPr>
        <w:t>Doens</w:t>
      </w:r>
      <w:proofErr w:type="spellEnd"/>
      <w:r w:rsidRPr="00E45040">
        <w:rPr>
          <w:bCs/>
          <w:szCs w:val="24"/>
        </w:rPr>
        <w:t xml:space="preserve"> a déclaré : « </w:t>
      </w:r>
      <w:r w:rsidRPr="00E45040">
        <w:rPr>
          <w:bCs/>
          <w:i/>
          <w:szCs w:val="24"/>
        </w:rPr>
        <w:t xml:space="preserve">En ligne avec la stratégie Global Gateway, l’Équipe Europe fédère les expertises pour accompagner le Bénin dans sa stratégie de développement via l’appui à des infrastructures durables de qualité et aux réformes nécessaires pour accélérer la transition verte et digitale au bénéfice de </w:t>
      </w:r>
      <w:proofErr w:type="gramStart"/>
      <w:r w:rsidRPr="00E45040">
        <w:rPr>
          <w:bCs/>
          <w:i/>
          <w:szCs w:val="24"/>
        </w:rPr>
        <w:t>tous</w:t>
      </w:r>
      <w:r w:rsidRPr="00E45040">
        <w:rPr>
          <w:bCs/>
          <w:szCs w:val="24"/>
        </w:rPr>
        <w:t>»</w:t>
      </w:r>
      <w:proofErr w:type="gramEnd"/>
      <w:r w:rsidRPr="00E45040">
        <w:rPr>
          <w:bCs/>
          <w:szCs w:val="24"/>
        </w:rPr>
        <w:t>.</w:t>
      </w:r>
    </w:p>
    <w:p w14:paraId="42FFF237" w14:textId="77777777" w:rsidR="002E477E" w:rsidRPr="00E45040" w:rsidRDefault="002E477E" w:rsidP="002E477E">
      <w:pPr>
        <w:jc w:val="both"/>
        <w:rPr>
          <w:bCs/>
          <w:szCs w:val="24"/>
        </w:rPr>
      </w:pPr>
    </w:p>
    <w:p w14:paraId="7410CD81" w14:textId="1F8B6DCC" w:rsidR="001B3168" w:rsidRPr="00E45040" w:rsidRDefault="0025069A" w:rsidP="002E477E">
      <w:pPr>
        <w:jc w:val="both"/>
        <w:rPr>
          <w:snapToGrid/>
          <w:szCs w:val="24"/>
        </w:rPr>
      </w:pPr>
      <w:r w:rsidRPr="00E45040">
        <w:rPr>
          <w:bCs/>
          <w:szCs w:val="24"/>
        </w:rPr>
        <w:t xml:space="preserve">Le </w:t>
      </w:r>
      <w:bookmarkStart w:id="1" w:name="_Hlk161671452"/>
      <w:r w:rsidRPr="00E45040">
        <w:rPr>
          <w:bCs/>
          <w:szCs w:val="24"/>
        </w:rPr>
        <w:t>Chef du pôle régional Afrique de l’Ouest et Central</w:t>
      </w:r>
      <w:r w:rsidR="00852F7C" w:rsidRPr="00E45040">
        <w:rPr>
          <w:bCs/>
          <w:szCs w:val="24"/>
        </w:rPr>
        <w:t>e</w:t>
      </w:r>
      <w:r w:rsidRPr="00E45040">
        <w:rPr>
          <w:bCs/>
          <w:szCs w:val="24"/>
        </w:rPr>
        <w:t xml:space="preserve"> de la BEI, M. Roger Stuart </w:t>
      </w:r>
      <w:bookmarkEnd w:id="1"/>
      <w:r w:rsidR="00E40A44" w:rsidRPr="00E45040">
        <w:rPr>
          <w:bCs/>
          <w:szCs w:val="24"/>
        </w:rPr>
        <w:t xml:space="preserve">a déclaré : </w:t>
      </w:r>
      <w:r w:rsidR="001B3168" w:rsidRPr="00E45040">
        <w:rPr>
          <w:i/>
          <w:iCs/>
          <w:szCs w:val="24"/>
          <w:lang w:val="fr-BE"/>
        </w:rPr>
        <w:t xml:space="preserve">« Je suis très heureux que la BEI finance deux nouveaux projets à fort impact pour les populations du Nord du Bénin dans le domaine de l’eau et de l’adaptation aux effets climatiques. Le premier financement d’un montant de 62 M€ permettra de renforcer le système d'approvisionnement en eau potable tant en milieu </w:t>
      </w:r>
      <w:r w:rsidR="001B3168" w:rsidRPr="00E45040">
        <w:rPr>
          <w:i/>
          <w:iCs/>
          <w:szCs w:val="24"/>
          <w:lang w:val="fr-BE"/>
        </w:rPr>
        <w:lastRenderedPageBreak/>
        <w:t>urbain que rural. La BEI s’engage également à soutenir à hauteur de 70 M€ les villes du Bénin face aux inondations récurrentes afin qu’elles puissent bénéficier d’infrastructures de drainage modernisées et adaptées. En agissant ainsi, la BEI est très heureuse de répondre avec force, avec ses partenaires de Team Europe, à la mise en œuvre de la stratégie Global Gateway. »</w:t>
      </w:r>
    </w:p>
    <w:p w14:paraId="0040F4F9" w14:textId="77777777" w:rsidR="00E40A44" w:rsidRPr="00E45040" w:rsidRDefault="00E40A44" w:rsidP="002E477E">
      <w:pPr>
        <w:jc w:val="both"/>
        <w:rPr>
          <w:bCs/>
          <w:szCs w:val="24"/>
        </w:rPr>
      </w:pPr>
    </w:p>
    <w:p w14:paraId="202B93B1" w14:textId="77777777" w:rsidR="007F57F2" w:rsidRPr="00E45040" w:rsidRDefault="00E40A44" w:rsidP="007F5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i/>
          <w:iCs/>
          <w:szCs w:val="24"/>
          <w:lang w:val="fr-BE"/>
        </w:rPr>
      </w:pPr>
      <w:r w:rsidRPr="00E45040">
        <w:rPr>
          <w:bCs/>
          <w:szCs w:val="24"/>
        </w:rPr>
        <w:t>Le Ministre d</w:t>
      </w:r>
      <w:r w:rsidR="007F57F2" w:rsidRPr="00E45040">
        <w:rPr>
          <w:bCs/>
          <w:szCs w:val="24"/>
        </w:rPr>
        <w:t xml:space="preserve">’État Romuald </w:t>
      </w:r>
      <w:proofErr w:type="spellStart"/>
      <w:r w:rsidR="007F57F2" w:rsidRPr="00E45040">
        <w:rPr>
          <w:bCs/>
          <w:szCs w:val="24"/>
        </w:rPr>
        <w:t>Wadagni</w:t>
      </w:r>
      <w:proofErr w:type="spellEnd"/>
      <w:r w:rsidR="007F57F2" w:rsidRPr="00E45040">
        <w:rPr>
          <w:bCs/>
          <w:szCs w:val="24"/>
        </w:rPr>
        <w:t xml:space="preserve"> a déclaré : </w:t>
      </w:r>
      <w:r w:rsidR="007F57F2" w:rsidRPr="00E45040">
        <w:rPr>
          <w:i/>
          <w:iCs/>
          <w:szCs w:val="24"/>
          <w:lang w:val="fr-BE"/>
        </w:rPr>
        <w:t>« le partenariat avec l’Union européenne est très fructueux, les actions sont en cohérence avec les orientations du gouvernement et se mettent en œuvre efficacement pour une amélioration rapide des conditions de vie des populations. »</w:t>
      </w:r>
    </w:p>
    <w:p w14:paraId="1BAC509B" w14:textId="7279ED38" w:rsidR="00E40A44" w:rsidRPr="00E45040" w:rsidRDefault="007F57F2" w:rsidP="002E4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b/>
          <w:szCs w:val="24"/>
        </w:rPr>
      </w:pPr>
      <w:r w:rsidRPr="00E45040">
        <w:rPr>
          <w:bCs/>
          <w:szCs w:val="24"/>
        </w:rPr>
        <w:t xml:space="preserve"> </w:t>
      </w:r>
    </w:p>
    <w:p w14:paraId="3C9CFB89" w14:textId="77777777" w:rsidR="00E40A44" w:rsidRPr="00E45040" w:rsidRDefault="00E40A44" w:rsidP="002E477E">
      <w:pPr>
        <w:jc w:val="both"/>
        <w:rPr>
          <w:b/>
          <w:szCs w:val="24"/>
        </w:rPr>
      </w:pPr>
      <w:r w:rsidRPr="00E45040">
        <w:rPr>
          <w:b/>
          <w:szCs w:val="24"/>
        </w:rPr>
        <w:t xml:space="preserve">À propos de Global Gateway </w:t>
      </w:r>
    </w:p>
    <w:p w14:paraId="6D6A9D92" w14:textId="77777777" w:rsidR="00E40A44" w:rsidRPr="00E45040" w:rsidRDefault="00E40A44" w:rsidP="002E477E">
      <w:pPr>
        <w:jc w:val="both"/>
        <w:rPr>
          <w:szCs w:val="24"/>
        </w:rPr>
      </w:pPr>
    </w:p>
    <w:p w14:paraId="2E2BCBF9" w14:textId="77777777" w:rsidR="00E40A44" w:rsidRPr="00E45040" w:rsidRDefault="00E40A44" w:rsidP="002E477E">
      <w:pPr>
        <w:jc w:val="both"/>
        <w:rPr>
          <w:szCs w:val="24"/>
          <w:lang w:val="fr-BE"/>
        </w:rPr>
      </w:pPr>
      <w:r w:rsidRPr="00E45040">
        <w:rPr>
          <w:szCs w:val="24"/>
          <w:lang w:val="fr-BE"/>
        </w:rPr>
        <w:t>La Stratégie « Global Gateway » est le modèle européen de connectivité de confiance dans les pays partenaires qui s'inscrit dans le long terme et est conforme aux intérêts et aux valeurs de l’UE: l’état de droit, les droits de l’homme et les normes internationales. Il consiste à: faire des investissements intelligents, propres et sûrs dans des infrastructures de qualité; connecter les biens, les personnes et les services dans le monde entier de manière durable.</w:t>
      </w:r>
    </w:p>
    <w:p w14:paraId="613CD284" w14:textId="77777777" w:rsidR="00E40A44" w:rsidRPr="00E45040" w:rsidRDefault="00E40A44" w:rsidP="002E477E">
      <w:pPr>
        <w:jc w:val="both"/>
        <w:rPr>
          <w:szCs w:val="24"/>
        </w:rPr>
      </w:pPr>
    </w:p>
    <w:p w14:paraId="75650198" w14:textId="77777777" w:rsidR="00E40A44" w:rsidRPr="00E45040" w:rsidRDefault="00E40A44" w:rsidP="002E477E">
      <w:pPr>
        <w:jc w:val="both"/>
        <w:rPr>
          <w:b/>
          <w:snapToGrid/>
          <w:szCs w:val="24"/>
          <w:lang w:val="fr-BE" w:bidi="ar-SA"/>
        </w:rPr>
      </w:pPr>
      <w:r w:rsidRPr="00E45040">
        <w:rPr>
          <w:b/>
          <w:snapToGrid/>
          <w:szCs w:val="24"/>
          <w:lang w:val="fr-BE" w:bidi="ar-SA"/>
        </w:rPr>
        <w:t>Plus d'informations</w:t>
      </w:r>
    </w:p>
    <w:bookmarkStart w:id="2" w:name="_GoBack"/>
    <w:bookmarkEnd w:id="2"/>
    <w:p w14:paraId="41A5EC85" w14:textId="77777777" w:rsidR="00E40A44" w:rsidRPr="00E45040" w:rsidRDefault="002521DD" w:rsidP="002E477E">
      <w:pPr>
        <w:jc w:val="both"/>
        <w:rPr>
          <w:snapToGrid/>
          <w:szCs w:val="24"/>
          <w:lang w:val="fr-BE" w:bidi="ar-SA"/>
        </w:rPr>
      </w:pPr>
      <w:r w:rsidRPr="00E45040">
        <w:rPr>
          <w:szCs w:val="24"/>
        </w:rPr>
        <w:fldChar w:fldCharType="begin"/>
      </w:r>
      <w:r w:rsidRPr="00E45040">
        <w:rPr>
          <w:szCs w:val="24"/>
        </w:rPr>
        <w:instrText xml:space="preserve"> HYPERLINK "https://ec.europa.eu/international-partnerships/global-europe-programming_en" </w:instrText>
      </w:r>
      <w:r w:rsidRPr="00E45040">
        <w:rPr>
          <w:szCs w:val="24"/>
        </w:rPr>
        <w:fldChar w:fldCharType="separate"/>
      </w:r>
      <w:r w:rsidR="00E40A44" w:rsidRPr="00E45040">
        <w:rPr>
          <w:snapToGrid/>
          <w:color w:val="0000FF"/>
          <w:szCs w:val="24"/>
          <w:u w:val="single"/>
          <w:lang w:val="fr-BE" w:bidi="ar-SA"/>
        </w:rPr>
        <w:t xml:space="preserve">Global Europe - </w:t>
      </w:r>
      <w:proofErr w:type="spellStart"/>
      <w:r w:rsidR="00E40A44" w:rsidRPr="00E45040">
        <w:rPr>
          <w:snapToGrid/>
          <w:color w:val="0000FF"/>
          <w:szCs w:val="24"/>
          <w:u w:val="single"/>
          <w:lang w:val="fr-BE" w:bidi="ar-SA"/>
        </w:rPr>
        <w:t>Programming</w:t>
      </w:r>
      <w:proofErr w:type="spellEnd"/>
      <w:r w:rsidR="00E40A44" w:rsidRPr="00E45040">
        <w:rPr>
          <w:snapToGrid/>
          <w:color w:val="0000FF"/>
          <w:szCs w:val="24"/>
          <w:u w:val="single"/>
          <w:lang w:val="fr-BE" w:bidi="ar-SA"/>
        </w:rPr>
        <w:t xml:space="preserve"> | International </w:t>
      </w:r>
      <w:proofErr w:type="spellStart"/>
      <w:r w:rsidR="00E40A44" w:rsidRPr="00E45040">
        <w:rPr>
          <w:snapToGrid/>
          <w:color w:val="0000FF"/>
          <w:szCs w:val="24"/>
          <w:u w:val="single"/>
          <w:lang w:val="fr-BE" w:bidi="ar-SA"/>
        </w:rPr>
        <w:t>Partnerships</w:t>
      </w:r>
      <w:proofErr w:type="spellEnd"/>
      <w:r w:rsidR="00E40A44" w:rsidRPr="00E45040">
        <w:rPr>
          <w:snapToGrid/>
          <w:color w:val="0000FF"/>
          <w:szCs w:val="24"/>
          <w:u w:val="single"/>
          <w:lang w:val="fr-BE" w:bidi="ar-SA"/>
        </w:rPr>
        <w:t xml:space="preserve"> (europa.eu)</w:t>
      </w:r>
      <w:r w:rsidRPr="00E45040">
        <w:rPr>
          <w:snapToGrid/>
          <w:color w:val="0000FF"/>
          <w:szCs w:val="24"/>
          <w:u w:val="single"/>
          <w:lang w:val="fr-BE" w:bidi="ar-SA"/>
        </w:rPr>
        <w:fldChar w:fldCharType="end"/>
      </w:r>
    </w:p>
    <w:p w14:paraId="156F7972" w14:textId="012F7244" w:rsidR="00E40A44" w:rsidRPr="00E45040" w:rsidRDefault="002521DD" w:rsidP="002E477E">
      <w:pPr>
        <w:jc w:val="both"/>
        <w:rPr>
          <w:snapToGrid/>
          <w:color w:val="0000FF"/>
          <w:szCs w:val="24"/>
          <w:u w:val="single"/>
          <w:lang w:val="en-GB" w:bidi="ar-SA"/>
        </w:rPr>
      </w:pPr>
      <w:hyperlink r:id="rId9" w:history="1">
        <w:r w:rsidR="00E40A44" w:rsidRPr="00E45040">
          <w:rPr>
            <w:snapToGrid/>
            <w:color w:val="0000FF"/>
            <w:szCs w:val="24"/>
            <w:u w:val="single"/>
            <w:lang w:val="en-GB" w:bidi="ar-SA"/>
          </w:rPr>
          <w:t>Global Europe: Neighbourhood, Development and International Cooper</w:t>
        </w:r>
        <w:r w:rsidR="0032667A" w:rsidRPr="00E45040">
          <w:rPr>
            <w:snapToGrid/>
            <w:color w:val="0000FF"/>
            <w:szCs w:val="24"/>
            <w:u w:val="single"/>
            <w:lang w:val="en-GB" w:bidi="ar-SA"/>
          </w:rPr>
          <w:t xml:space="preserve">ation Instrument-Global Europe </w:t>
        </w:r>
        <w:r w:rsidR="00E40A44" w:rsidRPr="00E45040">
          <w:rPr>
            <w:snapToGrid/>
            <w:color w:val="0000FF"/>
            <w:szCs w:val="24"/>
            <w:u w:val="single"/>
            <w:lang w:val="en-GB" w:bidi="ar-SA"/>
          </w:rPr>
          <w:t>International Partnerships (europa.eu)</w:t>
        </w:r>
      </w:hyperlink>
    </w:p>
    <w:p w14:paraId="7092B6B2" w14:textId="77777777" w:rsidR="00E40A44" w:rsidRPr="00E45040" w:rsidRDefault="002521DD" w:rsidP="002E477E">
      <w:pPr>
        <w:jc w:val="both"/>
        <w:rPr>
          <w:snapToGrid/>
          <w:color w:val="0000FF"/>
          <w:szCs w:val="24"/>
          <w:u w:val="single"/>
          <w:lang w:val="en-GB" w:bidi="ar-SA"/>
        </w:rPr>
      </w:pPr>
      <w:hyperlink r:id="rId10" w:history="1">
        <w:r w:rsidR="00E40A44" w:rsidRPr="00E45040">
          <w:rPr>
            <w:snapToGrid/>
            <w:color w:val="0000FF"/>
            <w:szCs w:val="24"/>
            <w:u w:val="single"/>
            <w:lang w:val="en-GB" w:bidi="ar-SA"/>
          </w:rPr>
          <w:t>Global Gateway | European Commission (europa.eu)</w:t>
        </w:r>
      </w:hyperlink>
    </w:p>
    <w:p w14:paraId="718F5402" w14:textId="77777777" w:rsidR="002E477E" w:rsidRPr="00E45040" w:rsidRDefault="002E477E" w:rsidP="002E477E">
      <w:pPr>
        <w:jc w:val="both"/>
        <w:rPr>
          <w:snapToGrid/>
          <w:color w:val="0000FF"/>
          <w:szCs w:val="24"/>
          <w:u w:val="single"/>
          <w:lang w:val="en-GB" w:bidi="ar-SA"/>
        </w:rPr>
      </w:pPr>
    </w:p>
    <w:p w14:paraId="0CEBA275" w14:textId="10C5691A" w:rsidR="002E477E" w:rsidRPr="00E45040" w:rsidRDefault="002E477E" w:rsidP="002E477E">
      <w:pPr>
        <w:jc w:val="both"/>
        <w:rPr>
          <w:b/>
          <w:bCs/>
          <w:snapToGrid/>
          <w:color w:val="000000" w:themeColor="text1"/>
          <w:szCs w:val="24"/>
          <w:lang w:val="fr-BE" w:bidi="ar-SA"/>
        </w:rPr>
      </w:pPr>
      <w:r w:rsidRPr="00E45040">
        <w:rPr>
          <w:b/>
          <w:bCs/>
          <w:snapToGrid/>
          <w:color w:val="000000" w:themeColor="text1"/>
          <w:szCs w:val="24"/>
          <w:lang w:val="fr-BE" w:bidi="ar-SA"/>
        </w:rPr>
        <w:t xml:space="preserve">A propos de </w:t>
      </w:r>
      <w:r w:rsidR="00357396" w:rsidRPr="00E45040">
        <w:rPr>
          <w:b/>
          <w:bCs/>
          <w:snapToGrid/>
          <w:color w:val="000000" w:themeColor="text1"/>
          <w:szCs w:val="24"/>
          <w:lang w:val="fr-BE" w:bidi="ar-SA"/>
        </w:rPr>
        <w:t>la BEI</w:t>
      </w:r>
    </w:p>
    <w:p w14:paraId="64B0EC57" w14:textId="77777777" w:rsidR="00357396" w:rsidRPr="00E45040" w:rsidRDefault="00357396" w:rsidP="00357396">
      <w:pPr>
        <w:pStyle w:val="Default"/>
        <w:rPr>
          <w:rFonts w:ascii="Times New Roman" w:hAnsi="Times New Roman" w:cs="Times New Roman"/>
          <w:lang w:val="fr-BE"/>
        </w:rPr>
      </w:pPr>
      <w:r w:rsidRPr="00E45040">
        <w:rPr>
          <w:rFonts w:ascii="Times New Roman" w:hAnsi="Times New Roman" w:cs="Times New Roman"/>
          <w:b/>
          <w:bCs/>
          <w:lang w:val="fr-BE"/>
        </w:rPr>
        <w:t xml:space="preserve">La Banque européenne d’investissement (BEI) </w:t>
      </w:r>
    </w:p>
    <w:p w14:paraId="42CC35C0" w14:textId="7E6C73F0" w:rsidR="00357396" w:rsidRPr="00E45040" w:rsidRDefault="00357396" w:rsidP="00357396">
      <w:pPr>
        <w:jc w:val="both"/>
        <w:rPr>
          <w:szCs w:val="24"/>
          <w:lang w:val="fr-BE"/>
        </w:rPr>
      </w:pPr>
      <w:r w:rsidRPr="00E45040">
        <w:rPr>
          <w:szCs w:val="24"/>
          <w:lang w:val="fr-BE"/>
        </w:rPr>
        <w:t xml:space="preserve">La BEI et le Bénin ont un partenariat de grande qualité depuis 1972. Notre action s’est concrétisée par un soutien accru à des projets concrets ayant un impact sur la vie quotidienne des Béninoises et béninois. En tout, ce sont plus de 600 millions d’euros soit environ 394 </w:t>
      </w:r>
      <w:bookmarkStart w:id="3" w:name="_Hlk161491680"/>
      <w:r w:rsidRPr="00E45040">
        <w:rPr>
          <w:szCs w:val="24"/>
          <w:lang w:val="fr-BE"/>
        </w:rPr>
        <w:t xml:space="preserve">milliards de Francs CFA </w:t>
      </w:r>
      <w:bookmarkEnd w:id="3"/>
      <w:r w:rsidRPr="00E45040">
        <w:rPr>
          <w:szCs w:val="24"/>
          <w:lang w:val="fr-BE"/>
        </w:rPr>
        <w:t xml:space="preserve">qui ont été investis dans des domaines clefs pour le pays : la microfinance et le soutien aux entreprises, l’agriculture, l’eau et l’assainissement, l’adaptation climatique et l’environnement, l’innovation et l’énergie. </w:t>
      </w:r>
    </w:p>
    <w:p w14:paraId="7757B111" w14:textId="77777777" w:rsidR="00357396" w:rsidRPr="00E45040" w:rsidRDefault="00357396" w:rsidP="00357396">
      <w:pPr>
        <w:jc w:val="both"/>
        <w:rPr>
          <w:szCs w:val="24"/>
        </w:rPr>
      </w:pPr>
    </w:p>
    <w:p w14:paraId="275D17A2" w14:textId="0E5BEB1F" w:rsidR="00357396" w:rsidRPr="00E45040" w:rsidRDefault="00357396" w:rsidP="00357396">
      <w:pPr>
        <w:jc w:val="both"/>
        <w:rPr>
          <w:b/>
          <w:bCs/>
          <w:snapToGrid/>
          <w:color w:val="000000" w:themeColor="text1"/>
          <w:szCs w:val="24"/>
          <w:lang w:val="fr-BE" w:bidi="ar-SA"/>
        </w:rPr>
      </w:pPr>
      <w:r w:rsidRPr="00E45040">
        <w:rPr>
          <w:szCs w:val="24"/>
        </w:rPr>
        <w:t>La Banque européenne d’investissement (BEI), dont les actionnaires sont les États membres de l’Union européenne (UE), est l’institution de financement à long terme de l’UE. BEI Monde, la branche spécialisée de la BEI, a pour ambition d’accroître l’impact des partenariats internationaux et du financement du développement à l’extérieur de l’Union européenne. BEI Monde est un partenaire essentiel de la stratégie Global Gateway de l’UE et vise à favoriser des partenariats plus forts et plus ciblés au sein de l’Équipe Europe aux côtés d’autres institutions de financement du développement et de la société civile. BEI Monde rapproche la BEI des populations, des entreprises et des institutions locales par l’intermédiaire de ses bureaux répartis dans le monde.</w:t>
      </w:r>
    </w:p>
    <w:p w14:paraId="55F14389" w14:textId="21A8C25D" w:rsidR="00E40A44" w:rsidRPr="00E45040" w:rsidRDefault="00E40A44" w:rsidP="002E477E">
      <w:pPr>
        <w:jc w:val="both"/>
        <w:rPr>
          <w:rStyle w:val="Hyperlink"/>
          <w:szCs w:val="24"/>
          <w:lang w:val="fr-BE"/>
        </w:rPr>
      </w:pPr>
    </w:p>
    <w:p w14:paraId="23B8BD55" w14:textId="77777777" w:rsidR="00E40A44" w:rsidRPr="00E45040" w:rsidRDefault="00E40A44" w:rsidP="002E4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b/>
          <w:szCs w:val="24"/>
          <w:lang w:val="fr-BE"/>
        </w:rPr>
      </w:pPr>
      <w:r w:rsidRPr="00E45040">
        <w:rPr>
          <w:b/>
          <w:szCs w:val="24"/>
          <w:lang w:val="fr-BE"/>
        </w:rPr>
        <w:t>Contacts:</w:t>
      </w:r>
    </w:p>
    <w:p w14:paraId="01442233" w14:textId="77777777" w:rsidR="00E40A44" w:rsidRPr="00E45040" w:rsidRDefault="00E40A44" w:rsidP="002E477E">
      <w:pPr>
        <w:jc w:val="both"/>
        <w:rPr>
          <w:b/>
          <w:bCs/>
          <w:szCs w:val="24"/>
          <w:lang w:val="fr-BE"/>
        </w:rPr>
      </w:pPr>
      <w:bookmarkStart w:id="4" w:name="_Hlk161318860"/>
      <w:r w:rsidRPr="00E45040">
        <w:rPr>
          <w:b/>
          <w:bCs/>
          <w:szCs w:val="24"/>
          <w:lang w:val="fr-BE"/>
        </w:rPr>
        <w:t xml:space="preserve">BEI </w:t>
      </w:r>
    </w:p>
    <w:p w14:paraId="2DE0BA79" w14:textId="77777777" w:rsidR="00E40A44" w:rsidRPr="00E45040" w:rsidRDefault="00E40A44" w:rsidP="002E477E">
      <w:pPr>
        <w:rPr>
          <w:szCs w:val="24"/>
          <w:lang w:val="fr-BE"/>
        </w:rPr>
      </w:pPr>
      <w:r w:rsidRPr="00E45040">
        <w:rPr>
          <w:b/>
          <w:bCs/>
          <w:szCs w:val="24"/>
          <w:lang w:val="fr-BE"/>
        </w:rPr>
        <w:t>Anne-Cécile Auguin</w:t>
      </w:r>
      <w:r w:rsidRPr="00E45040">
        <w:rPr>
          <w:rStyle w:val="Strong"/>
          <w:szCs w:val="24"/>
          <w:lang w:val="fr-BE"/>
        </w:rPr>
        <w:t xml:space="preserve">, </w:t>
      </w:r>
      <w:hyperlink r:id="rId11" w:history="1">
        <w:r w:rsidRPr="00E45040">
          <w:rPr>
            <w:rStyle w:val="Hyperlink"/>
            <w:szCs w:val="24"/>
            <w:lang w:val="fr-BE"/>
          </w:rPr>
          <w:t>a.auguin@eib.org</w:t>
        </w:r>
      </w:hyperlink>
      <w:r w:rsidRPr="00E45040">
        <w:rPr>
          <w:szCs w:val="24"/>
          <w:lang w:val="fr-BE"/>
        </w:rPr>
        <w:t xml:space="preserve">, </w:t>
      </w:r>
      <w:r w:rsidRPr="00E45040">
        <w:rPr>
          <w:rStyle w:val="ui-iconui-icon-mail-closed"/>
          <w:szCs w:val="24"/>
          <w:lang w:val="fr-BE"/>
        </w:rPr>
        <w:t>Tel:</w:t>
      </w:r>
      <w:r w:rsidRPr="00E45040">
        <w:rPr>
          <w:rStyle w:val="ui-iconui-icon-eib-phone"/>
          <w:szCs w:val="24"/>
          <w:lang w:val="fr-BE"/>
        </w:rPr>
        <w:t> </w:t>
      </w:r>
      <w:r w:rsidRPr="00E45040">
        <w:rPr>
          <w:szCs w:val="24"/>
          <w:lang w:val="fr-BE"/>
        </w:rPr>
        <w:t xml:space="preserve"> +352 621 36 19 48</w:t>
      </w:r>
    </w:p>
    <w:p w14:paraId="215E736D" w14:textId="77777777" w:rsidR="00E40A44" w:rsidRPr="00E45040" w:rsidRDefault="00E40A44" w:rsidP="002E477E">
      <w:pPr>
        <w:rPr>
          <w:szCs w:val="24"/>
          <w:lang w:val="en-GB"/>
        </w:rPr>
      </w:pPr>
      <w:r w:rsidRPr="00E45040">
        <w:rPr>
          <w:b/>
          <w:bCs/>
          <w:szCs w:val="24"/>
          <w:lang w:val="en-GB"/>
        </w:rPr>
        <w:t xml:space="preserve">Isabelle </w:t>
      </w:r>
      <w:proofErr w:type="spellStart"/>
      <w:r w:rsidRPr="00E45040">
        <w:rPr>
          <w:b/>
          <w:bCs/>
          <w:szCs w:val="24"/>
          <w:lang w:val="en-GB"/>
        </w:rPr>
        <w:t>Vovor</w:t>
      </w:r>
      <w:proofErr w:type="spellEnd"/>
      <w:r w:rsidRPr="00E45040">
        <w:rPr>
          <w:szCs w:val="24"/>
          <w:lang w:val="en-GB"/>
        </w:rPr>
        <w:t xml:space="preserve">, </w:t>
      </w:r>
      <w:hyperlink r:id="rId12" w:history="1">
        <w:r w:rsidRPr="00E45040">
          <w:rPr>
            <w:rStyle w:val="Hyperlink"/>
            <w:szCs w:val="24"/>
            <w:lang w:val="en-GB"/>
          </w:rPr>
          <w:t>i.vovor@ext.eib.org</w:t>
        </w:r>
      </w:hyperlink>
      <w:r w:rsidRPr="00E45040">
        <w:rPr>
          <w:szCs w:val="24"/>
          <w:lang w:val="en-GB"/>
        </w:rPr>
        <w:t>, Tel: +225 07 67 47 66 31</w:t>
      </w:r>
      <w:r w:rsidRPr="00E45040">
        <w:rPr>
          <w:szCs w:val="24"/>
          <w:lang w:val="en-GB"/>
        </w:rPr>
        <w:br/>
        <w:t xml:space="preserve">Website: </w:t>
      </w:r>
      <w:hyperlink r:id="rId13" w:history="1">
        <w:r w:rsidRPr="00E45040">
          <w:rPr>
            <w:rStyle w:val="Hyperlink"/>
            <w:szCs w:val="24"/>
            <w:lang w:val="en-GB"/>
          </w:rPr>
          <w:t>www.eib.org/press</w:t>
        </w:r>
      </w:hyperlink>
      <w:r w:rsidRPr="00E45040">
        <w:rPr>
          <w:szCs w:val="24"/>
          <w:lang w:val="en-GB"/>
        </w:rPr>
        <w:t xml:space="preserve"> - Press </w:t>
      </w:r>
      <w:proofErr w:type="gramStart"/>
      <w:r w:rsidRPr="00E45040">
        <w:rPr>
          <w:szCs w:val="24"/>
          <w:lang w:val="en-GB"/>
        </w:rPr>
        <w:t>service :</w:t>
      </w:r>
      <w:proofErr w:type="gramEnd"/>
      <w:r w:rsidRPr="00E45040">
        <w:rPr>
          <w:szCs w:val="24"/>
          <w:lang w:val="en-GB"/>
        </w:rPr>
        <w:t xml:space="preserve"> +352 4379 21000 – </w:t>
      </w:r>
      <w:hyperlink r:id="rId14" w:history="1">
        <w:r w:rsidRPr="00E45040">
          <w:rPr>
            <w:rStyle w:val="Hyperlink"/>
            <w:szCs w:val="24"/>
            <w:lang w:val="en-GB"/>
          </w:rPr>
          <w:t>press@eib.org</w:t>
        </w:r>
      </w:hyperlink>
    </w:p>
    <w:p w14:paraId="3F7ED5CE" w14:textId="77777777" w:rsidR="00E40A44" w:rsidRPr="00E45040" w:rsidRDefault="002521DD" w:rsidP="002E477E">
      <w:pPr>
        <w:pStyle w:val="EIB"/>
        <w:rPr>
          <w:rFonts w:ascii="Times New Roman" w:hAnsi="Times New Roman" w:cs="Times New Roman"/>
          <w:sz w:val="24"/>
          <w:szCs w:val="24"/>
          <w:lang w:val="it-IT"/>
        </w:rPr>
      </w:pPr>
      <w:hyperlink r:id="rId15" w:history="1">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it-IT"/>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fr-BE"/>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fr-BE"/>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fr-BE"/>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fr-BE"/>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fr-BE"/>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fr-BE"/>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fr-BE"/>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fr-BE"/>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E40A44" w:rsidRPr="00E45040">
          <w:rPr>
            <w:rFonts w:ascii="Times New Roman" w:hAnsi="Times New Roman" w:cs="Times New Roman"/>
            <w:noProof/>
            <w:sz w:val="24"/>
            <w:szCs w:val="24"/>
          </w:rPr>
          <w:fldChar w:fldCharType="begin"/>
        </w:r>
        <w:r w:rsidR="00E40A44" w:rsidRPr="00E45040">
          <w:rPr>
            <w:rFonts w:ascii="Times New Roman" w:hAnsi="Times New Roman" w:cs="Times New Roman"/>
            <w:noProof/>
            <w:sz w:val="24"/>
            <w:szCs w:val="24"/>
            <w:lang w:val="fr-BE"/>
          </w:rPr>
          <w:instrText xml:space="preserve"> INCLUDEPICTURE  "cid:image002.png@01D38ABE.1647CD20" \* MERGEFORMATINET </w:instrText>
        </w:r>
        <w:r w:rsidR="00E40A44" w:rsidRPr="00E45040">
          <w:rPr>
            <w:rFonts w:ascii="Times New Roman" w:hAnsi="Times New Roman" w:cs="Times New Roman"/>
            <w:noProof/>
            <w:sz w:val="24"/>
            <w:szCs w:val="24"/>
          </w:rPr>
          <w:fldChar w:fldCharType="separate"/>
        </w:r>
        <w:r w:rsidR="005B3B64" w:rsidRPr="00E45040">
          <w:rPr>
            <w:rFonts w:ascii="Times New Roman" w:hAnsi="Times New Roman" w:cs="Times New Roman"/>
            <w:noProof/>
            <w:sz w:val="24"/>
            <w:szCs w:val="24"/>
          </w:rPr>
          <w:fldChar w:fldCharType="begin"/>
        </w:r>
        <w:r w:rsidR="005B3B64" w:rsidRPr="00E45040">
          <w:rPr>
            <w:rFonts w:ascii="Times New Roman" w:hAnsi="Times New Roman" w:cs="Times New Roman"/>
            <w:noProof/>
            <w:sz w:val="24"/>
            <w:szCs w:val="24"/>
          </w:rPr>
          <w:instrText xml:space="preserve"> INCLUDEPICTURE  "cid:image002.png@01D38ABE.1647CD20" \* MERGEFORMATINET </w:instrText>
        </w:r>
        <w:r w:rsidR="005B3B64" w:rsidRPr="00E45040">
          <w:rPr>
            <w:rFonts w:ascii="Times New Roman" w:hAnsi="Times New Roman" w:cs="Times New Roman"/>
            <w:noProof/>
            <w:sz w:val="24"/>
            <w:szCs w:val="24"/>
          </w:rPr>
          <w:fldChar w:fldCharType="separate"/>
        </w:r>
        <w:r w:rsidR="00532A38" w:rsidRPr="00E45040">
          <w:rPr>
            <w:rFonts w:ascii="Times New Roman" w:hAnsi="Times New Roman" w:cs="Times New Roman"/>
            <w:noProof/>
            <w:sz w:val="24"/>
            <w:szCs w:val="24"/>
          </w:rPr>
          <w:fldChar w:fldCharType="begin"/>
        </w:r>
        <w:r w:rsidR="00532A38" w:rsidRPr="00E45040">
          <w:rPr>
            <w:rFonts w:ascii="Times New Roman" w:hAnsi="Times New Roman" w:cs="Times New Roman"/>
            <w:noProof/>
            <w:sz w:val="24"/>
            <w:szCs w:val="24"/>
          </w:rPr>
          <w:instrText xml:space="preserve"> INCLUDEPICTURE  "cid:image002.png@01D38ABE.1647CD20" \* MERGEFORMATINET </w:instrText>
        </w:r>
        <w:r w:rsidR="00532A38" w:rsidRPr="00E45040">
          <w:rPr>
            <w:rFonts w:ascii="Times New Roman" w:hAnsi="Times New Roman" w:cs="Times New Roman"/>
            <w:noProof/>
            <w:sz w:val="24"/>
            <w:szCs w:val="24"/>
          </w:rPr>
          <w:fldChar w:fldCharType="separate"/>
        </w:r>
        <w:r w:rsidR="00C34B1F" w:rsidRPr="00E45040">
          <w:rPr>
            <w:rFonts w:ascii="Times New Roman" w:hAnsi="Times New Roman" w:cs="Times New Roman"/>
            <w:noProof/>
            <w:sz w:val="24"/>
            <w:szCs w:val="24"/>
          </w:rPr>
          <w:fldChar w:fldCharType="begin"/>
        </w:r>
        <w:r w:rsidR="00C34B1F" w:rsidRPr="00E45040">
          <w:rPr>
            <w:rFonts w:ascii="Times New Roman" w:hAnsi="Times New Roman" w:cs="Times New Roman"/>
            <w:noProof/>
            <w:sz w:val="24"/>
            <w:szCs w:val="24"/>
          </w:rPr>
          <w:instrText xml:space="preserve"> INCLUDEPICTURE  "cid:image002.png@01D38ABE.1647CD20" \* MERGEFORMATINET </w:instrText>
        </w:r>
        <w:r w:rsidR="00C34B1F" w:rsidRPr="00E45040">
          <w:rPr>
            <w:rFonts w:ascii="Times New Roman" w:hAnsi="Times New Roman" w:cs="Times New Roman"/>
            <w:noProof/>
            <w:sz w:val="24"/>
            <w:szCs w:val="24"/>
          </w:rPr>
          <w:fldChar w:fldCharType="separate"/>
        </w:r>
        <w:r w:rsidR="003C453E" w:rsidRPr="00E45040">
          <w:rPr>
            <w:rFonts w:ascii="Times New Roman" w:hAnsi="Times New Roman" w:cs="Times New Roman"/>
            <w:noProof/>
            <w:sz w:val="24"/>
            <w:szCs w:val="24"/>
          </w:rPr>
          <w:fldChar w:fldCharType="begin"/>
        </w:r>
        <w:r w:rsidR="003C453E" w:rsidRPr="00E45040">
          <w:rPr>
            <w:rFonts w:ascii="Times New Roman" w:hAnsi="Times New Roman" w:cs="Times New Roman"/>
            <w:noProof/>
            <w:sz w:val="24"/>
            <w:szCs w:val="24"/>
          </w:rPr>
          <w:instrText xml:space="preserve"> INCLUDEPICTURE  "cid:image002.png@01D38ABE.1647CD20" \* MERGEFORMATINET </w:instrText>
        </w:r>
        <w:r w:rsidR="003C453E" w:rsidRPr="00E45040">
          <w:rPr>
            <w:rFonts w:ascii="Times New Roman" w:hAnsi="Times New Roman" w:cs="Times New Roman"/>
            <w:noProof/>
            <w:sz w:val="24"/>
            <w:szCs w:val="24"/>
          </w:rPr>
          <w:fldChar w:fldCharType="separate"/>
        </w:r>
        <w:r w:rsidR="00635259" w:rsidRPr="00E45040">
          <w:rPr>
            <w:rFonts w:ascii="Times New Roman" w:hAnsi="Times New Roman" w:cs="Times New Roman"/>
            <w:noProof/>
            <w:sz w:val="24"/>
            <w:szCs w:val="24"/>
          </w:rPr>
          <w:fldChar w:fldCharType="begin"/>
        </w:r>
        <w:r w:rsidR="00635259" w:rsidRPr="00E45040">
          <w:rPr>
            <w:rFonts w:ascii="Times New Roman" w:hAnsi="Times New Roman" w:cs="Times New Roman"/>
            <w:noProof/>
            <w:sz w:val="24"/>
            <w:szCs w:val="24"/>
          </w:rPr>
          <w:instrText xml:space="preserve"> INCLUDEPICTURE  "cid:image002.png@01D38ABE.1647CD20" \* MERGEFORMATINET </w:instrText>
        </w:r>
        <w:r w:rsidR="00635259" w:rsidRPr="00E45040">
          <w:rPr>
            <w:rFonts w:ascii="Times New Roman" w:hAnsi="Times New Roman" w:cs="Times New Roman"/>
            <w:noProof/>
            <w:sz w:val="24"/>
            <w:szCs w:val="24"/>
          </w:rPr>
          <w:fldChar w:fldCharType="separate"/>
        </w:r>
        <w:r w:rsidR="00635259" w:rsidRPr="00E45040">
          <w:rPr>
            <w:rFonts w:ascii="Times New Roman" w:hAnsi="Times New Roman" w:cs="Times New Roman"/>
            <w:noProof/>
            <w:sz w:val="24"/>
            <w:szCs w:val="24"/>
          </w:rPr>
          <w:fldChar w:fldCharType="begin"/>
        </w:r>
        <w:r w:rsidR="00635259" w:rsidRPr="00E45040">
          <w:rPr>
            <w:rFonts w:ascii="Times New Roman" w:hAnsi="Times New Roman" w:cs="Times New Roman"/>
            <w:noProof/>
            <w:sz w:val="24"/>
            <w:szCs w:val="24"/>
          </w:rPr>
          <w:instrText xml:space="preserve"> INCLUDEPICTURE  "cid:image002.png@01D38ABE.1647CD20" \* MERGEFORMATINET </w:instrText>
        </w:r>
        <w:r w:rsidR="00635259" w:rsidRPr="00E45040">
          <w:rPr>
            <w:rFonts w:ascii="Times New Roman" w:hAnsi="Times New Roman" w:cs="Times New Roman"/>
            <w:noProof/>
            <w:sz w:val="24"/>
            <w:szCs w:val="24"/>
          </w:rPr>
          <w:fldChar w:fldCharType="separate"/>
        </w:r>
        <w:r w:rsidRPr="00E45040">
          <w:rPr>
            <w:rFonts w:ascii="Times New Roman" w:hAnsi="Times New Roman" w:cs="Times New Roman"/>
            <w:noProof/>
            <w:sz w:val="24"/>
            <w:szCs w:val="24"/>
          </w:rPr>
          <w:fldChar w:fldCharType="begin"/>
        </w:r>
        <w:r w:rsidRPr="00E45040">
          <w:rPr>
            <w:rFonts w:ascii="Times New Roman" w:hAnsi="Times New Roman" w:cs="Times New Roman"/>
            <w:noProof/>
            <w:sz w:val="24"/>
            <w:szCs w:val="24"/>
          </w:rPr>
          <w:instrText xml:space="preserve"> </w:instrText>
        </w:r>
        <w:r w:rsidRPr="00E45040">
          <w:rPr>
            <w:rFonts w:ascii="Times New Roman" w:hAnsi="Times New Roman" w:cs="Times New Roman"/>
            <w:noProof/>
            <w:sz w:val="24"/>
            <w:szCs w:val="24"/>
          </w:rPr>
          <w:instrText>INCLUDEPICTURE  "cid:image002.png@01D38ABE.1647CD20" \* MERGEFORMATINET</w:instrText>
        </w:r>
        <w:r w:rsidRPr="00E45040">
          <w:rPr>
            <w:rFonts w:ascii="Times New Roman" w:hAnsi="Times New Roman" w:cs="Times New Roman"/>
            <w:noProof/>
            <w:sz w:val="24"/>
            <w:szCs w:val="24"/>
          </w:rPr>
          <w:instrText xml:space="preserve"> </w:instrText>
        </w:r>
        <w:r w:rsidRPr="00E45040">
          <w:rPr>
            <w:rFonts w:ascii="Times New Roman" w:hAnsi="Times New Roman" w:cs="Times New Roman"/>
            <w:noProof/>
            <w:sz w:val="24"/>
            <w:szCs w:val="24"/>
          </w:rPr>
          <w:fldChar w:fldCharType="separate"/>
        </w:r>
        <w:r w:rsidR="007F57F2" w:rsidRPr="00E45040">
          <w:rPr>
            <w:rFonts w:ascii="Times New Roman" w:hAnsi="Times New Roman" w:cs="Times New Roman"/>
            <w:noProof/>
            <w:sz w:val="24"/>
            <w:szCs w:val="24"/>
          </w:rPr>
          <w:pict w14:anchorId="09E37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visibility:visible">
              <v:imagedata r:id="rId16" r:href="rId17"/>
            </v:shape>
          </w:pict>
        </w:r>
        <w:r w:rsidRPr="00E45040">
          <w:rPr>
            <w:rFonts w:ascii="Times New Roman" w:hAnsi="Times New Roman" w:cs="Times New Roman"/>
            <w:noProof/>
            <w:sz w:val="24"/>
            <w:szCs w:val="24"/>
          </w:rPr>
          <w:fldChar w:fldCharType="end"/>
        </w:r>
        <w:r w:rsidR="00635259" w:rsidRPr="00E45040">
          <w:rPr>
            <w:rFonts w:ascii="Times New Roman" w:hAnsi="Times New Roman" w:cs="Times New Roman"/>
            <w:noProof/>
            <w:sz w:val="24"/>
            <w:szCs w:val="24"/>
          </w:rPr>
          <w:fldChar w:fldCharType="end"/>
        </w:r>
        <w:r w:rsidR="00635259" w:rsidRPr="00E45040">
          <w:rPr>
            <w:rFonts w:ascii="Times New Roman" w:hAnsi="Times New Roman" w:cs="Times New Roman"/>
            <w:noProof/>
            <w:sz w:val="24"/>
            <w:szCs w:val="24"/>
          </w:rPr>
          <w:fldChar w:fldCharType="end"/>
        </w:r>
        <w:r w:rsidR="003C453E" w:rsidRPr="00E45040">
          <w:rPr>
            <w:rFonts w:ascii="Times New Roman" w:hAnsi="Times New Roman" w:cs="Times New Roman"/>
            <w:noProof/>
            <w:sz w:val="24"/>
            <w:szCs w:val="24"/>
          </w:rPr>
          <w:fldChar w:fldCharType="end"/>
        </w:r>
        <w:r w:rsidR="00C34B1F" w:rsidRPr="00E45040">
          <w:rPr>
            <w:rFonts w:ascii="Times New Roman" w:hAnsi="Times New Roman" w:cs="Times New Roman"/>
            <w:noProof/>
            <w:sz w:val="24"/>
            <w:szCs w:val="24"/>
          </w:rPr>
          <w:fldChar w:fldCharType="end"/>
        </w:r>
        <w:r w:rsidR="00532A38" w:rsidRPr="00E45040">
          <w:rPr>
            <w:rFonts w:ascii="Times New Roman" w:hAnsi="Times New Roman" w:cs="Times New Roman"/>
            <w:noProof/>
            <w:sz w:val="24"/>
            <w:szCs w:val="24"/>
          </w:rPr>
          <w:fldChar w:fldCharType="end"/>
        </w:r>
        <w:r w:rsidR="005B3B6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r w:rsidR="00E40A44" w:rsidRPr="00E45040">
          <w:rPr>
            <w:rFonts w:ascii="Times New Roman" w:hAnsi="Times New Roman" w:cs="Times New Roman"/>
            <w:noProof/>
            <w:sz w:val="24"/>
            <w:szCs w:val="24"/>
          </w:rPr>
          <w:fldChar w:fldCharType="end"/>
        </w:r>
      </w:hyperlink>
      <w:r w:rsidR="00E40A44" w:rsidRPr="00E45040">
        <w:rPr>
          <w:rFonts w:ascii="Times New Roman" w:hAnsi="Times New Roman" w:cs="Times New Roman"/>
          <w:sz w:val="24"/>
          <w:szCs w:val="24"/>
          <w:lang w:val="it-IT"/>
        </w:rPr>
        <w:t xml:space="preserve">  </w:t>
      </w:r>
      <w:r w:rsidR="00E40A44" w:rsidRPr="00E45040">
        <w:rPr>
          <w:rFonts w:ascii="Times New Roman" w:hAnsi="Times New Roman" w:cs="Times New Roman"/>
          <w:noProof/>
          <w:sz w:val="24"/>
          <w:szCs w:val="24"/>
        </w:rPr>
        <w:drawing>
          <wp:inline distT="0" distB="0" distL="0" distR="0" wp14:anchorId="7FDD20AD" wp14:editId="613B9777">
            <wp:extent cx="142875" cy="142875"/>
            <wp:effectExtent l="0" t="0" r="9525" b="9525"/>
            <wp:docPr id="4"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40A44" w:rsidRPr="00E45040">
        <w:rPr>
          <w:rFonts w:ascii="Times New Roman" w:hAnsi="Times New Roman" w:cs="Times New Roman"/>
          <w:sz w:val="24"/>
          <w:szCs w:val="24"/>
          <w:lang w:val="it-IT"/>
        </w:rPr>
        <w:t>  </w:t>
      </w:r>
      <w:r w:rsidR="00E40A44" w:rsidRPr="00E45040">
        <w:rPr>
          <w:rFonts w:ascii="Times New Roman" w:hAnsi="Times New Roman" w:cs="Times New Roman"/>
          <w:noProof/>
          <w:sz w:val="24"/>
          <w:szCs w:val="24"/>
        </w:rPr>
        <w:drawing>
          <wp:inline distT="0" distB="0" distL="0" distR="0" wp14:anchorId="462E8B91" wp14:editId="02AD23A1">
            <wp:extent cx="142875" cy="142875"/>
            <wp:effectExtent l="0" t="0" r="9525" b="9525"/>
            <wp:docPr id="6" name="Picture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40A44" w:rsidRPr="00E45040">
        <w:rPr>
          <w:rFonts w:ascii="Times New Roman" w:hAnsi="Times New Roman" w:cs="Times New Roman"/>
          <w:sz w:val="24"/>
          <w:szCs w:val="24"/>
          <w:lang w:val="it-IT"/>
        </w:rPr>
        <w:t>  </w:t>
      </w:r>
      <w:r w:rsidR="00E40A44" w:rsidRPr="00E45040">
        <w:rPr>
          <w:rFonts w:ascii="Times New Roman" w:hAnsi="Times New Roman" w:cs="Times New Roman"/>
          <w:noProof/>
          <w:sz w:val="24"/>
          <w:szCs w:val="24"/>
        </w:rPr>
        <w:drawing>
          <wp:inline distT="0" distB="0" distL="0" distR="0" wp14:anchorId="473C84D2" wp14:editId="77C04202">
            <wp:extent cx="142875" cy="142875"/>
            <wp:effectExtent l="0" t="0" r="9525" b="9525"/>
            <wp:docPr id="7" name="Picture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40A44" w:rsidRPr="00E45040">
        <w:rPr>
          <w:rFonts w:ascii="Times New Roman" w:hAnsi="Times New Roman" w:cs="Times New Roman"/>
          <w:sz w:val="24"/>
          <w:szCs w:val="24"/>
          <w:lang w:val="it-IT"/>
        </w:rPr>
        <w:t>  </w:t>
      </w:r>
      <w:r w:rsidR="00E40A44" w:rsidRPr="00E45040">
        <w:rPr>
          <w:rFonts w:ascii="Times New Roman" w:hAnsi="Times New Roman" w:cs="Times New Roman"/>
          <w:noProof/>
          <w:sz w:val="24"/>
          <w:szCs w:val="24"/>
        </w:rPr>
        <w:drawing>
          <wp:inline distT="0" distB="0" distL="0" distR="0" wp14:anchorId="25B12FC7" wp14:editId="1982B23F">
            <wp:extent cx="142875" cy="142875"/>
            <wp:effectExtent l="0" t="0" r="9525" b="9525"/>
            <wp:docPr id="16" name="Picture 1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40A44" w:rsidRPr="00E45040">
        <w:rPr>
          <w:rFonts w:ascii="Times New Roman" w:hAnsi="Times New Roman" w:cs="Times New Roman"/>
          <w:sz w:val="24"/>
          <w:szCs w:val="24"/>
          <w:lang w:val="it-IT"/>
        </w:rPr>
        <w:t>  </w:t>
      </w:r>
      <w:r w:rsidR="00E40A44" w:rsidRPr="00E45040">
        <w:rPr>
          <w:rFonts w:ascii="Times New Roman" w:hAnsi="Times New Roman" w:cs="Times New Roman"/>
          <w:noProof/>
          <w:sz w:val="24"/>
          <w:szCs w:val="24"/>
        </w:rPr>
        <w:drawing>
          <wp:inline distT="0" distB="0" distL="0" distR="0" wp14:anchorId="45FCE344" wp14:editId="11A79361">
            <wp:extent cx="142875" cy="142875"/>
            <wp:effectExtent l="0" t="0" r="9525" b="9525"/>
            <wp:docPr id="17" name="Picture 1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bookmarkEnd w:id="4"/>
    <w:p w14:paraId="455D6348" w14:textId="556EB47A" w:rsidR="00FE30E6" w:rsidRPr="002E477E" w:rsidRDefault="00E40A44" w:rsidP="002E4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Theme="minorHAnsi" w:hAnsiTheme="minorHAnsi" w:cstheme="minorHAnsi"/>
          <w:b/>
          <w:szCs w:val="24"/>
          <w:lang w:val="en-GB"/>
        </w:rPr>
      </w:pPr>
      <w:r w:rsidRPr="002E477E">
        <w:rPr>
          <w:rFonts w:asciiTheme="minorHAnsi" w:hAnsiTheme="minorHAnsi" w:cstheme="minorHAnsi"/>
          <w:b/>
          <w:snapToGrid/>
          <w:szCs w:val="24"/>
          <w:lang w:val="fr-BE" w:bidi="ar-SA"/>
        </w:rPr>
        <w:t xml:space="preserve"> </w:t>
      </w:r>
    </w:p>
    <w:p w14:paraId="22BD8F40" w14:textId="77777777" w:rsidR="002A6F0C" w:rsidRPr="002E477E" w:rsidRDefault="002A6F0C" w:rsidP="002E477E">
      <w:pPr>
        <w:jc w:val="both"/>
        <w:rPr>
          <w:rFonts w:asciiTheme="minorHAnsi" w:hAnsiTheme="minorHAnsi" w:cstheme="minorHAnsi"/>
          <w:b/>
          <w:szCs w:val="24"/>
          <w:lang w:val="en-GB"/>
        </w:rPr>
      </w:pPr>
    </w:p>
    <w:sectPr w:rsidR="002A6F0C" w:rsidRPr="002E477E" w:rsidSect="00527E48">
      <w:headerReference w:type="default" r:id="rId33"/>
      <w:footerReference w:type="even" r:id="rId34"/>
      <w:footerReference w:type="default" r:id="rId35"/>
      <w:headerReference w:type="first" r:id="rId36"/>
      <w:footerReference w:type="first" r:id="rId37"/>
      <w:pgSz w:w="11906" w:h="16838" w:code="9"/>
      <w:pgMar w:top="907" w:right="964" w:bottom="907" w:left="964" w:header="964"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36EB1" w14:textId="77777777" w:rsidR="002521DD" w:rsidRDefault="002521DD">
      <w:r>
        <w:separator/>
      </w:r>
    </w:p>
  </w:endnote>
  <w:endnote w:type="continuationSeparator" w:id="0">
    <w:p w14:paraId="11DD559A" w14:textId="77777777" w:rsidR="002521DD" w:rsidRDefault="00252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otype Sorts">
    <w:charset w:val="02"/>
    <w:family w:val="auto"/>
    <w:pitch w:val="variable"/>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44E38" w14:textId="77777777" w:rsidR="00C024F6" w:rsidRDefault="00C024F6" w:rsidP="00CF24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1197A1B" w14:textId="77777777" w:rsidR="00C024F6" w:rsidRDefault="00C024F6" w:rsidP="00CF24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477476"/>
      <w:docPartObj>
        <w:docPartGallery w:val="Page Numbers (Bottom of Page)"/>
        <w:docPartUnique/>
      </w:docPartObj>
    </w:sdtPr>
    <w:sdtEndPr>
      <w:rPr>
        <w:noProof/>
      </w:rPr>
    </w:sdtEndPr>
    <w:sdtContent>
      <w:p w14:paraId="77A9A6D3" w14:textId="6F0869F0" w:rsidR="00C024F6" w:rsidRPr="00DD45B6" w:rsidRDefault="00DD45B6" w:rsidP="00DD45B6">
        <w:pPr>
          <w:pStyle w:val="Footer"/>
          <w:jc w:val="right"/>
        </w:pPr>
        <w:r w:rsidRPr="00DD45B6">
          <w:rPr>
            <w:sz w:val="22"/>
          </w:rPr>
          <w:fldChar w:fldCharType="begin"/>
        </w:r>
        <w:r w:rsidRPr="00DD45B6">
          <w:rPr>
            <w:sz w:val="22"/>
          </w:rPr>
          <w:instrText xml:space="preserve"> PAGE   \* MERGEFORMAT </w:instrText>
        </w:r>
        <w:r w:rsidRPr="00DD45B6">
          <w:rPr>
            <w:sz w:val="22"/>
          </w:rPr>
          <w:fldChar w:fldCharType="separate"/>
        </w:r>
        <w:r w:rsidR="00EA67EC">
          <w:rPr>
            <w:noProof/>
            <w:sz w:val="22"/>
          </w:rPr>
          <w:t>2</w:t>
        </w:r>
        <w:r w:rsidRPr="00DD45B6">
          <w:rPr>
            <w:noProof/>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E7B15" w14:textId="77777777" w:rsidR="00C024F6" w:rsidRDefault="00C024F6" w:rsidP="00CF24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F4C518" w14:textId="77777777" w:rsidR="00C024F6" w:rsidRDefault="00C024F6" w:rsidP="00CF24C6">
    <w:pPr>
      <w:pStyle w:val="Footer"/>
      <w:ind w:right="360"/>
      <w:rPr>
        <w:rFonts w:ascii="Arial" w:hAnsi="Arial"/>
        <w:sz w:val="20"/>
      </w:rPr>
    </w:pPr>
    <w:r>
      <w:rPr>
        <w:rFonts w:ascii="Arial" w:hAnsi="Arial"/>
        <w:sz w:val="20"/>
      </w:rPr>
      <w:t>2006</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B8B2C" w14:textId="77777777" w:rsidR="002521DD" w:rsidRDefault="002521DD">
      <w:r>
        <w:separator/>
      </w:r>
    </w:p>
  </w:footnote>
  <w:footnote w:type="continuationSeparator" w:id="0">
    <w:p w14:paraId="503FB30F" w14:textId="77777777" w:rsidR="002521DD" w:rsidRDefault="00252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DC75" w14:textId="58919A33" w:rsidR="00C024F6" w:rsidRPr="00B32905" w:rsidRDefault="00A1732D" w:rsidP="004A7086">
    <w:pPr>
      <w:jc w:val="center"/>
      <w:rPr>
        <w:b/>
        <w:snapToGrid/>
        <w:sz w:val="22"/>
        <w:szCs w:val="22"/>
      </w:rPr>
    </w:pPr>
    <w:r>
      <w:rPr>
        <w:noProof/>
        <w:szCs w:val="24"/>
        <w:lang w:val="en-GB" w:eastAsia="en-GB" w:bidi="ar-SA"/>
      </w:rPr>
      <w:drawing>
        <wp:anchor distT="0" distB="0" distL="114300" distR="114300" simplePos="0" relativeHeight="251671552" behindDoc="0" locked="0" layoutInCell="1" allowOverlap="1" wp14:anchorId="60A4BD2C" wp14:editId="056B252E">
          <wp:simplePos x="0" y="0"/>
          <wp:positionH relativeFrom="column">
            <wp:posOffset>929167</wp:posOffset>
          </wp:positionH>
          <wp:positionV relativeFrom="paragraph">
            <wp:posOffset>-529773</wp:posOffset>
          </wp:positionV>
          <wp:extent cx="994131" cy="579422"/>
          <wp:effectExtent l="0" t="0" r="0" b="0"/>
          <wp:wrapNone/>
          <wp:docPr id="8" name="Image 8" descr="Logo_AFD-GROUP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FD-GROUPE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131" cy="579422"/>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t xml:space="preserve"> </w:t>
    </w:r>
    <w:r w:rsidR="00A9351E">
      <w:rPr>
        <w:noProof/>
        <w:lang w:val="en-GB" w:eastAsia="en-GB" w:bidi="ar-SA"/>
      </w:rPr>
      <w:drawing>
        <wp:anchor distT="0" distB="0" distL="114300" distR="114300" simplePos="0" relativeHeight="251669504" behindDoc="0" locked="0" layoutInCell="1" allowOverlap="1" wp14:anchorId="3D39BD5E" wp14:editId="75C554A5">
          <wp:simplePos x="0" y="0"/>
          <wp:positionH relativeFrom="column">
            <wp:posOffset>3841750</wp:posOffset>
          </wp:positionH>
          <wp:positionV relativeFrom="paragraph">
            <wp:posOffset>-362585</wp:posOffset>
          </wp:positionV>
          <wp:extent cx="798064" cy="3240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abel_Logo_Color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8064" cy="324000"/>
                  </a:xfrm>
                  <a:prstGeom prst="rect">
                    <a:avLst/>
                  </a:prstGeom>
                </pic:spPr>
              </pic:pic>
            </a:graphicData>
          </a:graphic>
          <wp14:sizeRelH relativeFrom="page">
            <wp14:pctWidth>0</wp14:pctWidth>
          </wp14:sizeRelH>
          <wp14:sizeRelV relativeFrom="page">
            <wp14:pctHeight>0</wp14:pctHeight>
          </wp14:sizeRelV>
        </wp:anchor>
      </w:drawing>
    </w:r>
    <w:r w:rsidR="00A9351E" w:rsidRPr="0047001D">
      <w:rPr>
        <w:noProof/>
        <w:lang w:val="en-GB" w:eastAsia="en-GB" w:bidi="ar-SA"/>
      </w:rPr>
      <w:drawing>
        <wp:anchor distT="0" distB="0" distL="114300" distR="114300" simplePos="0" relativeHeight="251661312" behindDoc="0" locked="0" layoutInCell="1" allowOverlap="1" wp14:anchorId="247A4AF1" wp14:editId="0C25AE1C">
          <wp:simplePos x="0" y="0"/>
          <wp:positionH relativeFrom="margin">
            <wp:posOffset>4549775</wp:posOffset>
          </wp:positionH>
          <wp:positionV relativeFrom="paragraph">
            <wp:posOffset>-568960</wp:posOffset>
          </wp:positionV>
          <wp:extent cx="1958036" cy="688975"/>
          <wp:effectExtent l="0" t="0" r="4445" b="0"/>
          <wp:wrapSquare wrapText="bothSides"/>
          <wp:docPr id="1" name="Picture 1" descr="Y:\PPI\Presse &amp; Info\Logos UE\logo_UE-Bénin\logos-UE-Bénin\LOGO + SLOGAN - UE BENIN 2019 - 2020 _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PI\Presse &amp; Info\Logos UE\logo_UE-Bénin\logos-UE-Bénin\LOGO + SLOGAN - UE BENIN 2019 - 2020 _ JPE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58036"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51E">
      <w:rPr>
        <w:noProof/>
        <w:lang w:val="en-GB" w:eastAsia="en-GB" w:bidi="ar-SA"/>
      </w:rPr>
      <w:drawing>
        <wp:anchor distT="0" distB="0" distL="114300" distR="114300" simplePos="0" relativeHeight="251666432" behindDoc="0" locked="0" layoutInCell="1" allowOverlap="1" wp14:anchorId="7FA8CBAE" wp14:editId="289DD98E">
          <wp:simplePos x="0" y="0"/>
          <wp:positionH relativeFrom="column">
            <wp:posOffset>2750185</wp:posOffset>
          </wp:positionH>
          <wp:positionV relativeFrom="paragraph">
            <wp:posOffset>-483870</wp:posOffset>
          </wp:positionV>
          <wp:extent cx="1079500" cy="430273"/>
          <wp:effectExtent l="0" t="0" r="635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Gateway-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9500" cy="430273"/>
                  </a:xfrm>
                  <a:prstGeom prst="rect">
                    <a:avLst/>
                  </a:prstGeom>
                </pic:spPr>
              </pic:pic>
            </a:graphicData>
          </a:graphic>
          <wp14:sizeRelH relativeFrom="page">
            <wp14:pctWidth>0</wp14:pctWidth>
          </wp14:sizeRelH>
          <wp14:sizeRelV relativeFrom="page">
            <wp14:pctHeight>0</wp14:pctHeight>
          </wp14:sizeRelV>
        </wp:anchor>
      </w:drawing>
    </w:r>
    <w:r w:rsidR="00A9351E">
      <w:rPr>
        <w:noProof/>
        <w:lang w:val="en-GB" w:eastAsia="en-GB" w:bidi="ar-SA"/>
      </w:rPr>
      <w:drawing>
        <wp:anchor distT="0" distB="0" distL="114300" distR="114300" simplePos="0" relativeHeight="251667456" behindDoc="0" locked="0" layoutInCell="1" allowOverlap="1" wp14:anchorId="076F2873" wp14:editId="094DA778">
          <wp:simplePos x="0" y="0"/>
          <wp:positionH relativeFrom="column">
            <wp:posOffset>1870710</wp:posOffset>
          </wp:positionH>
          <wp:positionV relativeFrom="paragraph">
            <wp:posOffset>-525145</wp:posOffset>
          </wp:positionV>
          <wp:extent cx="977900" cy="485140"/>
          <wp:effectExtent l="0" t="0" r="0" b="0"/>
          <wp:wrapSquare wrapText="bothSides"/>
          <wp:docPr id="2" name="Picture 2" descr="C:\Users\podancl\AppData\Local\Microsoft\Windows\INetCache\Content.Word\FR_EIBLOGO_GLOB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dancl\AppData\Local\Microsoft\Windows\INetCache\Content.Word\FR_EIBLOGO_GLOBAL_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790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4F6" w:rsidRPr="00A10813">
      <w:rPr>
        <w:b/>
        <w:noProof/>
        <w:snapToGrid/>
        <w:sz w:val="22"/>
        <w:szCs w:val="22"/>
        <w:lang w:val="en-GB" w:eastAsia="en-GB" w:bidi="ar-SA"/>
      </w:rPr>
      <mc:AlternateContent>
        <mc:Choice Requires="wps">
          <w:drawing>
            <wp:anchor distT="0" distB="0" distL="114300" distR="114300" simplePos="0" relativeHeight="251659264" behindDoc="0" locked="0" layoutInCell="1" allowOverlap="1" wp14:anchorId="6221AF6A" wp14:editId="22A4BE76">
              <wp:simplePos x="0" y="0"/>
              <wp:positionH relativeFrom="column">
                <wp:posOffset>5044440</wp:posOffset>
              </wp:positionH>
              <wp:positionV relativeFrom="paragraph">
                <wp:posOffset>-551180</wp:posOffset>
              </wp:positionV>
              <wp:extent cx="1670685" cy="77724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F8BFF" w14:textId="77777777" w:rsidR="00C024F6" w:rsidRDefault="00C903F5" w:rsidP="00B32905">
                          <w:r>
                            <w:rPr>
                              <w:noProof/>
                              <w:lang w:val="en-GB" w:eastAsia="en-GB" w:bidi="ar-SA"/>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221AF6A" id="Rectangle 13" o:spid="_x0000_s1026" style="position:absolute;left:0;text-align:left;margin-left:397.2pt;margin-top:-43.4pt;width:131.55pt;height:61.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" stroked="f">
              <v:textbox>
                <w:txbxContent>
                  <w:p w14:paraId="7F7F8BFF" w14:textId="77777777" w:rsidR="00C024F6" w:rsidRDefault="00C903F5" w:rsidP="00B32905">
                    <w:r>
                      <w:rPr>
                        <w:noProof/>
                        <w:lang w:val="en-GB" w:eastAsia="en-GB" w:bidi="ar-SA"/>
                      </w:rPr>
                      <w:t xml:space="preserve"> </w:t>
                    </w:r>
                  </w:p>
                </w:txbxContent>
              </v:textbox>
            </v:rect>
          </w:pict>
        </mc:Fallback>
      </mc:AlternateContent>
    </w:r>
    <w:r w:rsidR="00C024F6" w:rsidRPr="00A10813">
      <w:rPr>
        <w:b/>
        <w:noProof/>
        <w:snapToGrid/>
        <w:sz w:val="22"/>
        <w:szCs w:val="22"/>
        <w:lang w:val="en-GB" w:eastAsia="en-GB" w:bidi="ar-SA"/>
      </w:rPr>
      <mc:AlternateContent>
        <mc:Choice Requires="wps">
          <w:drawing>
            <wp:anchor distT="0" distB="0" distL="114300" distR="114300" simplePos="0" relativeHeight="251660288" behindDoc="0" locked="0" layoutInCell="1" allowOverlap="1" wp14:anchorId="35D29E17" wp14:editId="6C07BA36">
              <wp:simplePos x="0" y="0"/>
              <wp:positionH relativeFrom="column">
                <wp:posOffset>-533400</wp:posOffset>
              </wp:positionH>
              <wp:positionV relativeFrom="paragraph">
                <wp:posOffset>-575310</wp:posOffset>
              </wp:positionV>
              <wp:extent cx="1746885" cy="68834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92C39" w14:textId="77777777" w:rsidR="00C024F6" w:rsidRDefault="00C024F6" w:rsidP="00A87CED">
                          <w:pPr>
                            <w:ind w:left="14" w:firstLine="128"/>
                          </w:pPr>
                          <w:r>
                            <w:rPr>
                              <w:noProof/>
                              <w:lang w:val="en-GB" w:eastAsia="en-GB" w:bidi="ar-SA"/>
                            </w:rPr>
                            <w:drawing>
                              <wp:inline distT="0" distB="0" distL="0" distR="0" wp14:anchorId="60EF873A" wp14:editId="60239A8E">
                                <wp:extent cx="1209675" cy="488315"/>
                                <wp:effectExtent l="0" t="0" r="9525" b="6985"/>
                                <wp:docPr id="19" name="Image 19" descr="http://www.finances.bj/fileadmin/user_upload/logo_m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finances.bj/fileadmin/user_upload/logo_mef.jp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09675" cy="48831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5D29E17" id="Rectangle 14" o:spid="_x0000_s1027" style="position:absolute;left:0;text-align:left;margin-left:-42pt;margin-top:-45.3pt;width:137.55pt;height:54.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" stroked="f">
              <v:textbox>
                <w:txbxContent>
                  <w:p w14:paraId="0DA92C39" w14:textId="77777777" w:rsidR="00C024F6" w:rsidRDefault="00C024F6" w:rsidP="00A87CED">
                    <w:pPr>
                      <w:ind w:left="14" w:firstLine="128"/>
                    </w:pPr>
                    <w:r>
                      <w:rPr>
                        <w:noProof/>
                        <w:lang w:val="en-GB" w:eastAsia="en-GB" w:bidi="ar-SA"/>
                      </w:rPr>
                      <w:drawing>
                        <wp:inline distT="0" distB="0" distL="0" distR="0" wp14:anchorId="60EF873A" wp14:editId="60239A8E">
                          <wp:extent cx="1209675" cy="488315"/>
                          <wp:effectExtent l="0" t="0" r="9525" b="6985"/>
                          <wp:docPr id="19" name="Image 19" descr="http://www.finances.bj/fileadmin/user_upload/logo_m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finances.bj/fileadmin/user_upload/logo_mef.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09675" cy="488315"/>
                                  </a:xfrm>
                                  <a:prstGeom prst="rect">
                                    <a:avLst/>
                                  </a:prstGeom>
                                  <a:noFill/>
                                  <a:ln>
                                    <a:noFill/>
                                  </a:ln>
                                </pic:spPr>
                              </pic:pic>
                            </a:graphicData>
                          </a:graphic>
                        </wp:inline>
                      </w:drawing>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06DA9" w14:textId="77777777" w:rsidR="00C024F6" w:rsidRDefault="00C024F6">
    <w:pPr>
      <w:pStyle w:val="titlefront"/>
      <w:spacing w:before="0"/>
      <w:ind w:left="0"/>
      <w:jc w:val="center"/>
      <w:outlineLvl w:val="0"/>
    </w:pPr>
    <w:r>
      <w:rPr>
        <w:rFonts w:ascii="Arial" w:hAnsi="Arial"/>
        <w:b w:val="0"/>
      </w:rPr>
      <w:t>&lt; En-tête du pouvoir adjudicateur&gt;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2F4A8A"/>
    <w:multiLevelType w:val="hybridMultilevel"/>
    <w:tmpl w:val="5888F49A"/>
    <w:lvl w:ilvl="0" w:tplc="40149F94">
      <w:numFmt w:val="bullet"/>
      <w:lvlText w:val="-"/>
      <w:lvlJc w:val="left"/>
      <w:pPr>
        <w:ind w:left="644" w:hanging="360"/>
      </w:pPr>
      <w:rPr>
        <w:rFonts w:ascii="Trebuchet MS" w:eastAsiaTheme="minorHAnsi" w:hAnsi="Trebuchet M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13292D03"/>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A65E14"/>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774D93"/>
    <w:multiLevelType w:val="multilevel"/>
    <w:tmpl w:val="AF723D36"/>
    <w:lvl w:ilvl="0">
      <w:start w:val="1"/>
      <w:numFmt w:val="decimal"/>
      <w:lvlText w:val="%1."/>
      <w:lvlJc w:val="left"/>
      <w:pPr>
        <w:ind w:left="2268" w:hanging="567"/>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E164C6"/>
    <w:multiLevelType w:val="hybridMultilevel"/>
    <w:tmpl w:val="1680696A"/>
    <w:lvl w:ilvl="0" w:tplc="D1AC5EC0">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34F4A71"/>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604E2E"/>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666E3F"/>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0A0879"/>
    <w:multiLevelType w:val="hybridMultilevel"/>
    <w:tmpl w:val="9138A73E"/>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3C887167"/>
    <w:multiLevelType w:val="hybridMultilevel"/>
    <w:tmpl w:val="57A26594"/>
    <w:lvl w:ilvl="0" w:tplc="4DAC14F4">
      <w:numFmt w:val="bullet"/>
      <w:lvlText w:val="•"/>
      <w:lvlJc w:val="left"/>
      <w:pPr>
        <w:ind w:left="720" w:hanging="72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3D2D329C"/>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CC0317"/>
    <w:multiLevelType w:val="hybridMultilevel"/>
    <w:tmpl w:val="851CE75A"/>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13" w15:restartNumberingAfterBreak="0">
    <w:nsid w:val="43F006BF"/>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983D46"/>
    <w:multiLevelType w:val="hybridMultilevel"/>
    <w:tmpl w:val="CB10D204"/>
    <w:lvl w:ilvl="0" w:tplc="4DAC14F4">
      <w:numFmt w:val="bullet"/>
      <w:lvlText w:val="•"/>
      <w:lvlJc w:val="left"/>
      <w:pPr>
        <w:ind w:left="1440" w:hanging="720"/>
      </w:pPr>
      <w:rPr>
        <w:rFonts w:ascii="Times New Roman" w:eastAsia="Times New Roman" w:hAnsi="Times New Roman"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4A100A83"/>
    <w:multiLevelType w:val="hybridMultilevel"/>
    <w:tmpl w:val="FEA0CFA0"/>
    <w:lvl w:ilvl="0" w:tplc="8F66C52E">
      <w:start w:val="1"/>
      <w:numFmt w:val="bullet"/>
      <w:lvlText w:val="-"/>
      <w:lvlJc w:val="left"/>
      <w:pPr>
        <w:tabs>
          <w:tab w:val="num" w:pos="1080"/>
        </w:tabs>
        <w:ind w:left="1080" w:hanging="360"/>
      </w:pPr>
      <w:rPr>
        <w:rFonts w:ascii="Calibri" w:hAnsi="Calibri" w:hint="default"/>
        <w:sz w:val="18"/>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D9C2E5A"/>
    <w:multiLevelType w:val="multilevel"/>
    <w:tmpl w:val="FED48F50"/>
    <w:lvl w:ilvl="0">
      <w:start w:val="1"/>
      <w:numFmt w:val="decimal"/>
      <w:lvlText w:val="%1."/>
      <w:lvlJc w:val="left"/>
      <w:pPr>
        <w:ind w:left="2061"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F6DB2"/>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482686"/>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7DC22D1"/>
    <w:multiLevelType w:val="hybridMultilevel"/>
    <w:tmpl w:val="C584F856"/>
    <w:lvl w:ilvl="0" w:tplc="959E6D7C">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BC004A8"/>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C242F8"/>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41762E6"/>
    <w:multiLevelType w:val="multilevel"/>
    <w:tmpl w:val="04090007"/>
    <w:lvl w:ilvl="0">
      <w:start w:val="1"/>
      <w:numFmt w:val="bullet"/>
      <w:lvlText w:val=""/>
      <w:lvlJc w:val="left"/>
      <w:pPr>
        <w:tabs>
          <w:tab w:val="num" w:pos="360"/>
        </w:tabs>
        <w:ind w:left="360" w:hanging="360"/>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50B72C5"/>
    <w:multiLevelType w:val="hybridMultilevel"/>
    <w:tmpl w:val="9FC02A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764F02F2"/>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DB626F"/>
    <w:multiLevelType w:val="hybridMultilevel"/>
    <w:tmpl w:val="14B250DC"/>
    <w:lvl w:ilvl="0" w:tplc="080C0001">
      <w:start w:val="1"/>
      <w:numFmt w:val="bullet"/>
      <w:lvlText w:val=""/>
      <w:lvlJc w:val="left"/>
      <w:pPr>
        <w:ind w:left="720" w:hanging="72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3"/>
  </w:num>
  <w:num w:numId="4">
    <w:abstractNumId w:val="20"/>
  </w:num>
  <w:num w:numId="5">
    <w:abstractNumId w:val="18"/>
  </w:num>
  <w:num w:numId="6">
    <w:abstractNumId w:val="7"/>
  </w:num>
  <w:num w:numId="7">
    <w:abstractNumId w:val="2"/>
  </w:num>
  <w:num w:numId="8">
    <w:abstractNumId w:val="24"/>
  </w:num>
  <w:num w:numId="9">
    <w:abstractNumId w:val="6"/>
  </w:num>
  <w:num w:numId="10">
    <w:abstractNumId w:val="3"/>
  </w:num>
  <w:num w:numId="11">
    <w:abstractNumId w:val="21"/>
  </w:num>
  <w:num w:numId="12">
    <w:abstractNumId w:val="0"/>
    <w:lvlOverride w:ilvl="0">
      <w:lvl w:ilvl="0">
        <w:start w:val="1"/>
        <w:numFmt w:val="bullet"/>
        <w:lvlText w:val=""/>
        <w:lvlJc w:val="left"/>
        <w:pPr>
          <w:ind w:left="2061" w:hanging="360"/>
        </w:pPr>
        <w:rPr>
          <w:rFonts w:ascii="Symbol" w:hAnsi="Symbol" w:hint="default"/>
        </w:rPr>
      </w:lvl>
    </w:lvlOverride>
  </w:num>
  <w:num w:numId="13">
    <w:abstractNumId w:val="4"/>
  </w:num>
  <w:num w:numId="14">
    <w:abstractNumId w:val="4"/>
    <w:lvlOverride w:ilvl="0">
      <w:lvl w:ilvl="0">
        <w:start w:val="1"/>
        <w:numFmt w:val="decimal"/>
        <w:lvlText w:val="%1."/>
        <w:lvlJc w:val="left"/>
        <w:pPr>
          <w:ind w:left="2268" w:hanging="567"/>
        </w:pPr>
      </w:lvl>
    </w:lvlOverride>
  </w:num>
  <w:num w:numId="15">
    <w:abstractNumId w:val="16"/>
  </w:num>
  <w:num w:numId="16">
    <w:abstractNumId w:val="16"/>
    <w:lvlOverride w:ilvl="0">
      <w:lvl w:ilvl="0">
        <w:start w:val="1"/>
        <w:numFmt w:val="decimal"/>
        <w:lvlText w:val="%1."/>
        <w:lvlJc w:val="left"/>
        <w:pPr>
          <w:ind w:left="2061" w:hanging="360"/>
        </w:pPr>
      </w:lvl>
    </w:lvlOverride>
  </w:num>
  <w:num w:numId="17">
    <w:abstractNumId w:val="0"/>
    <w:lvlOverride w:ilvl="0">
      <w:lvl w:ilvl="0">
        <w:start w:val="1"/>
        <w:numFmt w:val="bullet"/>
        <w:lvlText w:val=""/>
        <w:lvlJc w:val="left"/>
        <w:pPr>
          <w:ind w:left="1984" w:hanging="283"/>
        </w:pPr>
        <w:rPr>
          <w:rFonts w:ascii="Monotype Sorts" w:hAnsi="Monotype Sorts" w:hint="default"/>
        </w:rPr>
      </w:lvl>
    </w:lvlOverride>
  </w:num>
  <w:num w:numId="18">
    <w:abstractNumId w:val="0"/>
    <w:lvlOverride w:ilvl="0">
      <w:lvl w:ilvl="0">
        <w:start w:val="1"/>
        <w:numFmt w:val="bullet"/>
        <w:lvlText w:val=""/>
        <w:lvlJc w:val="left"/>
        <w:pPr>
          <w:ind w:left="1984" w:hanging="283"/>
        </w:pPr>
        <w:rPr>
          <w:rFonts w:ascii="Monotype Sorts" w:hAnsi="Monotype Sorts" w:hint="default"/>
        </w:rPr>
      </w:lvl>
    </w:lvlOverride>
  </w:num>
  <w:num w:numId="19">
    <w:abstractNumId w:val="0"/>
    <w:lvlOverride w:ilvl="0">
      <w:lvl w:ilvl="0">
        <w:start w:val="1"/>
        <w:numFmt w:val="bullet"/>
        <w:lvlText w:val=""/>
        <w:lvlJc w:val="left"/>
        <w:pPr>
          <w:ind w:left="283" w:hanging="283"/>
        </w:pPr>
        <w:rPr>
          <w:rFonts w:ascii="Monotype Sorts" w:hAnsi="Monotype Sorts" w:hint="default"/>
        </w:rPr>
      </w:lvl>
    </w:lvlOverride>
  </w:num>
  <w:num w:numId="20">
    <w:abstractNumId w:val="0"/>
    <w:lvlOverride w:ilvl="0">
      <w:lvl w:ilvl="0">
        <w:start w:val="1"/>
        <w:numFmt w:val="bullet"/>
        <w:lvlText w:val=""/>
        <w:lvlJc w:val="left"/>
        <w:pPr>
          <w:ind w:left="283" w:hanging="283"/>
        </w:pPr>
        <w:rPr>
          <w:rFonts w:ascii="Monotype Sorts" w:hAnsi="Monotype Sorts" w:hint="default"/>
        </w:rPr>
      </w:lvl>
    </w:lvlOverride>
  </w:num>
  <w:num w:numId="21">
    <w:abstractNumId w:val="0"/>
    <w:lvlOverride w:ilvl="0">
      <w:lvl w:ilvl="0">
        <w:start w:val="1"/>
        <w:numFmt w:val="bullet"/>
        <w:lvlText w:val=""/>
        <w:lvlJc w:val="left"/>
        <w:pPr>
          <w:ind w:left="283" w:hanging="283"/>
        </w:pPr>
        <w:rPr>
          <w:rFonts w:ascii="Monotype Sorts" w:hAnsi="Monotype Sorts" w:hint="default"/>
        </w:rPr>
      </w:lvl>
    </w:lvlOverride>
  </w:num>
  <w:num w:numId="22">
    <w:abstractNumId w:val="0"/>
    <w:lvlOverride w:ilvl="0">
      <w:lvl w:ilvl="0">
        <w:start w:val="1"/>
        <w:numFmt w:val="bullet"/>
        <w:lvlText w:val=""/>
        <w:lvlJc w:val="left"/>
        <w:pPr>
          <w:ind w:left="742" w:hanging="283"/>
        </w:pPr>
        <w:rPr>
          <w:rFonts w:ascii="Monotype Sorts" w:hAnsi="Monotype Sorts" w:hint="default"/>
        </w:rPr>
      </w:lvl>
    </w:lvlOverride>
  </w:num>
  <w:num w:numId="23">
    <w:abstractNumId w:val="0"/>
    <w:lvlOverride w:ilvl="0">
      <w:lvl w:ilvl="0">
        <w:start w:val="1"/>
        <w:numFmt w:val="bullet"/>
        <w:lvlText w:val=""/>
        <w:lvlJc w:val="left"/>
        <w:pPr>
          <w:ind w:left="742" w:hanging="283"/>
        </w:pPr>
        <w:rPr>
          <w:rFonts w:ascii="Monotype Sorts" w:hAnsi="Monotype Sorts" w:hint="default"/>
        </w:rPr>
      </w:lvl>
    </w:lvlOverride>
  </w:num>
  <w:num w:numId="24">
    <w:abstractNumId w:val="0"/>
    <w:lvlOverride w:ilvl="0">
      <w:lvl w:ilvl="0">
        <w:start w:val="1"/>
        <w:numFmt w:val="bullet"/>
        <w:lvlText w:val=""/>
        <w:lvlJc w:val="left"/>
        <w:pPr>
          <w:ind w:left="742" w:hanging="283"/>
        </w:pPr>
        <w:rPr>
          <w:rFonts w:ascii="Monotype Sorts" w:hAnsi="Monotype Sorts" w:hint="default"/>
        </w:rPr>
      </w:lvl>
    </w:lvlOverride>
  </w:num>
  <w:num w:numId="25">
    <w:abstractNumId w:val="0"/>
    <w:lvlOverride w:ilvl="0">
      <w:lvl w:ilvl="0">
        <w:start w:val="1"/>
        <w:numFmt w:val="bullet"/>
        <w:lvlText w:val=""/>
        <w:lvlJc w:val="left"/>
        <w:pPr>
          <w:ind w:left="742" w:hanging="283"/>
        </w:pPr>
        <w:rPr>
          <w:rFonts w:ascii="Monotype Sorts" w:hAnsi="Monotype Sorts" w:hint="default"/>
        </w:rPr>
      </w:lvl>
    </w:lvlOverride>
  </w:num>
  <w:num w:numId="26">
    <w:abstractNumId w:val="0"/>
    <w:lvlOverride w:ilvl="0">
      <w:lvl w:ilvl="0">
        <w:start w:val="1"/>
        <w:numFmt w:val="bullet"/>
        <w:lvlText w:val=""/>
        <w:lvlJc w:val="left"/>
        <w:pPr>
          <w:ind w:left="742" w:hanging="283"/>
        </w:pPr>
        <w:rPr>
          <w:rFonts w:ascii="Monotype Sorts" w:hAnsi="Monotype Sorts" w:hint="default"/>
        </w:rPr>
      </w:lvl>
    </w:lvlOverride>
  </w:num>
  <w:num w:numId="27">
    <w:abstractNumId w:val="22"/>
  </w:num>
  <w:num w:numId="28">
    <w:abstractNumId w:val="17"/>
  </w:num>
  <w:num w:numId="29">
    <w:abstractNumId w:val="5"/>
  </w:num>
  <w:num w:numId="30">
    <w:abstractNumId w:val="15"/>
  </w:num>
  <w:num w:numId="31">
    <w:abstractNumId w:val="1"/>
  </w:num>
  <w:num w:numId="32">
    <w:abstractNumId w:val="19"/>
  </w:num>
  <w:num w:numId="33">
    <w:abstractNumId w:val="9"/>
  </w:num>
  <w:num w:numId="34">
    <w:abstractNumId w:val="23"/>
  </w:num>
  <w:num w:numId="35">
    <w:abstractNumId w:val="10"/>
  </w:num>
  <w:num w:numId="36">
    <w:abstractNumId w:val="14"/>
  </w:num>
  <w:num w:numId="37">
    <w:abstractNumId w:val="25"/>
  </w:num>
  <w:num w:numId="38">
    <w:abstractNumId w:val="12"/>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GB" w:vendorID="64" w:dllVersion="6" w:nlCheck="1" w:checkStyle="1"/>
  <w:activeWritingStyle w:appName="MSWord" w:lang="fr-BE" w:vendorID="64" w:dllVersion="6" w:nlCheck="1" w:checkStyle="0"/>
  <w:activeWritingStyle w:appName="MSWord" w:lang="fr-FR" w:vendorID="64" w:dllVersion="0" w:nlCheck="1" w:checkStyle="0"/>
  <w:activeWritingStyle w:appName="MSWord" w:lang="en-GB" w:vendorID="64" w:dllVersion="0" w:nlCheck="1" w:checkStyle="0"/>
  <w:activeWritingStyle w:appName="MSWord" w:lang="fr-BE" w:vendorID="64" w:dllVersion="0" w:nlCheck="1" w:checkStyle="0"/>
  <w:activeWritingStyle w:appName="MSWord" w:lang="fr-FR" w:vendorID="64" w:dllVersion="131078" w:nlCheck="1" w:checkStyle="0"/>
  <w:activeWritingStyle w:appName="MSWord" w:lang="fr-BE"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45CD4"/>
    <w:rsid w:val="00011D0B"/>
    <w:rsid w:val="0001445F"/>
    <w:rsid w:val="000174C4"/>
    <w:rsid w:val="00032F53"/>
    <w:rsid w:val="0003668D"/>
    <w:rsid w:val="00046904"/>
    <w:rsid w:val="00056665"/>
    <w:rsid w:val="00062A05"/>
    <w:rsid w:val="00063BDA"/>
    <w:rsid w:val="000728CB"/>
    <w:rsid w:val="00074FAA"/>
    <w:rsid w:val="00081B57"/>
    <w:rsid w:val="00084507"/>
    <w:rsid w:val="000871D5"/>
    <w:rsid w:val="00091796"/>
    <w:rsid w:val="00091A57"/>
    <w:rsid w:val="00094868"/>
    <w:rsid w:val="000A41B9"/>
    <w:rsid w:val="000B1F06"/>
    <w:rsid w:val="000B424A"/>
    <w:rsid w:val="000B7C5A"/>
    <w:rsid w:val="000C043B"/>
    <w:rsid w:val="000C052D"/>
    <w:rsid w:val="000C47B7"/>
    <w:rsid w:val="000D0317"/>
    <w:rsid w:val="000D1D2A"/>
    <w:rsid w:val="000F1737"/>
    <w:rsid w:val="000F513A"/>
    <w:rsid w:val="001021BC"/>
    <w:rsid w:val="00106DEB"/>
    <w:rsid w:val="00110B0B"/>
    <w:rsid w:val="00122EB2"/>
    <w:rsid w:val="001267EA"/>
    <w:rsid w:val="001356C9"/>
    <w:rsid w:val="00141687"/>
    <w:rsid w:val="00144C07"/>
    <w:rsid w:val="00155BF8"/>
    <w:rsid w:val="00157B19"/>
    <w:rsid w:val="00162602"/>
    <w:rsid w:val="00162AAD"/>
    <w:rsid w:val="001658CA"/>
    <w:rsid w:val="00165F65"/>
    <w:rsid w:val="00165FE6"/>
    <w:rsid w:val="00183F3C"/>
    <w:rsid w:val="001852CB"/>
    <w:rsid w:val="001901DD"/>
    <w:rsid w:val="00194A1E"/>
    <w:rsid w:val="00196ADB"/>
    <w:rsid w:val="001A118F"/>
    <w:rsid w:val="001A400A"/>
    <w:rsid w:val="001A5CB3"/>
    <w:rsid w:val="001B2C8E"/>
    <w:rsid w:val="001B3168"/>
    <w:rsid w:val="001B7573"/>
    <w:rsid w:val="001C5E13"/>
    <w:rsid w:val="001C6396"/>
    <w:rsid w:val="001F1744"/>
    <w:rsid w:val="00200004"/>
    <w:rsid w:val="002059B2"/>
    <w:rsid w:val="00207463"/>
    <w:rsid w:val="00214481"/>
    <w:rsid w:val="00232A0E"/>
    <w:rsid w:val="0023634E"/>
    <w:rsid w:val="0025069A"/>
    <w:rsid w:val="002508F9"/>
    <w:rsid w:val="002521DD"/>
    <w:rsid w:val="00257D36"/>
    <w:rsid w:val="00262D3A"/>
    <w:rsid w:val="0026503C"/>
    <w:rsid w:val="002651A5"/>
    <w:rsid w:val="00276497"/>
    <w:rsid w:val="0028757A"/>
    <w:rsid w:val="0029125D"/>
    <w:rsid w:val="002919ED"/>
    <w:rsid w:val="002921EC"/>
    <w:rsid w:val="00293348"/>
    <w:rsid w:val="002A0D37"/>
    <w:rsid w:val="002A5278"/>
    <w:rsid w:val="002A69EA"/>
    <w:rsid w:val="002A6F0C"/>
    <w:rsid w:val="002B5327"/>
    <w:rsid w:val="002C0784"/>
    <w:rsid w:val="002C36B7"/>
    <w:rsid w:val="002C4E54"/>
    <w:rsid w:val="002D067E"/>
    <w:rsid w:val="002D2206"/>
    <w:rsid w:val="002D578D"/>
    <w:rsid w:val="002E1E55"/>
    <w:rsid w:val="002E477E"/>
    <w:rsid w:val="002E553C"/>
    <w:rsid w:val="002E5FF8"/>
    <w:rsid w:val="00300179"/>
    <w:rsid w:val="003001FF"/>
    <w:rsid w:val="00302522"/>
    <w:rsid w:val="00314548"/>
    <w:rsid w:val="00317D6A"/>
    <w:rsid w:val="003232B2"/>
    <w:rsid w:val="0032380F"/>
    <w:rsid w:val="0032667A"/>
    <w:rsid w:val="00341972"/>
    <w:rsid w:val="00350CC0"/>
    <w:rsid w:val="003510BF"/>
    <w:rsid w:val="00357396"/>
    <w:rsid w:val="00361715"/>
    <w:rsid w:val="00365453"/>
    <w:rsid w:val="00366F77"/>
    <w:rsid w:val="00371048"/>
    <w:rsid w:val="00376805"/>
    <w:rsid w:val="00393B8D"/>
    <w:rsid w:val="003976CA"/>
    <w:rsid w:val="003A0390"/>
    <w:rsid w:val="003A0CB8"/>
    <w:rsid w:val="003A1D89"/>
    <w:rsid w:val="003C12B3"/>
    <w:rsid w:val="003C1398"/>
    <w:rsid w:val="003C1E81"/>
    <w:rsid w:val="003C344D"/>
    <w:rsid w:val="003C453E"/>
    <w:rsid w:val="003C72EB"/>
    <w:rsid w:val="003D7129"/>
    <w:rsid w:val="003E7C3D"/>
    <w:rsid w:val="003F0815"/>
    <w:rsid w:val="003F1F17"/>
    <w:rsid w:val="003F4193"/>
    <w:rsid w:val="003F4F21"/>
    <w:rsid w:val="00404DE3"/>
    <w:rsid w:val="00405EE2"/>
    <w:rsid w:val="00407077"/>
    <w:rsid w:val="0041047E"/>
    <w:rsid w:val="00414C34"/>
    <w:rsid w:val="004305CE"/>
    <w:rsid w:val="00433BD9"/>
    <w:rsid w:val="004360FB"/>
    <w:rsid w:val="00450F28"/>
    <w:rsid w:val="00460CB6"/>
    <w:rsid w:val="00460F38"/>
    <w:rsid w:val="00466D1C"/>
    <w:rsid w:val="00486457"/>
    <w:rsid w:val="00495B32"/>
    <w:rsid w:val="00497035"/>
    <w:rsid w:val="00497933"/>
    <w:rsid w:val="004A7086"/>
    <w:rsid w:val="004B2852"/>
    <w:rsid w:val="004C5C07"/>
    <w:rsid w:val="004C635A"/>
    <w:rsid w:val="004C79E5"/>
    <w:rsid w:val="004D0338"/>
    <w:rsid w:val="004D11F4"/>
    <w:rsid w:val="004D35C8"/>
    <w:rsid w:val="004D6B90"/>
    <w:rsid w:val="004E13BA"/>
    <w:rsid w:val="004E2BE2"/>
    <w:rsid w:val="004E47E4"/>
    <w:rsid w:val="004F68D8"/>
    <w:rsid w:val="005052F7"/>
    <w:rsid w:val="00507B13"/>
    <w:rsid w:val="005166CC"/>
    <w:rsid w:val="00527E48"/>
    <w:rsid w:val="00532A38"/>
    <w:rsid w:val="00532D05"/>
    <w:rsid w:val="0054388A"/>
    <w:rsid w:val="005475D8"/>
    <w:rsid w:val="00550D6B"/>
    <w:rsid w:val="00565A16"/>
    <w:rsid w:val="00571236"/>
    <w:rsid w:val="00575E17"/>
    <w:rsid w:val="00576EF8"/>
    <w:rsid w:val="00585153"/>
    <w:rsid w:val="00592EE5"/>
    <w:rsid w:val="005B36D5"/>
    <w:rsid w:val="005B3B64"/>
    <w:rsid w:val="005C020F"/>
    <w:rsid w:val="005C08B0"/>
    <w:rsid w:val="005C0F98"/>
    <w:rsid w:val="005C2B81"/>
    <w:rsid w:val="005C4ADA"/>
    <w:rsid w:val="005D4D6E"/>
    <w:rsid w:val="005D7338"/>
    <w:rsid w:val="005E0676"/>
    <w:rsid w:val="005E2CE2"/>
    <w:rsid w:val="005F0FDD"/>
    <w:rsid w:val="006013CD"/>
    <w:rsid w:val="00602229"/>
    <w:rsid w:val="00605E7A"/>
    <w:rsid w:val="006101AB"/>
    <w:rsid w:val="0061649C"/>
    <w:rsid w:val="006166A4"/>
    <w:rsid w:val="0062479E"/>
    <w:rsid w:val="00634413"/>
    <w:rsid w:val="00635259"/>
    <w:rsid w:val="006402C3"/>
    <w:rsid w:val="00645F22"/>
    <w:rsid w:val="006528BC"/>
    <w:rsid w:val="00653F16"/>
    <w:rsid w:val="006618D8"/>
    <w:rsid w:val="0066423A"/>
    <w:rsid w:val="006672BF"/>
    <w:rsid w:val="0067263E"/>
    <w:rsid w:val="00685FBE"/>
    <w:rsid w:val="00686485"/>
    <w:rsid w:val="00686FFB"/>
    <w:rsid w:val="00692668"/>
    <w:rsid w:val="006B287B"/>
    <w:rsid w:val="006B3CE0"/>
    <w:rsid w:val="006C1223"/>
    <w:rsid w:val="006C7B1B"/>
    <w:rsid w:val="006D5DCE"/>
    <w:rsid w:val="006E0650"/>
    <w:rsid w:val="006E1BE9"/>
    <w:rsid w:val="00702C5B"/>
    <w:rsid w:val="00710B8A"/>
    <w:rsid w:val="007118CA"/>
    <w:rsid w:val="00711901"/>
    <w:rsid w:val="00716069"/>
    <w:rsid w:val="00720723"/>
    <w:rsid w:val="00720FE8"/>
    <w:rsid w:val="00726FD4"/>
    <w:rsid w:val="007342E7"/>
    <w:rsid w:val="00740A53"/>
    <w:rsid w:val="0074613B"/>
    <w:rsid w:val="00756DEE"/>
    <w:rsid w:val="00757118"/>
    <w:rsid w:val="00757D50"/>
    <w:rsid w:val="007613C9"/>
    <w:rsid w:val="00764E6A"/>
    <w:rsid w:val="00775C12"/>
    <w:rsid w:val="00782BD5"/>
    <w:rsid w:val="007847A9"/>
    <w:rsid w:val="00785D74"/>
    <w:rsid w:val="0078747B"/>
    <w:rsid w:val="0079586C"/>
    <w:rsid w:val="007A0D8A"/>
    <w:rsid w:val="007A4030"/>
    <w:rsid w:val="007B5EC8"/>
    <w:rsid w:val="007C0C14"/>
    <w:rsid w:val="007D2A6A"/>
    <w:rsid w:val="007D3908"/>
    <w:rsid w:val="007E45FA"/>
    <w:rsid w:val="007F57F2"/>
    <w:rsid w:val="007F79AD"/>
    <w:rsid w:val="008305E3"/>
    <w:rsid w:val="00831996"/>
    <w:rsid w:val="00831F35"/>
    <w:rsid w:val="00833B84"/>
    <w:rsid w:val="008474B3"/>
    <w:rsid w:val="00852F7C"/>
    <w:rsid w:val="0086423A"/>
    <w:rsid w:val="008738C4"/>
    <w:rsid w:val="008741D1"/>
    <w:rsid w:val="00876D11"/>
    <w:rsid w:val="008807C8"/>
    <w:rsid w:val="00886553"/>
    <w:rsid w:val="008921B2"/>
    <w:rsid w:val="008A0B15"/>
    <w:rsid w:val="008A157F"/>
    <w:rsid w:val="008A6664"/>
    <w:rsid w:val="008B0252"/>
    <w:rsid w:val="008B250E"/>
    <w:rsid w:val="008B5D2B"/>
    <w:rsid w:val="008B7BB4"/>
    <w:rsid w:val="008C059A"/>
    <w:rsid w:val="008D01E5"/>
    <w:rsid w:val="008D2945"/>
    <w:rsid w:val="008D497A"/>
    <w:rsid w:val="008D7896"/>
    <w:rsid w:val="008E3B76"/>
    <w:rsid w:val="008E59E3"/>
    <w:rsid w:val="008F5B2D"/>
    <w:rsid w:val="008F786F"/>
    <w:rsid w:val="00906E0B"/>
    <w:rsid w:val="00930F32"/>
    <w:rsid w:val="0094006A"/>
    <w:rsid w:val="00943703"/>
    <w:rsid w:val="00953F7B"/>
    <w:rsid w:val="00954869"/>
    <w:rsid w:val="00957D1C"/>
    <w:rsid w:val="00960D84"/>
    <w:rsid w:val="0096676D"/>
    <w:rsid w:val="009775DB"/>
    <w:rsid w:val="00977922"/>
    <w:rsid w:val="00984105"/>
    <w:rsid w:val="00995796"/>
    <w:rsid w:val="009968BD"/>
    <w:rsid w:val="009A2D01"/>
    <w:rsid w:val="009B0EED"/>
    <w:rsid w:val="009B4A1E"/>
    <w:rsid w:val="009B764A"/>
    <w:rsid w:val="009C6E4E"/>
    <w:rsid w:val="009E0A77"/>
    <w:rsid w:val="009E1B08"/>
    <w:rsid w:val="009E31F7"/>
    <w:rsid w:val="009F5D91"/>
    <w:rsid w:val="00A01E6D"/>
    <w:rsid w:val="00A02B51"/>
    <w:rsid w:val="00A03882"/>
    <w:rsid w:val="00A1732D"/>
    <w:rsid w:val="00A2423F"/>
    <w:rsid w:val="00A374DE"/>
    <w:rsid w:val="00A50005"/>
    <w:rsid w:val="00A53C7C"/>
    <w:rsid w:val="00A569A3"/>
    <w:rsid w:val="00A620CD"/>
    <w:rsid w:val="00A6543F"/>
    <w:rsid w:val="00A6683E"/>
    <w:rsid w:val="00A728AD"/>
    <w:rsid w:val="00A74EC1"/>
    <w:rsid w:val="00A7706D"/>
    <w:rsid w:val="00A80173"/>
    <w:rsid w:val="00A827B6"/>
    <w:rsid w:val="00A85D62"/>
    <w:rsid w:val="00A877BD"/>
    <w:rsid w:val="00A87CED"/>
    <w:rsid w:val="00A87DFF"/>
    <w:rsid w:val="00A9008D"/>
    <w:rsid w:val="00A92C66"/>
    <w:rsid w:val="00A9351E"/>
    <w:rsid w:val="00A93ADE"/>
    <w:rsid w:val="00AA3D93"/>
    <w:rsid w:val="00AB160B"/>
    <w:rsid w:val="00AB6CE6"/>
    <w:rsid w:val="00AC1C3E"/>
    <w:rsid w:val="00AC209E"/>
    <w:rsid w:val="00AC3E0F"/>
    <w:rsid w:val="00AC4DA7"/>
    <w:rsid w:val="00AC61D3"/>
    <w:rsid w:val="00AC7B35"/>
    <w:rsid w:val="00AE359F"/>
    <w:rsid w:val="00AE3EA8"/>
    <w:rsid w:val="00AF37B8"/>
    <w:rsid w:val="00AF66DC"/>
    <w:rsid w:val="00B01E53"/>
    <w:rsid w:val="00B1005A"/>
    <w:rsid w:val="00B1009E"/>
    <w:rsid w:val="00B15C5D"/>
    <w:rsid w:val="00B24017"/>
    <w:rsid w:val="00B2695B"/>
    <w:rsid w:val="00B32905"/>
    <w:rsid w:val="00B41877"/>
    <w:rsid w:val="00B43A5F"/>
    <w:rsid w:val="00B51C51"/>
    <w:rsid w:val="00B620A2"/>
    <w:rsid w:val="00B65946"/>
    <w:rsid w:val="00B74B00"/>
    <w:rsid w:val="00B766BA"/>
    <w:rsid w:val="00B81E1E"/>
    <w:rsid w:val="00B86056"/>
    <w:rsid w:val="00B918A6"/>
    <w:rsid w:val="00BA02C6"/>
    <w:rsid w:val="00BA4007"/>
    <w:rsid w:val="00BA675A"/>
    <w:rsid w:val="00BB0ABE"/>
    <w:rsid w:val="00BB22A3"/>
    <w:rsid w:val="00BB449A"/>
    <w:rsid w:val="00BC16EF"/>
    <w:rsid w:val="00BC1A38"/>
    <w:rsid w:val="00BC3353"/>
    <w:rsid w:val="00BD24ED"/>
    <w:rsid w:val="00BD44F6"/>
    <w:rsid w:val="00BD46AA"/>
    <w:rsid w:val="00BE1F08"/>
    <w:rsid w:val="00BE7935"/>
    <w:rsid w:val="00BF3202"/>
    <w:rsid w:val="00BF4A0C"/>
    <w:rsid w:val="00BF7B52"/>
    <w:rsid w:val="00C024F6"/>
    <w:rsid w:val="00C06979"/>
    <w:rsid w:val="00C074A9"/>
    <w:rsid w:val="00C20998"/>
    <w:rsid w:val="00C21A49"/>
    <w:rsid w:val="00C34B1F"/>
    <w:rsid w:val="00C4324E"/>
    <w:rsid w:val="00C5564E"/>
    <w:rsid w:val="00C62CEA"/>
    <w:rsid w:val="00C65B5A"/>
    <w:rsid w:val="00C70E03"/>
    <w:rsid w:val="00C70F43"/>
    <w:rsid w:val="00C72683"/>
    <w:rsid w:val="00C80B49"/>
    <w:rsid w:val="00C821AA"/>
    <w:rsid w:val="00C903F5"/>
    <w:rsid w:val="00C91AD4"/>
    <w:rsid w:val="00CB6993"/>
    <w:rsid w:val="00CB6E1D"/>
    <w:rsid w:val="00CB7C2B"/>
    <w:rsid w:val="00CC02E0"/>
    <w:rsid w:val="00CC4D7F"/>
    <w:rsid w:val="00CD3337"/>
    <w:rsid w:val="00CD73BC"/>
    <w:rsid w:val="00CE596E"/>
    <w:rsid w:val="00CE79E8"/>
    <w:rsid w:val="00CF24C6"/>
    <w:rsid w:val="00CF4B81"/>
    <w:rsid w:val="00D110E3"/>
    <w:rsid w:val="00D303C0"/>
    <w:rsid w:val="00D33825"/>
    <w:rsid w:val="00D34AA3"/>
    <w:rsid w:val="00D355DC"/>
    <w:rsid w:val="00D4124B"/>
    <w:rsid w:val="00D465F5"/>
    <w:rsid w:val="00D5090F"/>
    <w:rsid w:val="00D56350"/>
    <w:rsid w:val="00D61F84"/>
    <w:rsid w:val="00D70F1E"/>
    <w:rsid w:val="00D73B11"/>
    <w:rsid w:val="00D76D4E"/>
    <w:rsid w:val="00D77EEA"/>
    <w:rsid w:val="00D83579"/>
    <w:rsid w:val="00D85AF0"/>
    <w:rsid w:val="00D946E3"/>
    <w:rsid w:val="00D951BF"/>
    <w:rsid w:val="00D952EC"/>
    <w:rsid w:val="00DA3D3A"/>
    <w:rsid w:val="00DA4131"/>
    <w:rsid w:val="00DB5604"/>
    <w:rsid w:val="00DB699C"/>
    <w:rsid w:val="00DB71BF"/>
    <w:rsid w:val="00DC204A"/>
    <w:rsid w:val="00DC4991"/>
    <w:rsid w:val="00DD45B6"/>
    <w:rsid w:val="00DD514B"/>
    <w:rsid w:val="00DD5818"/>
    <w:rsid w:val="00DE080A"/>
    <w:rsid w:val="00DE2A59"/>
    <w:rsid w:val="00DF12A1"/>
    <w:rsid w:val="00E40A44"/>
    <w:rsid w:val="00E445F9"/>
    <w:rsid w:val="00E45040"/>
    <w:rsid w:val="00E54811"/>
    <w:rsid w:val="00E576CA"/>
    <w:rsid w:val="00E63E9A"/>
    <w:rsid w:val="00E6461F"/>
    <w:rsid w:val="00E64A4F"/>
    <w:rsid w:val="00E7092C"/>
    <w:rsid w:val="00E72215"/>
    <w:rsid w:val="00E770D1"/>
    <w:rsid w:val="00E84782"/>
    <w:rsid w:val="00E848A5"/>
    <w:rsid w:val="00E873DA"/>
    <w:rsid w:val="00E910F6"/>
    <w:rsid w:val="00E91439"/>
    <w:rsid w:val="00EA67EC"/>
    <w:rsid w:val="00EA7377"/>
    <w:rsid w:val="00EC11E9"/>
    <w:rsid w:val="00ED4C8D"/>
    <w:rsid w:val="00EE2901"/>
    <w:rsid w:val="00EE4E5F"/>
    <w:rsid w:val="00F01F2D"/>
    <w:rsid w:val="00F337BD"/>
    <w:rsid w:val="00F35289"/>
    <w:rsid w:val="00F45CD4"/>
    <w:rsid w:val="00F50422"/>
    <w:rsid w:val="00F529BC"/>
    <w:rsid w:val="00F609CF"/>
    <w:rsid w:val="00F77A2D"/>
    <w:rsid w:val="00F86DBB"/>
    <w:rsid w:val="00F91BFB"/>
    <w:rsid w:val="00F932A1"/>
    <w:rsid w:val="00F95DEC"/>
    <w:rsid w:val="00FC257A"/>
    <w:rsid w:val="00FC2698"/>
    <w:rsid w:val="00FE033E"/>
    <w:rsid w:val="00FE1928"/>
    <w:rsid w:val="00FE30E6"/>
    <w:rsid w:val="00FE61C7"/>
    <w:rsid w:val="00FF0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56EB0A"/>
  <w15:docId w15:val="{85BEE84D-E156-49BE-A094-7A32558D7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fr-F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napToGrid w:val="0"/>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Heading1"/>
    <w:next w:val="Normal"/>
    <w:qFormat/>
    <w:pPr>
      <w:keepLines/>
      <w:tabs>
        <w:tab w:val="left" w:pos="2552"/>
      </w:tabs>
      <w:spacing w:before="360" w:after="240"/>
      <w:ind w:left="1701"/>
      <w:outlineLvl w:val="2"/>
    </w:pPr>
    <w:rPr>
      <w:rFonts w:ascii="Optima" w:hAnsi="Optima"/>
      <w:caps/>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front">
    <w:name w:val="title_front"/>
    <w:basedOn w:val="Normal"/>
    <w:pPr>
      <w:spacing w:before="240"/>
      <w:ind w:left="1701"/>
      <w:jc w:val="right"/>
    </w:pPr>
    <w:rPr>
      <w:rFonts w:ascii="Optima" w:hAnsi="Optima"/>
      <w:b/>
      <w:sz w:val="28"/>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List1">
    <w:name w:val="List1"/>
    <w:basedOn w:val="Normal"/>
    <w:pPr>
      <w:spacing w:before="240"/>
      <w:ind w:left="2268" w:hanging="567"/>
      <w:jc w:val="both"/>
    </w:pPr>
    <w:rPr>
      <w:rFonts w:ascii="Optima" w:hAnsi="Optima"/>
      <w:sz w:val="22"/>
    </w:rPr>
  </w:style>
  <w:style w:type="paragraph" w:customStyle="1" w:styleId="bulletbol">
    <w:name w:val="bullet_bol"/>
    <w:basedOn w:val="Normal"/>
    <w:pPr>
      <w:tabs>
        <w:tab w:val="left" w:pos="2260"/>
      </w:tabs>
      <w:spacing w:before="120"/>
      <w:ind w:left="2061" w:hanging="360"/>
      <w:jc w:val="both"/>
    </w:pPr>
    <w:rPr>
      <w:rFonts w:ascii="Optima" w:hAnsi="Optima"/>
      <w:sz w:val="22"/>
    </w:rPr>
  </w:style>
  <w:style w:type="paragraph" w:customStyle="1" w:styleId="internormal">
    <w:name w:val="internormal"/>
    <w:basedOn w:val="Normal"/>
    <w:pPr>
      <w:ind w:left="1701"/>
      <w:jc w:val="both"/>
    </w:pPr>
    <w:rPr>
      <w:rFonts w:ascii="Optima" w:hAnsi="Optima"/>
      <w:sz w:val="22"/>
    </w:rPr>
  </w:style>
  <w:style w:type="paragraph" w:customStyle="1" w:styleId="normaltableau">
    <w:name w:val="normal_tableau"/>
    <w:basedOn w:val="Normal"/>
    <w:pPr>
      <w:spacing w:before="120" w:after="120"/>
      <w:jc w:val="both"/>
    </w:pPr>
    <w:rPr>
      <w:rFonts w:ascii="Optima" w:hAnsi="Optima"/>
      <w:sz w:val="22"/>
    </w:rPr>
  </w:style>
  <w:style w:type="paragraph" w:styleId="FootnoteText">
    <w:name w:val="footnote text"/>
    <w:basedOn w:val="Normal"/>
    <w:link w:val="FootnoteTextChar"/>
    <w:uiPriority w:val="99"/>
    <w:semiHidden/>
    <w:rPr>
      <w:sz w:val="20"/>
    </w:rPr>
  </w:style>
  <w:style w:type="character" w:styleId="FootnoteReference">
    <w:name w:val="footnote reference"/>
    <w:uiPriority w:val="99"/>
    <w:semiHidden/>
    <w:rPr>
      <w:vertAlign w:val="superscript"/>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character" w:customStyle="1" w:styleId="Style11pt">
    <w:name w:val="Style 11 pt"/>
    <w:rsid w:val="003510BF"/>
    <w:rPr>
      <w:sz w:val="22"/>
    </w:rPr>
  </w:style>
  <w:style w:type="paragraph" w:customStyle="1" w:styleId="Char2">
    <w:name w:val="Char2"/>
    <w:basedOn w:val="Normal"/>
    <w:rsid w:val="003510BF"/>
    <w:pPr>
      <w:spacing w:after="160" w:line="240" w:lineRule="exact"/>
    </w:pPr>
    <w:rPr>
      <w:rFonts w:ascii="Tahoma" w:hAnsi="Tahoma"/>
      <w:snapToGrid/>
      <w:sz w:val="20"/>
    </w:rPr>
  </w:style>
  <w:style w:type="character" w:styleId="CommentReference">
    <w:name w:val="annotation reference"/>
    <w:uiPriority w:val="99"/>
    <w:rsid w:val="001C6396"/>
    <w:rPr>
      <w:sz w:val="16"/>
      <w:szCs w:val="16"/>
    </w:rPr>
  </w:style>
  <w:style w:type="paragraph" w:styleId="CommentText">
    <w:name w:val="annotation text"/>
    <w:basedOn w:val="Normal"/>
    <w:link w:val="CommentTextChar"/>
    <w:rsid w:val="001C6396"/>
    <w:rPr>
      <w:sz w:val="20"/>
    </w:rPr>
  </w:style>
  <w:style w:type="paragraph" w:styleId="CommentSubject">
    <w:name w:val="annotation subject"/>
    <w:basedOn w:val="CommentText"/>
    <w:next w:val="CommentText"/>
    <w:semiHidden/>
    <w:rsid w:val="001C6396"/>
    <w:rPr>
      <w:b/>
      <w:bCs/>
    </w:rPr>
  </w:style>
  <w:style w:type="paragraph" w:styleId="BalloonText">
    <w:name w:val="Balloon Text"/>
    <w:basedOn w:val="Normal"/>
    <w:semiHidden/>
    <w:rsid w:val="001C6396"/>
    <w:rPr>
      <w:rFonts w:ascii="Tahoma" w:hAnsi="Tahoma"/>
      <w:sz w:val="16"/>
      <w:szCs w:val="16"/>
    </w:rPr>
  </w:style>
  <w:style w:type="paragraph" w:styleId="BodyText">
    <w:name w:val="Body Text"/>
    <w:basedOn w:val="Normal"/>
    <w:rsid w:val="001C5E13"/>
    <w:rPr>
      <w:snapToGrid/>
    </w:rPr>
  </w:style>
  <w:style w:type="paragraph" w:customStyle="1" w:styleId="Annexetitle">
    <w:name w:val="Annexe_title"/>
    <w:basedOn w:val="Heading1"/>
    <w:next w:val="Normal"/>
    <w:autoRedefine/>
    <w:rsid w:val="00371048"/>
    <w:pPr>
      <w:keepNext w:val="0"/>
      <w:pageBreakBefore/>
      <w:tabs>
        <w:tab w:val="left" w:pos="1701"/>
        <w:tab w:val="left" w:pos="2552"/>
      </w:tabs>
      <w:spacing w:after="240"/>
      <w:jc w:val="center"/>
      <w:outlineLvl w:val="9"/>
    </w:pPr>
    <w:rPr>
      <w:rFonts w:ascii="Optima" w:hAnsi="Optima"/>
      <w:caps/>
      <w:snapToGrid/>
      <w:kern w:val="0"/>
      <w:sz w:val="32"/>
    </w:rPr>
  </w:style>
  <w:style w:type="character" w:styleId="Hyperlink">
    <w:name w:val="Hyperlink"/>
    <w:uiPriority w:val="99"/>
    <w:rsid w:val="007A4030"/>
    <w:rPr>
      <w:color w:val="0000FF"/>
      <w:u w:val="single"/>
    </w:rPr>
  </w:style>
  <w:style w:type="character" w:customStyle="1" w:styleId="CommentTextChar">
    <w:name w:val="Comment Text Char"/>
    <w:link w:val="CommentText"/>
    <w:rsid w:val="007A4030"/>
    <w:rPr>
      <w:snapToGrid w:val="0"/>
      <w:lang w:val="fr-FR" w:eastAsia="fr-FR"/>
    </w:rPr>
  </w:style>
  <w:style w:type="character" w:customStyle="1" w:styleId="HeaderChar">
    <w:name w:val="Header Char"/>
    <w:link w:val="Header"/>
    <w:rsid w:val="008D7896"/>
    <w:rPr>
      <w:snapToGrid w:val="0"/>
      <w:sz w:val="24"/>
      <w:lang w:val="fr-FR" w:eastAsia="fr-FR"/>
    </w:rPr>
  </w:style>
  <w:style w:type="paragraph" w:styleId="ListParagraph">
    <w:name w:val="List Paragraph"/>
    <w:basedOn w:val="Normal"/>
    <w:uiPriority w:val="34"/>
    <w:qFormat/>
    <w:rsid w:val="005F0FDD"/>
    <w:pPr>
      <w:ind w:left="720"/>
      <w:contextualSpacing/>
    </w:pPr>
  </w:style>
  <w:style w:type="paragraph" w:styleId="BlockText">
    <w:name w:val="Block Text"/>
    <w:basedOn w:val="Normal"/>
    <w:rsid w:val="00D355DC"/>
    <w:pPr>
      <w:tabs>
        <w:tab w:val="left" w:pos="8505"/>
      </w:tabs>
      <w:spacing w:line="480" w:lineRule="auto"/>
      <w:ind w:left="57" w:right="-27"/>
      <w:jc w:val="both"/>
    </w:pPr>
    <w:rPr>
      <w:snapToGrid/>
      <w:lang w:bidi="ar-SA"/>
    </w:rPr>
  </w:style>
  <w:style w:type="table" w:styleId="TableGrid">
    <w:name w:val="Table Grid"/>
    <w:basedOn w:val="TableNormal"/>
    <w:rsid w:val="003C1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33B84"/>
    <w:rPr>
      <w:snapToGrid w:val="0"/>
      <w:sz w:val="24"/>
    </w:rPr>
  </w:style>
  <w:style w:type="paragraph" w:customStyle="1" w:styleId="5Normal">
    <w:name w:val="5 Normal"/>
    <w:basedOn w:val="Normal"/>
    <w:link w:val="5NormalChar"/>
    <w:rsid w:val="008921B2"/>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napToGrid/>
      <w:spacing w:val="-2"/>
      <w:sz w:val="20"/>
      <w:szCs w:val="24"/>
      <w:lang w:val="en-GB" w:eastAsia="en-GB" w:bidi="ar-SA"/>
    </w:rPr>
  </w:style>
  <w:style w:type="character" w:customStyle="1" w:styleId="5NormalChar">
    <w:name w:val="5 Normal Char"/>
    <w:link w:val="5Normal"/>
    <w:locked/>
    <w:rsid w:val="008921B2"/>
    <w:rPr>
      <w:rFonts w:ascii="Verdana" w:hAnsi="Verdana"/>
      <w:spacing w:val="-2"/>
      <w:szCs w:val="24"/>
      <w:lang w:val="en-GB" w:eastAsia="en-GB" w:bidi="ar-SA"/>
    </w:rPr>
  </w:style>
  <w:style w:type="paragraph" w:customStyle="1" w:styleId="Sous-titre1">
    <w:name w:val="Sous-titre 1"/>
    <w:basedOn w:val="Normal"/>
    <w:next w:val="5Normal"/>
    <w:autoRedefine/>
    <w:rsid w:val="008921B2"/>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80"/>
      <w:ind w:right="57"/>
    </w:pPr>
    <w:rPr>
      <w:rFonts w:ascii="Verdana" w:hAnsi="Verdana"/>
      <w:b/>
      <w:snapToGrid/>
      <w:sz w:val="20"/>
      <w:lang w:val="en-GB" w:eastAsia="en-GB" w:bidi="ar-SA"/>
    </w:rPr>
  </w:style>
  <w:style w:type="character" w:customStyle="1" w:styleId="Bodytext1">
    <w:name w:val="Body text|1_"/>
    <w:basedOn w:val="DefaultParagraphFont"/>
    <w:link w:val="Bodytext10"/>
    <w:rsid w:val="007A0D8A"/>
  </w:style>
  <w:style w:type="paragraph" w:customStyle="1" w:styleId="Bodytext10">
    <w:name w:val="Body text|1"/>
    <w:basedOn w:val="Normal"/>
    <w:link w:val="Bodytext1"/>
    <w:rsid w:val="007A0D8A"/>
    <w:pPr>
      <w:widowControl w:val="0"/>
      <w:spacing w:after="100"/>
    </w:pPr>
    <w:rPr>
      <w:snapToGrid/>
      <w:sz w:val="20"/>
    </w:rPr>
  </w:style>
  <w:style w:type="character" w:customStyle="1" w:styleId="FooterChar">
    <w:name w:val="Footer Char"/>
    <w:basedOn w:val="DefaultParagraphFont"/>
    <w:link w:val="Footer"/>
    <w:uiPriority w:val="99"/>
    <w:rsid w:val="00DD45B6"/>
    <w:rPr>
      <w:snapToGrid w:val="0"/>
      <w:sz w:val="24"/>
    </w:rPr>
  </w:style>
  <w:style w:type="character" w:customStyle="1" w:styleId="FootnoteTextChar">
    <w:name w:val="Footnote Text Char"/>
    <w:basedOn w:val="DefaultParagraphFont"/>
    <w:link w:val="FootnoteText"/>
    <w:uiPriority w:val="99"/>
    <w:semiHidden/>
    <w:rsid w:val="00C074A9"/>
    <w:rPr>
      <w:snapToGrid w:val="0"/>
    </w:rPr>
  </w:style>
  <w:style w:type="character" w:styleId="FollowedHyperlink">
    <w:name w:val="FollowedHyperlink"/>
    <w:basedOn w:val="DefaultParagraphFont"/>
    <w:semiHidden/>
    <w:unhideWhenUsed/>
    <w:rsid w:val="00C074A9"/>
    <w:rPr>
      <w:color w:val="954F72" w:themeColor="followedHyperlink"/>
      <w:u w:val="single"/>
    </w:rPr>
  </w:style>
  <w:style w:type="paragraph" w:styleId="Subtitle">
    <w:name w:val="Subtitle"/>
    <w:basedOn w:val="Normal"/>
    <w:next w:val="Normal"/>
    <w:link w:val="SubtitleChar"/>
    <w:qFormat/>
    <w:rsid w:val="003F1F1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F1F17"/>
    <w:rPr>
      <w:rFonts w:asciiTheme="minorHAnsi" w:eastAsiaTheme="minorEastAsia" w:hAnsiTheme="minorHAnsi" w:cstheme="minorBidi"/>
      <w:snapToGrid w:val="0"/>
      <w:color w:val="5A5A5A" w:themeColor="text1" w:themeTint="A5"/>
      <w:spacing w:val="15"/>
      <w:sz w:val="22"/>
      <w:szCs w:val="22"/>
    </w:rPr>
  </w:style>
  <w:style w:type="character" w:styleId="Emphasis">
    <w:name w:val="Emphasis"/>
    <w:basedOn w:val="DefaultParagraphFont"/>
    <w:uiPriority w:val="20"/>
    <w:qFormat/>
    <w:rsid w:val="008741D1"/>
    <w:rPr>
      <w:i/>
      <w:iCs/>
    </w:rPr>
  </w:style>
  <w:style w:type="paragraph" w:customStyle="1" w:styleId="EIB">
    <w:name w:val="EIB"/>
    <w:basedOn w:val="Normal"/>
    <w:link w:val="EIBChar"/>
    <w:autoRedefine/>
    <w:qFormat/>
    <w:rsid w:val="00E40A44"/>
    <w:pPr>
      <w:shd w:val="clear" w:color="auto" w:fill="FFFFFF"/>
      <w:jc w:val="both"/>
    </w:pPr>
    <w:rPr>
      <w:rFonts w:ascii="Arial" w:hAnsi="Arial" w:cs="Arial"/>
      <w:snapToGrid/>
      <w:color w:val="000000"/>
      <w:sz w:val="20"/>
      <w:szCs w:val="21"/>
      <w:lang w:val="en-GB" w:eastAsia="en-GB" w:bidi="ar-SA"/>
    </w:rPr>
  </w:style>
  <w:style w:type="character" w:customStyle="1" w:styleId="EIBChar">
    <w:name w:val="EIB Char"/>
    <w:basedOn w:val="DefaultParagraphFont"/>
    <w:link w:val="EIB"/>
    <w:rsid w:val="00E40A44"/>
    <w:rPr>
      <w:rFonts w:ascii="Arial" w:hAnsi="Arial" w:cs="Arial"/>
      <w:color w:val="000000"/>
      <w:szCs w:val="21"/>
      <w:shd w:val="clear" w:color="auto" w:fill="FFFFFF"/>
      <w:lang w:val="en-GB" w:eastAsia="en-GB" w:bidi="ar-SA"/>
    </w:rPr>
  </w:style>
  <w:style w:type="character" w:styleId="Strong">
    <w:name w:val="Strong"/>
    <w:uiPriority w:val="22"/>
    <w:qFormat/>
    <w:rsid w:val="00E40A44"/>
    <w:rPr>
      <w:b/>
      <w:bCs/>
    </w:rPr>
  </w:style>
  <w:style w:type="character" w:customStyle="1" w:styleId="ui-iconui-icon-mail-closed">
    <w:name w:val="ui-icon ui-icon-mail-closed"/>
    <w:basedOn w:val="DefaultParagraphFont"/>
    <w:rsid w:val="00E40A44"/>
  </w:style>
  <w:style w:type="character" w:customStyle="1" w:styleId="ui-iconui-icon-eib-phone">
    <w:name w:val="ui-icon ui-icon-eib-phone"/>
    <w:basedOn w:val="DefaultParagraphFont"/>
    <w:rsid w:val="00E40A44"/>
  </w:style>
  <w:style w:type="paragraph" w:customStyle="1" w:styleId="Default">
    <w:name w:val="Default"/>
    <w:rsid w:val="00357396"/>
    <w:pPr>
      <w:autoSpaceDE w:val="0"/>
      <w:autoSpaceDN w:val="0"/>
      <w:adjustRightInd w:val="0"/>
    </w:pPr>
    <w:rPr>
      <w:rFonts w:ascii="Arial" w:hAnsi="Arial" w:cs="Arial"/>
      <w:color w:val="000000"/>
      <w:sz w:val="24"/>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21463">
      <w:bodyDiv w:val="1"/>
      <w:marLeft w:val="0"/>
      <w:marRight w:val="0"/>
      <w:marTop w:val="0"/>
      <w:marBottom w:val="0"/>
      <w:divBdr>
        <w:top w:val="none" w:sz="0" w:space="0" w:color="auto"/>
        <w:left w:val="none" w:sz="0" w:space="0" w:color="auto"/>
        <w:bottom w:val="none" w:sz="0" w:space="0" w:color="auto"/>
        <w:right w:val="none" w:sz="0" w:space="0" w:color="auto"/>
      </w:divBdr>
    </w:div>
    <w:div w:id="237060361">
      <w:bodyDiv w:val="1"/>
      <w:marLeft w:val="0"/>
      <w:marRight w:val="0"/>
      <w:marTop w:val="0"/>
      <w:marBottom w:val="0"/>
      <w:divBdr>
        <w:top w:val="none" w:sz="0" w:space="0" w:color="auto"/>
        <w:left w:val="none" w:sz="0" w:space="0" w:color="auto"/>
        <w:bottom w:val="none" w:sz="0" w:space="0" w:color="auto"/>
        <w:right w:val="none" w:sz="0" w:space="0" w:color="auto"/>
      </w:divBdr>
    </w:div>
    <w:div w:id="662005318">
      <w:bodyDiv w:val="1"/>
      <w:marLeft w:val="0"/>
      <w:marRight w:val="0"/>
      <w:marTop w:val="0"/>
      <w:marBottom w:val="0"/>
      <w:divBdr>
        <w:top w:val="none" w:sz="0" w:space="0" w:color="auto"/>
        <w:left w:val="none" w:sz="0" w:space="0" w:color="auto"/>
        <w:bottom w:val="none" w:sz="0" w:space="0" w:color="auto"/>
        <w:right w:val="none" w:sz="0" w:space="0" w:color="auto"/>
      </w:divBdr>
    </w:div>
    <w:div w:id="744454866">
      <w:bodyDiv w:val="1"/>
      <w:marLeft w:val="0"/>
      <w:marRight w:val="0"/>
      <w:marTop w:val="0"/>
      <w:marBottom w:val="0"/>
      <w:divBdr>
        <w:top w:val="none" w:sz="0" w:space="0" w:color="auto"/>
        <w:left w:val="none" w:sz="0" w:space="0" w:color="auto"/>
        <w:bottom w:val="none" w:sz="0" w:space="0" w:color="auto"/>
        <w:right w:val="none" w:sz="0" w:space="0" w:color="auto"/>
      </w:divBdr>
    </w:div>
    <w:div w:id="782505533">
      <w:bodyDiv w:val="1"/>
      <w:marLeft w:val="0"/>
      <w:marRight w:val="0"/>
      <w:marTop w:val="0"/>
      <w:marBottom w:val="0"/>
      <w:divBdr>
        <w:top w:val="none" w:sz="0" w:space="0" w:color="auto"/>
        <w:left w:val="none" w:sz="0" w:space="0" w:color="auto"/>
        <w:bottom w:val="none" w:sz="0" w:space="0" w:color="auto"/>
        <w:right w:val="none" w:sz="0" w:space="0" w:color="auto"/>
      </w:divBdr>
    </w:div>
    <w:div w:id="1036806717">
      <w:bodyDiv w:val="1"/>
      <w:marLeft w:val="0"/>
      <w:marRight w:val="0"/>
      <w:marTop w:val="0"/>
      <w:marBottom w:val="0"/>
      <w:divBdr>
        <w:top w:val="none" w:sz="0" w:space="0" w:color="auto"/>
        <w:left w:val="none" w:sz="0" w:space="0" w:color="auto"/>
        <w:bottom w:val="none" w:sz="0" w:space="0" w:color="auto"/>
        <w:right w:val="none" w:sz="0" w:space="0" w:color="auto"/>
      </w:divBdr>
      <w:divsChild>
        <w:div w:id="256377140">
          <w:marLeft w:val="0"/>
          <w:marRight w:val="0"/>
          <w:marTop w:val="0"/>
          <w:marBottom w:val="0"/>
          <w:divBdr>
            <w:top w:val="none" w:sz="0" w:space="0" w:color="auto"/>
            <w:left w:val="none" w:sz="0" w:space="0" w:color="auto"/>
            <w:bottom w:val="none" w:sz="0" w:space="0" w:color="auto"/>
            <w:right w:val="none" w:sz="0" w:space="0" w:color="auto"/>
          </w:divBdr>
        </w:div>
      </w:divsChild>
    </w:div>
    <w:div w:id="1065184034">
      <w:bodyDiv w:val="1"/>
      <w:marLeft w:val="0"/>
      <w:marRight w:val="0"/>
      <w:marTop w:val="0"/>
      <w:marBottom w:val="0"/>
      <w:divBdr>
        <w:top w:val="none" w:sz="0" w:space="0" w:color="auto"/>
        <w:left w:val="none" w:sz="0" w:space="0" w:color="auto"/>
        <w:bottom w:val="none" w:sz="0" w:space="0" w:color="auto"/>
        <w:right w:val="none" w:sz="0" w:space="0" w:color="auto"/>
      </w:divBdr>
    </w:div>
    <w:div w:id="1088505121">
      <w:bodyDiv w:val="1"/>
      <w:marLeft w:val="0"/>
      <w:marRight w:val="0"/>
      <w:marTop w:val="0"/>
      <w:marBottom w:val="0"/>
      <w:divBdr>
        <w:top w:val="none" w:sz="0" w:space="0" w:color="auto"/>
        <w:left w:val="none" w:sz="0" w:space="0" w:color="auto"/>
        <w:bottom w:val="none" w:sz="0" w:space="0" w:color="auto"/>
        <w:right w:val="none" w:sz="0" w:space="0" w:color="auto"/>
      </w:divBdr>
    </w:div>
    <w:div w:id="143670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ational-partnerships.ec.europa.eu/system/files/2022-01/mip-2021-c2021-9494-benin-annex_fr.pdf" TargetMode="External"/><Relationship Id="rId13" Type="http://schemas.openxmlformats.org/officeDocument/2006/relationships/hyperlink" Target="http://www.eib.org/press" TargetMode="External"/><Relationship Id="rId18" Type="http://schemas.openxmlformats.org/officeDocument/2006/relationships/hyperlink" Target="http://www.facebook.com/EuropeanInvestmentBank" TargetMode="External"/><Relationship Id="rId26" Type="http://schemas.openxmlformats.org/officeDocument/2006/relationships/image" Target="cid:image005.png@01D38ABE.1647CD2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stagram.com/europeaninvestmentban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vovor@ext.eib.org" TargetMode="External"/><Relationship Id="rId17" Type="http://schemas.openxmlformats.org/officeDocument/2006/relationships/image" Target="cid:image002.png@01D38ABE.1647CD20" TargetMode="External"/><Relationship Id="rId25" Type="http://schemas.openxmlformats.org/officeDocument/2006/relationships/image" Target="media/image4.gif"/><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gif"/><Relationship Id="rId20" Type="http://schemas.openxmlformats.org/officeDocument/2006/relationships/image" Target="cid:image003.png@01D38ABE.1647CD20" TargetMode="External"/><Relationship Id="rId29" Type="http://schemas.openxmlformats.org/officeDocument/2006/relationships/image" Target="cid:image006.png@01D38ABE.1647CD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uguin@eib.org" TargetMode="External"/><Relationship Id="rId24" Type="http://schemas.openxmlformats.org/officeDocument/2006/relationships/hyperlink" Target="https://www.youtube.com/user/EIBtheEUbank" TargetMode="External"/><Relationship Id="rId32" Type="http://schemas.openxmlformats.org/officeDocument/2006/relationships/image" Target="cid:image007.png@01D38ABE.1647CD20"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twitter.com/EIB" TargetMode="External"/><Relationship Id="rId23" Type="http://schemas.openxmlformats.org/officeDocument/2006/relationships/image" Target="cid:image004.png@01D38ABE.1647CD20" TargetMode="External"/><Relationship Id="rId28" Type="http://schemas.openxmlformats.org/officeDocument/2006/relationships/image" Target="media/image5.gif"/><Relationship Id="rId36" Type="http://schemas.openxmlformats.org/officeDocument/2006/relationships/header" Target="header2.xml"/><Relationship Id="rId10" Type="http://schemas.openxmlformats.org/officeDocument/2006/relationships/hyperlink" Target="https://ec.europa.eu/info/strategy/priorities-2019-2024/stronger-europe-world/global-gateway_en" TargetMode="External"/><Relationship Id="rId19" Type="http://schemas.openxmlformats.org/officeDocument/2006/relationships/image" Target="media/image2.gif"/><Relationship Id="rId31"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hyperlink" Target="https://ec.europa.eu/international-partnerships/global-europe_en" TargetMode="External"/><Relationship Id="rId14" Type="http://schemas.openxmlformats.org/officeDocument/2006/relationships/hyperlink" Target="mailto:press@eib.org" TargetMode="External"/><Relationship Id="rId22" Type="http://schemas.openxmlformats.org/officeDocument/2006/relationships/image" Target="media/image3.gif"/><Relationship Id="rId27" Type="http://schemas.openxmlformats.org/officeDocument/2006/relationships/hyperlink" Target="http://www.eib.org/infocentre/rss/index.htm" TargetMode="External"/><Relationship Id="rId30" Type="http://schemas.openxmlformats.org/officeDocument/2006/relationships/hyperlink" Target="http://www.linkedin.com/company/9360"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120.png"/><Relationship Id="rId3" Type="http://schemas.openxmlformats.org/officeDocument/2006/relationships/image" Target="media/image9.jpeg"/><Relationship Id="rId7" Type="http://schemas.microsoft.com/office/2007/relationships/hdphoto" Target="media/hdphoto1.wdp"/><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 Id="rId9"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05C40-659F-47B8-80EC-B57363424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1597</Words>
  <Characters>9106</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EVALUATION OF WORKS TENDER</vt:lpstr>
      <vt:lpstr>EVALUATION OF WORKS TENDER</vt:lpstr>
    </vt:vector>
  </TitlesOfParts>
  <Company>European Commission</Company>
  <LinksUpToDate>false</LinksUpToDate>
  <CharactersWithSpaces>10682</CharactersWithSpaces>
  <SharedDoc>false</SharedDoc>
  <HLinks>
    <vt:vector size="6" baseType="variant">
      <vt:variant>
        <vt:i4>6553645</vt:i4>
      </vt:variant>
      <vt:variant>
        <vt:i4>0</vt:i4>
      </vt:variant>
      <vt:variant>
        <vt:i4>0</vt:i4>
      </vt:variant>
      <vt:variant>
        <vt:i4>5</vt:i4>
      </vt:variant>
      <vt:variant>
        <vt:lpwstr>http://www.sanctionsmap.eu/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WORKS TENDER</dc:title>
  <dc:subject/>
  <dc:creator>kaiser helmut</dc:creator>
  <cp:keywords/>
  <cp:lastModifiedBy>PODANHO Clotilde (EEAS-COTONOU)</cp:lastModifiedBy>
  <cp:revision>6</cp:revision>
  <cp:lastPrinted>2020-12-16T14:51:00Z</cp:lastPrinted>
  <dcterms:created xsi:type="dcterms:W3CDTF">2024-03-18T15:43:00Z</dcterms:created>
  <dcterms:modified xsi:type="dcterms:W3CDTF">2024-03-19T09:16:00Z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2023-12-14T13:54:02Z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3ed3c9a6-e81b-49ea-812e-063efe26c5ea</vt:lpwstr>
  </property>
  <property fmtid="{D5CDD505-2E9C-101B-9397-08002B2CF9AE}" pid="8" name="MSIP_Label_6bd9ddd1-4d20-43f6-abfa-fc3c07406f94_ContentBits">
    <vt:lpwstr>0</vt:lpwstr>
  </property>
</Properties>
</file>