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27EB" w14:textId="77777777" w:rsidR="00322D9F" w:rsidRDefault="00322D9F" w:rsidP="00BE4E90">
      <w:pPr>
        <w:spacing w:after="120"/>
        <w:rPr>
          <w:b/>
          <w:bCs/>
          <w:smallCaps/>
          <w:szCs w:val="24"/>
        </w:rPr>
      </w:pPr>
      <w:bookmarkStart w:id="0" w:name="_Ref500218714"/>
    </w:p>
    <w:p w14:paraId="7EB3A732" w14:textId="212452C9" w:rsidR="00322D9F" w:rsidRDefault="00322D9F" w:rsidP="002475FF">
      <w:pPr>
        <w:jc w:val="center"/>
        <w:rPr>
          <w:b/>
          <w:bCs/>
          <w:i/>
          <w:iCs/>
          <w:szCs w:val="24"/>
        </w:rPr>
      </w:pPr>
      <w:r>
        <w:rPr>
          <w:b/>
          <w:smallCaps/>
        </w:rPr>
        <w:t xml:space="preserve">MARCHÉ DE </w:t>
      </w:r>
      <w:r w:rsidR="004B1F05">
        <w:rPr>
          <w:b/>
          <w:smallCaps/>
        </w:rPr>
        <w:t>FOURNITURES</w:t>
      </w:r>
    </w:p>
    <w:p w14:paraId="49911480" w14:textId="63252E4E" w:rsidR="00BE4E90" w:rsidRPr="00BE4E90" w:rsidRDefault="0094153E" w:rsidP="00BE4E90">
      <w:pPr>
        <w:spacing w:after="120"/>
        <w:jc w:val="center"/>
        <w:rPr>
          <w:b/>
          <w:i/>
        </w:rPr>
      </w:pPr>
      <w:r>
        <w:rPr>
          <w:b/>
          <w:i/>
        </w:rPr>
        <w:t xml:space="preserve">Financé par la décision de financement </w:t>
      </w:r>
      <w:r w:rsidR="00BE4E90">
        <w:rPr>
          <w:b/>
          <w:i/>
        </w:rPr>
        <w:t>réf.</w:t>
      </w:r>
      <w:r>
        <w:rPr>
          <w:b/>
          <w:i/>
        </w:rPr>
        <w:t> </w:t>
      </w:r>
      <w:r w:rsidR="00442465">
        <w:rPr>
          <w:b/>
          <w:i/>
        </w:rPr>
        <w:t>PESC/2025/13/EUCAP Sahel Mali</w:t>
      </w:r>
    </w:p>
    <w:p w14:paraId="679B2846" w14:textId="77777777" w:rsidR="0094153E" w:rsidRPr="0094153E" w:rsidRDefault="0094153E" w:rsidP="00954E4A">
      <w:pPr>
        <w:spacing w:after="0"/>
        <w:jc w:val="center"/>
        <w:rPr>
          <w:b/>
          <w:smallCaps/>
          <w:szCs w:val="24"/>
        </w:rPr>
      </w:pPr>
    </w:p>
    <w:p w14:paraId="4664E1D1" w14:textId="475AE8CB" w:rsidR="0094153E" w:rsidRPr="0094153E" w:rsidRDefault="0094153E" w:rsidP="0094153E">
      <w:pPr>
        <w:spacing w:after="0"/>
        <w:jc w:val="center"/>
        <w:rPr>
          <w:b/>
          <w:smallCaps/>
          <w:szCs w:val="24"/>
        </w:rPr>
      </w:pPr>
      <w:r>
        <w:rPr>
          <w:b/>
          <w:smallCaps/>
        </w:rPr>
        <w:t xml:space="preserve">Nº </w:t>
      </w:r>
      <w:r w:rsidR="00605ABD" w:rsidRPr="00442465">
        <w:rPr>
          <w:b/>
          <w:bCs/>
        </w:rPr>
        <w:t>ESM/AO/25/1037</w:t>
      </w:r>
    </w:p>
    <w:p w14:paraId="2737E758" w14:textId="77777777" w:rsidR="0094153E" w:rsidRPr="0094153E" w:rsidRDefault="0094153E" w:rsidP="0094153E">
      <w:pPr>
        <w:spacing w:after="0"/>
        <w:jc w:val="center"/>
        <w:rPr>
          <w:b/>
          <w:bCs/>
          <w:smallCaps/>
          <w:szCs w:val="24"/>
        </w:rPr>
      </w:pPr>
    </w:p>
    <w:p w14:paraId="26B2DB56" w14:textId="1BF36394" w:rsidR="0094153E" w:rsidRPr="0094153E" w:rsidRDefault="0094153E" w:rsidP="0094153E">
      <w:pPr>
        <w:spacing w:after="0"/>
        <w:jc w:val="center"/>
        <w:rPr>
          <w:b/>
          <w:bCs/>
          <w:szCs w:val="24"/>
        </w:rPr>
      </w:pPr>
      <w:r w:rsidRPr="00605ABD">
        <w:rPr>
          <w:b/>
          <w:smallCaps/>
        </w:rPr>
        <w:t>financé sur le budget général de l’Union européenne</w:t>
      </w:r>
    </w:p>
    <w:p w14:paraId="369526D8" w14:textId="77777777" w:rsidR="0094153E" w:rsidRPr="0094153E" w:rsidRDefault="0094153E" w:rsidP="0094153E">
      <w:pPr>
        <w:spacing w:after="0"/>
        <w:jc w:val="center"/>
        <w:rPr>
          <w:b/>
          <w:bCs/>
          <w:szCs w:val="24"/>
        </w:rPr>
      </w:pPr>
    </w:p>
    <w:p w14:paraId="12FFF394" w14:textId="77777777" w:rsidR="0094153E" w:rsidRPr="0094153E" w:rsidRDefault="0094153E" w:rsidP="0094153E">
      <w:pPr>
        <w:spacing w:after="0"/>
        <w:jc w:val="center"/>
        <w:rPr>
          <w:b/>
          <w:bCs/>
          <w:szCs w:val="24"/>
        </w:rPr>
      </w:pPr>
    </w:p>
    <w:p w14:paraId="003036B5" w14:textId="77777777" w:rsidR="0094153E" w:rsidRPr="0094153E" w:rsidRDefault="0094153E" w:rsidP="0094153E">
      <w:pPr>
        <w:spacing w:after="0" w:line="259" w:lineRule="auto"/>
        <w:jc w:val="center"/>
        <w:rPr>
          <w:b/>
          <w:bCs/>
          <w:szCs w:val="24"/>
        </w:rPr>
      </w:pPr>
      <w:r>
        <w:rPr>
          <w:b/>
        </w:rPr>
        <w:t>CONDITIONS PRINCIPALES</w:t>
      </w:r>
    </w:p>
    <w:p w14:paraId="30F1B09C" w14:textId="77777777" w:rsidR="00605ABD" w:rsidRDefault="00605ABD" w:rsidP="00954E4A">
      <w:pPr>
        <w:spacing w:after="200"/>
        <w:rPr>
          <w:highlight w:val="yellow"/>
        </w:rPr>
      </w:pPr>
    </w:p>
    <w:p w14:paraId="38A5B955" w14:textId="2EA8303E" w:rsidR="0094153E" w:rsidRPr="00442465" w:rsidRDefault="00442465" w:rsidP="000560CC">
      <w:pPr>
        <w:spacing w:after="60"/>
        <w:ind w:left="284" w:hanging="284"/>
        <w:textAlignment w:val="baseline"/>
      </w:pPr>
      <w:r>
        <w:t xml:space="preserve">1. </w:t>
      </w:r>
      <w:r w:rsidR="000560CC" w:rsidRPr="000560CC">
        <w:t xml:space="preserve">Entre EUCAP Sahel Mali, </w:t>
      </w:r>
      <w:proofErr w:type="spellStart"/>
      <w:r w:rsidR="000560CC" w:rsidRPr="000560CC">
        <w:t>Sébénikoro</w:t>
      </w:r>
      <w:proofErr w:type="spellEnd"/>
      <w:r w:rsidR="000560CC" w:rsidRPr="000560CC">
        <w:t xml:space="preserve">, Route Nationale 5, Cité Mali Univers, BPE 2953, Bamako, Mali, représentée par son Chef de Mission, M. Peter </w:t>
      </w:r>
      <w:proofErr w:type="spellStart"/>
      <w:r w:rsidR="000560CC" w:rsidRPr="000560CC">
        <w:t>Grabow</w:t>
      </w:r>
      <w:proofErr w:type="spellEnd"/>
      <w:r w:rsidR="000560CC" w:rsidRPr="000560CC">
        <w:t xml:space="preserve"> Kolding, (le</w:t>
      </w:r>
      <w:proofErr w:type="gramStart"/>
      <w:r w:rsidR="000560CC" w:rsidRPr="000560CC">
        <w:t xml:space="preserve"> «pouvoir</w:t>
      </w:r>
      <w:proofErr w:type="gramEnd"/>
      <w:r w:rsidR="000560CC" w:rsidRPr="000560CC">
        <w:t xml:space="preserve"> adjudicateur»),</w:t>
      </w:r>
    </w:p>
    <w:p w14:paraId="15DAAC69" w14:textId="64D96E47" w:rsidR="0094153E" w:rsidRDefault="00384C71" w:rsidP="000560CC">
      <w:pPr>
        <w:spacing w:after="60"/>
        <w:ind w:left="284"/>
        <w:textAlignment w:val="baseline"/>
      </w:pPr>
      <w:proofErr w:type="gramStart"/>
      <w:r w:rsidRPr="00442465">
        <w:t>d’une</w:t>
      </w:r>
      <w:proofErr w:type="gramEnd"/>
      <w:r w:rsidRPr="00442465">
        <w:t xml:space="preserve"> part, et </w:t>
      </w:r>
    </w:p>
    <w:p w14:paraId="1A279041" w14:textId="77777777" w:rsidR="00442465" w:rsidRPr="00442465" w:rsidRDefault="00442465" w:rsidP="00442465">
      <w:pPr>
        <w:spacing w:after="60"/>
        <w:ind w:left="284"/>
        <w:jc w:val="left"/>
        <w:textAlignment w:val="baseline"/>
      </w:pPr>
    </w:p>
    <w:p w14:paraId="016A33EC" w14:textId="6366F6B4" w:rsidR="0094153E" w:rsidRPr="0094153E" w:rsidRDefault="0094153E" w:rsidP="00954E4A">
      <w:pPr>
        <w:spacing w:after="60"/>
        <w:ind w:left="284" w:hanging="284"/>
        <w:jc w:val="left"/>
        <w:textAlignment w:val="baseline"/>
        <w:rPr>
          <w:szCs w:val="24"/>
        </w:rPr>
      </w:pPr>
      <w:r>
        <w:t>2.</w:t>
      </w:r>
      <w:r>
        <w:tab/>
        <w:t>[</w:t>
      </w:r>
      <w:r>
        <w:rPr>
          <w:i/>
          <w:shd w:val="clear" w:color="auto" w:fill="C0C0C0"/>
        </w:rPr>
        <w:t>Dénomination officielle complète du contractant</w:t>
      </w:r>
      <w:r>
        <w:t>] </w:t>
      </w:r>
    </w:p>
    <w:p w14:paraId="62568AF2" w14:textId="77777777" w:rsidR="0094153E" w:rsidRPr="0094153E" w:rsidRDefault="0094153E" w:rsidP="00954E4A">
      <w:pPr>
        <w:spacing w:after="60"/>
        <w:ind w:left="284"/>
        <w:jc w:val="left"/>
        <w:textAlignment w:val="baseline"/>
        <w:rPr>
          <w:rFonts w:ascii="Segoe UI" w:hAnsi="Segoe UI" w:cs="Segoe UI"/>
          <w:szCs w:val="24"/>
        </w:rPr>
      </w:pPr>
      <w:r>
        <w:rPr>
          <w:color w:val="D13438"/>
          <w:u w:val="single"/>
        </w:rPr>
        <w:t xml:space="preserve">Forme </w:t>
      </w:r>
      <w:proofErr w:type="gramStart"/>
      <w:r>
        <w:rPr>
          <w:color w:val="D13438"/>
          <w:u w:val="single"/>
        </w:rPr>
        <w:t>juridique:</w:t>
      </w:r>
      <w:proofErr w:type="gramEnd"/>
      <w:r>
        <w:rPr>
          <w:color w:val="D13438"/>
          <w:u w:val="single"/>
        </w:rPr>
        <w:t xml:space="preserve"> </w:t>
      </w:r>
      <w:r>
        <w:t>[</w:t>
      </w:r>
      <w:r>
        <w:rPr>
          <w:i/>
          <w:shd w:val="clear" w:color="auto" w:fill="C0C0C0"/>
        </w:rPr>
        <w:t>Forme juridique officielle du contractant</w:t>
      </w:r>
      <w:r>
        <w:t>] </w:t>
      </w:r>
    </w:p>
    <w:p w14:paraId="2D1D582F" w14:textId="77777777" w:rsidR="0094153E" w:rsidRPr="0094153E" w:rsidRDefault="0094153E" w:rsidP="00954E4A">
      <w:pPr>
        <w:spacing w:after="60"/>
        <w:ind w:left="284"/>
        <w:jc w:val="left"/>
        <w:textAlignment w:val="baseline"/>
        <w:rPr>
          <w:rFonts w:ascii="Segoe UI" w:hAnsi="Segoe UI" w:cs="Segoe UI"/>
          <w:szCs w:val="24"/>
        </w:rPr>
      </w:pPr>
      <w:r>
        <w:rPr>
          <w:color w:val="D13438"/>
          <w:u w:val="single"/>
        </w:rPr>
        <w:t xml:space="preserve">Numéro </w:t>
      </w:r>
      <w:proofErr w:type="gramStart"/>
      <w:r>
        <w:rPr>
          <w:color w:val="D13438"/>
          <w:u w:val="single"/>
        </w:rPr>
        <w:t>d’enregistrement:</w:t>
      </w:r>
      <w:proofErr w:type="gramEnd"/>
      <w:r>
        <w:rPr>
          <w:color w:val="D13438"/>
          <w:u w:val="single"/>
        </w:rPr>
        <w:t xml:space="preserve"> </w:t>
      </w:r>
      <w:r>
        <w:t>[</w:t>
      </w:r>
      <w:r>
        <w:rPr>
          <w:i/>
          <w:shd w:val="clear" w:color="auto" w:fill="C0C0C0"/>
        </w:rPr>
        <w:t>Numéro d’enregistrement légal ou numéro de carte d’identité ou de passeport du contractant</w:t>
      </w:r>
      <w:r>
        <w:t>] </w:t>
      </w:r>
    </w:p>
    <w:p w14:paraId="59CCC216" w14:textId="77777777" w:rsidR="0094153E" w:rsidRPr="0094153E" w:rsidRDefault="0094153E" w:rsidP="00954E4A">
      <w:pPr>
        <w:spacing w:after="60"/>
        <w:ind w:left="284"/>
        <w:jc w:val="left"/>
        <w:textAlignment w:val="baseline"/>
        <w:rPr>
          <w:rFonts w:ascii="Segoe UI" w:hAnsi="Segoe UI" w:cs="Segoe UI"/>
          <w:szCs w:val="24"/>
        </w:rPr>
      </w:pPr>
      <w:r>
        <w:rPr>
          <w:color w:val="D13438"/>
          <w:u w:val="single"/>
        </w:rPr>
        <w:t xml:space="preserve">Adresse </w:t>
      </w:r>
      <w:proofErr w:type="gramStart"/>
      <w:r>
        <w:rPr>
          <w:color w:val="D13438"/>
          <w:u w:val="single"/>
        </w:rPr>
        <w:t>officielle:</w:t>
      </w:r>
      <w:proofErr w:type="gramEnd"/>
      <w:r>
        <w:rPr>
          <w:color w:val="D13438"/>
          <w:u w:val="single"/>
        </w:rPr>
        <w:t xml:space="preserve"> </w:t>
      </w:r>
      <w:r>
        <w:t>[</w:t>
      </w:r>
      <w:r>
        <w:rPr>
          <w:i/>
          <w:shd w:val="clear" w:color="auto" w:fill="C0C0C0"/>
        </w:rPr>
        <w:t>Adresse officielle complète du contractant</w:t>
      </w:r>
      <w:r>
        <w:t>] </w:t>
      </w:r>
    </w:p>
    <w:p w14:paraId="1F3EBCFB" w14:textId="77777777" w:rsidR="0094153E" w:rsidRPr="0094153E" w:rsidRDefault="0094153E" w:rsidP="00954E4A">
      <w:pPr>
        <w:spacing w:after="60"/>
        <w:ind w:left="284"/>
        <w:jc w:val="left"/>
        <w:textAlignment w:val="baseline"/>
        <w:rPr>
          <w:rFonts w:ascii="Segoe UI" w:hAnsi="Segoe UI" w:cs="Segoe UI"/>
          <w:szCs w:val="24"/>
        </w:rPr>
      </w:pPr>
      <w:proofErr w:type="gramStart"/>
      <w:r>
        <w:rPr>
          <w:color w:val="D13438"/>
          <w:u w:val="single"/>
          <w:shd w:val="clear" w:color="auto" w:fill="C0C0C0"/>
        </w:rPr>
        <w:t>TVA:</w:t>
      </w:r>
      <w:proofErr w:type="gramEnd"/>
      <w:r>
        <w:rPr>
          <w:color w:val="D13438"/>
          <w:u w:val="single"/>
          <w:shd w:val="clear" w:color="auto" w:fill="C0C0C0"/>
        </w:rPr>
        <w:t xml:space="preserve"> </w:t>
      </w:r>
      <w:r>
        <w:rPr>
          <w:shd w:val="clear" w:color="auto" w:fill="C0C0C0"/>
        </w:rPr>
        <w:t>[</w:t>
      </w:r>
      <w:r>
        <w:rPr>
          <w:i/>
          <w:color w:val="0070C0"/>
          <w:shd w:val="clear" w:color="auto" w:fill="C0C0C0"/>
        </w:rPr>
        <w:t>OPTION pour les contractants immatriculés à la TVA</w:t>
      </w:r>
      <w:r>
        <w:rPr>
          <w:i/>
          <w:shd w:val="clear" w:color="auto" w:fill="C0C0C0"/>
        </w:rPr>
        <w:t>: nº d’immatriculation à la TVA</w:t>
      </w:r>
      <w:r>
        <w:rPr>
          <w:shd w:val="clear" w:color="auto" w:fill="C0C0C0"/>
        </w:rPr>
        <w:t>]</w:t>
      </w:r>
      <w:r>
        <w:t> </w:t>
      </w:r>
    </w:p>
    <w:p w14:paraId="44E4ADBE" w14:textId="77777777" w:rsidR="0094153E" w:rsidRPr="0094153E" w:rsidRDefault="0094153E" w:rsidP="00954E4A">
      <w:pPr>
        <w:spacing w:after="200"/>
        <w:ind w:left="284"/>
        <w:jc w:val="left"/>
        <w:rPr>
          <w:szCs w:val="24"/>
        </w:rPr>
      </w:pPr>
      <w:r>
        <w:t>(</w:t>
      </w:r>
      <w:proofErr w:type="gramStart"/>
      <w:r>
        <w:t>le</w:t>
      </w:r>
      <w:proofErr w:type="gramEnd"/>
      <w:r>
        <w:t xml:space="preserve"> «contractant»),</w:t>
      </w:r>
    </w:p>
    <w:p w14:paraId="5C48753F" w14:textId="77777777" w:rsidR="0094153E" w:rsidRPr="0094153E" w:rsidRDefault="0094153E" w:rsidP="00954E4A">
      <w:pPr>
        <w:textAlignment w:val="baseline"/>
        <w:rPr>
          <w:rFonts w:ascii="Segoe UI" w:hAnsi="Segoe UI" w:cs="Segoe UI"/>
          <w:szCs w:val="24"/>
        </w:rPr>
      </w:pPr>
      <w:proofErr w:type="gramStart"/>
      <w:r>
        <w:t>représenté</w:t>
      </w:r>
      <w:proofErr w:type="gramEnd"/>
      <w:r>
        <w:t>(e) en vue de la signature du présent contrat par le mandataire indiqué dans le champ correspondant sous «SIGNATURES» ci-dessous, </w:t>
      </w:r>
    </w:p>
    <w:p w14:paraId="33F5E424" w14:textId="73275B9C" w:rsidR="0094153E" w:rsidRPr="0094153E" w:rsidRDefault="0094153E" w:rsidP="00954E4A">
      <w:pPr>
        <w:tabs>
          <w:tab w:val="left" w:pos="828"/>
          <w:tab w:val="left" w:pos="1044"/>
          <w:tab w:val="left" w:pos="1260"/>
          <w:tab w:val="left" w:pos="1476"/>
          <w:tab w:val="left" w:pos="1692"/>
          <w:tab w:val="left" w:pos="2160"/>
        </w:tabs>
        <w:jc w:val="left"/>
        <w:rPr>
          <w:szCs w:val="24"/>
        </w:rPr>
      </w:pPr>
      <w:proofErr w:type="gramStart"/>
      <w:r>
        <w:t>d’autre</w:t>
      </w:r>
      <w:proofErr w:type="gramEnd"/>
      <w:r>
        <w:t xml:space="preserve"> part, </w:t>
      </w:r>
    </w:p>
    <w:p w14:paraId="186E3E48" w14:textId="77777777" w:rsidR="0094153E" w:rsidRPr="0094153E" w:rsidRDefault="0094153E" w:rsidP="00954E4A">
      <w:pPr>
        <w:jc w:val="left"/>
        <w:rPr>
          <w:b/>
          <w:bCs/>
          <w:szCs w:val="24"/>
        </w:rPr>
      </w:pPr>
      <w:r>
        <w:rPr>
          <w:b/>
        </w:rPr>
        <w:t xml:space="preserve">SONT CONVENU(E)S de ce qui </w:t>
      </w:r>
      <w:proofErr w:type="gramStart"/>
      <w:r>
        <w:rPr>
          <w:b/>
        </w:rPr>
        <w:t>suit:</w:t>
      </w:r>
      <w:proofErr w:type="gramEnd"/>
    </w:p>
    <w:p w14:paraId="622F0A61" w14:textId="47F26E9A" w:rsidR="0094153E" w:rsidRPr="0094153E" w:rsidRDefault="0094153E" w:rsidP="00954E4A">
      <w:pPr>
        <w:autoSpaceDE w:val="0"/>
        <w:autoSpaceDN w:val="0"/>
        <w:adjustRightInd w:val="0"/>
        <w:rPr>
          <w:b/>
          <w:bCs/>
          <w:color w:val="000000"/>
          <w:szCs w:val="24"/>
        </w:rPr>
      </w:pPr>
      <w:r>
        <w:rPr>
          <w:b/>
          <w:color w:val="000000"/>
        </w:rPr>
        <w:t xml:space="preserve">1. Objet </w:t>
      </w:r>
    </w:p>
    <w:p w14:paraId="4F5B5B87" w14:textId="64F1B915" w:rsidR="0094153E" w:rsidRPr="0094153E" w:rsidRDefault="00BE4E90" w:rsidP="00954E4A">
      <w:pPr>
        <w:autoSpaceDE w:val="0"/>
        <w:autoSpaceDN w:val="0"/>
        <w:adjustRightInd w:val="0"/>
        <w:spacing w:after="200"/>
        <w:rPr>
          <w:color w:val="000000"/>
          <w:szCs w:val="24"/>
        </w:rPr>
      </w:pPr>
      <w:r>
        <w:rPr>
          <w:color w:val="000000"/>
        </w:rPr>
        <w:t xml:space="preserve">1.1 </w:t>
      </w:r>
      <w:r w:rsidR="0094153E">
        <w:rPr>
          <w:color w:val="000000"/>
        </w:rPr>
        <w:t xml:space="preserve">L’intitulé du présent contrat est le </w:t>
      </w:r>
      <w:proofErr w:type="gramStart"/>
      <w:r w:rsidR="0094153E">
        <w:rPr>
          <w:color w:val="000000"/>
        </w:rPr>
        <w:t>suivant:</w:t>
      </w:r>
      <w:proofErr w:type="gramEnd"/>
      <w:r w:rsidR="0094153E">
        <w:rPr>
          <w:color w:val="000000"/>
        </w:rPr>
        <w:t xml:space="preserve"> «</w:t>
      </w:r>
      <w:r w:rsidR="00605ABD">
        <w:rPr>
          <w:color w:val="000000"/>
        </w:rPr>
        <w:t xml:space="preserve"> </w:t>
      </w:r>
      <w:r w:rsidR="00605ABD" w:rsidRPr="00605ABD">
        <w:rPr>
          <w:b/>
          <w:bCs/>
          <w:color w:val="000000"/>
        </w:rPr>
        <w:t>Contrat à bons de commande pour la fourniture de documents imprimés, d’articles promotionnels et de supports de communication au profit de la mission EUCAP Sahel Mali à Bamako, Mali en 2 lots</w:t>
      </w:r>
      <w:r w:rsidR="0094153E">
        <w:rPr>
          <w:color w:val="000000"/>
        </w:rPr>
        <w:t xml:space="preserve">». </w:t>
      </w:r>
    </w:p>
    <w:p w14:paraId="042D0B2F" w14:textId="77777777" w:rsidR="00BE4E90" w:rsidRDefault="00BE4E90" w:rsidP="00BE4E90">
      <w:pPr>
        <w:spacing w:after="360"/>
        <w:rPr>
          <w:color w:val="000000"/>
        </w:rPr>
      </w:pPr>
      <w:r>
        <w:rPr>
          <w:color w:val="000000"/>
        </w:rPr>
        <w:t xml:space="preserve">Les conditions applicables au présent contrat sont fixées ci-après ainsi que dans les conditions particulières et générales, y compris leurs annexes. Elles sont réputées faire partie intégrante du présent contrat et être lues et interprétées en ce sens dans l’ordre décrit dans les conditions particulières. </w:t>
      </w:r>
    </w:p>
    <w:p w14:paraId="4F12C498" w14:textId="77777777" w:rsidR="00BE4E90" w:rsidRDefault="00BE4E90" w:rsidP="00BE4E90">
      <w:pPr>
        <w:spacing w:after="360"/>
        <w:rPr>
          <w:color w:val="000000"/>
        </w:rPr>
      </w:pPr>
      <w:r>
        <w:rPr>
          <w:color w:val="000000"/>
        </w:rPr>
        <w:t xml:space="preserve">1.2 </w:t>
      </w:r>
      <w:r w:rsidRPr="005543F9">
        <w:rPr>
          <w:color w:val="000000"/>
        </w:rPr>
        <w:t>Les fournitures doivent respecter toutes les spécifications techniques énoncées dans le dossier d’appel d’offres (Annexe II-III – Spécifications techniques) et être conformes, à tous égards, aux plans, métrés, modèles, échantillons, calibres et autres instructions.</w:t>
      </w:r>
    </w:p>
    <w:p w14:paraId="1E0CCFBE" w14:textId="77777777" w:rsidR="00BE4E90" w:rsidRPr="005543F9" w:rsidRDefault="00BE4E90" w:rsidP="00BE4E90">
      <w:pPr>
        <w:spacing w:after="360"/>
        <w:rPr>
          <w:color w:val="000000"/>
          <w:szCs w:val="24"/>
        </w:rPr>
      </w:pPr>
      <w:r w:rsidRPr="005543F9">
        <w:rPr>
          <w:color w:val="000000"/>
          <w:szCs w:val="24"/>
        </w:rPr>
        <w:lastRenderedPageBreak/>
        <w:t xml:space="preserve">1.3 La signature du contrat à bons de commande n'impose aucune obligation d'achat à l'autorité contractante. Seule </w:t>
      </w:r>
      <w:r>
        <w:rPr>
          <w:color w:val="000000"/>
          <w:szCs w:val="24"/>
        </w:rPr>
        <w:t>l’émission d’un</w:t>
      </w:r>
      <w:r w:rsidRPr="005543F9">
        <w:rPr>
          <w:color w:val="000000"/>
          <w:szCs w:val="24"/>
        </w:rPr>
        <w:t xml:space="preserve"> bon de commande approuvé engage l'autorité contractante. </w:t>
      </w:r>
    </w:p>
    <w:p w14:paraId="6C8A5B4D" w14:textId="77777777" w:rsidR="00BE4E90" w:rsidRPr="005543F9" w:rsidRDefault="00BE4E90" w:rsidP="00BE4E90">
      <w:pPr>
        <w:spacing w:after="360"/>
        <w:rPr>
          <w:color w:val="000000"/>
          <w:szCs w:val="24"/>
        </w:rPr>
      </w:pPr>
      <w:r w:rsidRPr="005543F9">
        <w:rPr>
          <w:color w:val="000000"/>
          <w:szCs w:val="24"/>
        </w:rPr>
        <w:t>1.4 La signature du contrat</w:t>
      </w:r>
      <w:r>
        <w:rPr>
          <w:color w:val="000000"/>
          <w:szCs w:val="24"/>
        </w:rPr>
        <w:t xml:space="preserve"> à bons de commande</w:t>
      </w:r>
      <w:r w:rsidRPr="005543F9">
        <w:rPr>
          <w:color w:val="000000"/>
          <w:szCs w:val="24"/>
        </w:rPr>
        <w:t xml:space="preserve"> ne confère aucun droit exclusif au contractant de fournir les fournitures qui font l'objet du contra</w:t>
      </w:r>
      <w:r>
        <w:rPr>
          <w:color w:val="000000"/>
          <w:szCs w:val="24"/>
        </w:rPr>
        <w:t>t</w:t>
      </w:r>
      <w:r w:rsidRPr="005543F9">
        <w:rPr>
          <w:color w:val="000000"/>
          <w:szCs w:val="24"/>
        </w:rPr>
        <w:t>.</w:t>
      </w:r>
    </w:p>
    <w:p w14:paraId="12DD8A6B" w14:textId="77777777" w:rsidR="00BE4E90" w:rsidRPr="005543F9" w:rsidRDefault="00BE4E90" w:rsidP="00BE4E90">
      <w:pPr>
        <w:spacing w:after="360"/>
        <w:rPr>
          <w:color w:val="000000"/>
          <w:szCs w:val="24"/>
        </w:rPr>
      </w:pPr>
      <w:r w:rsidRPr="005543F9">
        <w:rPr>
          <w:color w:val="000000"/>
          <w:szCs w:val="24"/>
        </w:rPr>
        <w:t xml:space="preserve">1.5 Le </w:t>
      </w:r>
      <w:r>
        <w:rPr>
          <w:color w:val="000000"/>
          <w:szCs w:val="24"/>
        </w:rPr>
        <w:t xml:space="preserve">présent </w:t>
      </w:r>
      <w:r w:rsidRPr="005543F9">
        <w:rPr>
          <w:color w:val="000000"/>
          <w:szCs w:val="24"/>
        </w:rPr>
        <w:t>contrat est exécuté par bon</w:t>
      </w:r>
      <w:r>
        <w:rPr>
          <w:color w:val="000000"/>
          <w:szCs w:val="24"/>
        </w:rPr>
        <w:t>s</w:t>
      </w:r>
      <w:r w:rsidRPr="005543F9">
        <w:rPr>
          <w:color w:val="000000"/>
          <w:szCs w:val="24"/>
        </w:rPr>
        <w:t xml:space="preserve"> de commande à envoyer exclusivement par courrier électronique. </w:t>
      </w:r>
    </w:p>
    <w:p w14:paraId="2E54C5B7" w14:textId="60953C5A" w:rsidR="00D40487" w:rsidRPr="00ED174C" w:rsidRDefault="00BE4E90" w:rsidP="00D40487">
      <w:pPr>
        <w:spacing w:after="360"/>
        <w:rPr>
          <w:color w:val="000000"/>
          <w:szCs w:val="24"/>
        </w:rPr>
      </w:pPr>
      <w:r w:rsidRPr="00ED174C">
        <w:rPr>
          <w:color w:val="000000"/>
          <w:szCs w:val="24"/>
        </w:rPr>
        <w:t xml:space="preserve">Chaque fois que l'autorité contractante a l'intention d'acquérir des fournitures en vertu du présent contrat à bons de commande, elle envoie au contractant un bon de commande (1037 </w:t>
      </w:r>
      <w:r w:rsidRPr="00E4579B">
        <w:rPr>
          <w:color w:val="000000"/>
          <w:szCs w:val="24"/>
        </w:rPr>
        <w:t xml:space="preserve">– Annexe </w:t>
      </w:r>
      <w:proofErr w:type="spellStart"/>
      <w:proofErr w:type="gramStart"/>
      <w:r w:rsidRPr="00E4579B">
        <w:rPr>
          <w:color w:val="000000"/>
          <w:szCs w:val="24"/>
        </w:rPr>
        <w:t>Vb</w:t>
      </w:r>
      <w:proofErr w:type="spellEnd"/>
      <w:r w:rsidRPr="00E4579B">
        <w:rPr>
          <w:color w:val="000000"/>
          <w:szCs w:val="24"/>
        </w:rPr>
        <w:t xml:space="preserve"> )</w:t>
      </w:r>
      <w:proofErr w:type="gramEnd"/>
      <w:r w:rsidRPr="00E4579B">
        <w:rPr>
          <w:color w:val="000000"/>
          <w:szCs w:val="24"/>
        </w:rPr>
        <w:t xml:space="preserve"> signé</w:t>
      </w:r>
      <w:r w:rsidRPr="00ED174C">
        <w:rPr>
          <w:color w:val="000000"/>
          <w:szCs w:val="24"/>
        </w:rPr>
        <w:t xml:space="preserve"> et numérisé spécifiant les articles à fournir.</w:t>
      </w:r>
    </w:p>
    <w:p w14:paraId="6F2A34B2" w14:textId="77777777" w:rsidR="00ED174C" w:rsidRPr="00E4579B" w:rsidRDefault="00ED174C" w:rsidP="00ED174C">
      <w:pPr>
        <w:spacing w:after="360"/>
        <w:rPr>
          <w:i/>
          <w:iCs/>
          <w:color w:val="000000"/>
          <w:szCs w:val="24"/>
        </w:rPr>
      </w:pPr>
      <w:bookmarkStart w:id="1" w:name="_Hlk198196551"/>
      <w:r w:rsidRPr="00E4579B">
        <w:rPr>
          <w:i/>
          <w:iCs/>
          <w:color w:val="000000"/>
          <w:szCs w:val="24"/>
        </w:rPr>
        <w:t xml:space="preserve">Le contractant doit, </w:t>
      </w:r>
      <w:r w:rsidRPr="00E4579B">
        <w:rPr>
          <w:b/>
          <w:bCs/>
          <w:i/>
          <w:iCs/>
          <w:color w:val="000000"/>
          <w:szCs w:val="24"/>
          <w:u w:val="single"/>
        </w:rPr>
        <w:t>dans les deux jours ouvrables suivant l'envoi de l'autorité contractante</w:t>
      </w:r>
      <w:r w:rsidRPr="00E4579B">
        <w:rPr>
          <w:i/>
          <w:iCs/>
          <w:color w:val="000000"/>
          <w:szCs w:val="24"/>
        </w:rPr>
        <w:t>, soit refuser la demande, soit confirmer à l'autorité contractante l'exécution de la demande. Le délai de réponse de deux jours ouvrables est basé sur les heures de bureau normales de l'autorité contractante (semaine de travail fixe, c'est-à-dire du lundi au vendredi), à l'exception des jours fériés nationaux.</w:t>
      </w:r>
    </w:p>
    <w:p w14:paraId="41349284" w14:textId="7C69E2EA" w:rsidR="00ED174C" w:rsidRPr="00E4579B" w:rsidRDefault="00ED174C" w:rsidP="00ED174C">
      <w:pPr>
        <w:spacing w:after="360"/>
        <w:rPr>
          <w:i/>
          <w:iCs/>
          <w:color w:val="000000"/>
          <w:szCs w:val="24"/>
        </w:rPr>
      </w:pPr>
      <w:r w:rsidRPr="00E4579B">
        <w:rPr>
          <w:i/>
          <w:iCs/>
          <w:color w:val="000000"/>
          <w:szCs w:val="24"/>
        </w:rPr>
        <w:t>Le processus d’acquisition commence à l'approbation du bon de commande</w:t>
      </w:r>
      <w:r w:rsidR="00FA2B01" w:rsidRPr="00E4579B">
        <w:rPr>
          <w:i/>
          <w:iCs/>
          <w:color w:val="000000"/>
          <w:szCs w:val="24"/>
        </w:rPr>
        <w:t xml:space="preserve"> </w:t>
      </w:r>
      <w:r w:rsidRPr="00E4579B">
        <w:rPr>
          <w:i/>
          <w:iCs/>
          <w:color w:val="000000"/>
          <w:szCs w:val="24"/>
        </w:rPr>
        <w:t xml:space="preserve">ou à son retrait. Le contractant ne doit pas commencer à </w:t>
      </w:r>
      <w:r w:rsidR="00FA2B01" w:rsidRPr="00E4579B">
        <w:rPr>
          <w:i/>
          <w:iCs/>
          <w:color w:val="000000"/>
          <w:szCs w:val="24"/>
        </w:rPr>
        <w:t>livrer</w:t>
      </w:r>
      <w:r w:rsidRPr="00E4579B">
        <w:rPr>
          <w:i/>
          <w:iCs/>
          <w:color w:val="000000"/>
          <w:szCs w:val="24"/>
        </w:rPr>
        <w:t xml:space="preserve"> des fournitures avant que l'autorité contractante n’ait soumis un bon de commande approuvé et contresigné.</w:t>
      </w:r>
    </w:p>
    <w:p w14:paraId="18E5A38E" w14:textId="08A84C58" w:rsidR="00ED174C" w:rsidRPr="00E4579B" w:rsidRDefault="00ED174C" w:rsidP="00ED174C">
      <w:pPr>
        <w:spacing w:after="360"/>
        <w:rPr>
          <w:i/>
          <w:iCs/>
          <w:color w:val="000000"/>
          <w:szCs w:val="24"/>
        </w:rPr>
      </w:pPr>
      <w:r w:rsidRPr="00E4579B">
        <w:rPr>
          <w:i/>
          <w:iCs/>
          <w:color w:val="000000"/>
          <w:szCs w:val="24"/>
        </w:rPr>
        <w:t>Si le contractant refuse de manière répétée de signer les bons de commande ou s'il ne les renvoie pas à temps de manière répétée, il peut être considéré comme ayant manqué gravement aux obligations qui lui incombent en vertu du présent contrat</w:t>
      </w:r>
      <w:r w:rsidR="00FA2B01" w:rsidRPr="00E4579B">
        <w:rPr>
          <w:i/>
          <w:iCs/>
          <w:color w:val="000000"/>
          <w:szCs w:val="24"/>
        </w:rPr>
        <w:t xml:space="preserve"> à bons de commande,</w:t>
      </w:r>
      <w:r w:rsidRPr="00E4579B">
        <w:rPr>
          <w:i/>
          <w:iCs/>
          <w:color w:val="000000"/>
          <w:szCs w:val="24"/>
        </w:rPr>
        <w:t xml:space="preserve"> conformément à l'article 36.2(a) des Conditions générales</w:t>
      </w:r>
      <w:r w:rsidR="00FA2B01" w:rsidRPr="00E4579B">
        <w:rPr>
          <w:i/>
          <w:iCs/>
          <w:color w:val="000000"/>
          <w:szCs w:val="24"/>
        </w:rPr>
        <w:t>.</w:t>
      </w:r>
    </w:p>
    <w:p w14:paraId="3CC02AA5" w14:textId="3B857BD9" w:rsidR="00ED174C" w:rsidRPr="00E4579B" w:rsidRDefault="00ED174C" w:rsidP="00ED174C">
      <w:pPr>
        <w:spacing w:after="360"/>
        <w:rPr>
          <w:color w:val="000000"/>
          <w:szCs w:val="24"/>
        </w:rPr>
      </w:pPr>
      <w:bookmarkStart w:id="2" w:name="_Hlk198196982"/>
      <w:r w:rsidRPr="00E4579B">
        <w:rPr>
          <w:color w:val="000000"/>
          <w:szCs w:val="24"/>
        </w:rPr>
        <w:t>Le contractant dispose d’un délai maximum de 24 heures à compter de la date de la demande par le Pouvoir adjudicateur (date de signature d’un bon de commande ou date de demande par ordre de service/mail) pour livrer les articles à :</w:t>
      </w:r>
    </w:p>
    <w:p w14:paraId="55340E9A" w14:textId="38F7EAA0" w:rsidR="00ED174C" w:rsidRDefault="00ED174C" w:rsidP="00E4579B">
      <w:pPr>
        <w:spacing w:after="0"/>
        <w:ind w:left="567" w:hanging="283"/>
        <w:rPr>
          <w:color w:val="000000"/>
          <w:szCs w:val="24"/>
        </w:rPr>
      </w:pPr>
      <w:r w:rsidRPr="00E4579B">
        <w:rPr>
          <w:color w:val="000000"/>
          <w:szCs w:val="24"/>
        </w:rPr>
        <w:t>•</w:t>
      </w:r>
      <w:r w:rsidRPr="00E4579B">
        <w:rPr>
          <w:color w:val="000000"/>
          <w:szCs w:val="24"/>
        </w:rPr>
        <w:tab/>
        <w:t xml:space="preserve">EUCAP Sahel Mali, </w:t>
      </w:r>
      <w:proofErr w:type="spellStart"/>
      <w:r w:rsidRPr="00E4579B">
        <w:rPr>
          <w:color w:val="000000"/>
          <w:szCs w:val="24"/>
        </w:rPr>
        <w:t>Sébénikoro</w:t>
      </w:r>
      <w:proofErr w:type="spellEnd"/>
      <w:r w:rsidRPr="00E4579B">
        <w:rPr>
          <w:color w:val="000000"/>
          <w:szCs w:val="24"/>
        </w:rPr>
        <w:t xml:space="preserve">, </w:t>
      </w:r>
      <w:r w:rsidRPr="00E4579B">
        <w:rPr>
          <w:color w:val="000000"/>
        </w:rPr>
        <w:t xml:space="preserve">Route Nationale 5, </w:t>
      </w:r>
      <w:r w:rsidRPr="00E4579B">
        <w:rPr>
          <w:color w:val="000000"/>
          <w:szCs w:val="24"/>
        </w:rPr>
        <w:t>cité Mali Univers, face à la Station N’DOURE Service, Bamako.</w:t>
      </w:r>
      <w:r w:rsidRPr="00E4579B">
        <w:rPr>
          <w:snapToGrid w:val="0"/>
          <w:color w:val="000000"/>
          <w:szCs w:val="24"/>
        </w:rPr>
        <w:t xml:space="preserve"> Les Incoterms applicables sont DDP.</w:t>
      </w:r>
      <w:bookmarkEnd w:id="1"/>
      <w:bookmarkEnd w:id="2"/>
    </w:p>
    <w:p w14:paraId="4F902148" w14:textId="77777777" w:rsidR="00E4579B" w:rsidRPr="00E4579B" w:rsidRDefault="00E4579B" w:rsidP="00E4579B">
      <w:pPr>
        <w:spacing w:after="0"/>
        <w:ind w:left="567" w:hanging="283"/>
        <w:rPr>
          <w:color w:val="000000"/>
          <w:szCs w:val="24"/>
        </w:rPr>
      </w:pPr>
    </w:p>
    <w:p w14:paraId="712601D5" w14:textId="782B7E00" w:rsidR="00BE4E90" w:rsidRPr="00E4579B" w:rsidRDefault="00BE4E90" w:rsidP="00BE4E90">
      <w:pPr>
        <w:spacing w:after="360"/>
        <w:rPr>
          <w:color w:val="000000"/>
          <w:szCs w:val="24"/>
        </w:rPr>
      </w:pPr>
      <w:r w:rsidRPr="00E4579B">
        <w:rPr>
          <w:color w:val="000000"/>
          <w:szCs w:val="24"/>
        </w:rPr>
        <w:t>Le contractant ne doit pas commencer à fournir des fournitures avant que l'autorité contractante n’ait soumis un bon de commande ou un ordre de service.</w:t>
      </w:r>
    </w:p>
    <w:p w14:paraId="5A214C07" w14:textId="77777777" w:rsidR="00BE4E90" w:rsidRPr="00E4579B" w:rsidRDefault="00BE4E90" w:rsidP="00BE4E90">
      <w:pPr>
        <w:spacing w:after="360"/>
        <w:rPr>
          <w:color w:val="000000"/>
          <w:szCs w:val="24"/>
        </w:rPr>
      </w:pPr>
      <w:r w:rsidRPr="00E4579B">
        <w:rPr>
          <w:color w:val="000000"/>
          <w:szCs w:val="24"/>
        </w:rPr>
        <w:t xml:space="preserve">La livraison devra être effectuée conformément aux dispositions prévues dans les Conditions Particulières et Conditions Générales du présent contrat. </w:t>
      </w:r>
    </w:p>
    <w:p w14:paraId="4A6E87ED" w14:textId="77777777" w:rsidR="00BE4E90" w:rsidRPr="005543F9" w:rsidRDefault="00BE4E90" w:rsidP="00BE4E90">
      <w:pPr>
        <w:spacing w:after="360"/>
        <w:rPr>
          <w:color w:val="000000"/>
          <w:szCs w:val="24"/>
        </w:rPr>
      </w:pPr>
      <w:bookmarkStart w:id="3" w:name="_Hlk198197065"/>
      <w:r w:rsidRPr="00E4579B">
        <w:rPr>
          <w:color w:val="000000"/>
          <w:szCs w:val="24"/>
        </w:rPr>
        <w:t>1.6 Les tarifs indiqués en annexe IV « Budget » sont fermes pour toute la durée du contrat et ne pourront être modifiés, quel que soit le nombre d’articles livrées par le Contractant au cours de la période d’exécution.</w:t>
      </w:r>
    </w:p>
    <w:p w14:paraId="2D1DA5F4" w14:textId="01D3C233" w:rsidR="001E092F" w:rsidRDefault="00BE4E90" w:rsidP="00BE4E90">
      <w:pPr>
        <w:spacing w:after="360"/>
        <w:rPr>
          <w:color w:val="000000"/>
          <w:szCs w:val="24"/>
        </w:rPr>
      </w:pPr>
      <w:r w:rsidRPr="005543F9">
        <w:rPr>
          <w:color w:val="000000"/>
          <w:szCs w:val="24"/>
        </w:rPr>
        <w:t xml:space="preserve">1.7 Les bons de commande sont établis sur la base des prix unitaires indiqués dans l'offre (annexe </w:t>
      </w:r>
      <w:r w:rsidRPr="000C1867">
        <w:rPr>
          <w:color w:val="000000"/>
          <w:szCs w:val="24"/>
        </w:rPr>
        <w:t>IV</w:t>
      </w:r>
      <w:r w:rsidRPr="005543F9">
        <w:rPr>
          <w:color w:val="000000"/>
          <w:szCs w:val="24"/>
        </w:rPr>
        <w:t xml:space="preserve">). Toutefois, </w:t>
      </w:r>
      <w:r w:rsidRPr="00605583">
        <w:rPr>
          <w:color w:val="000000"/>
          <w:szCs w:val="24"/>
        </w:rPr>
        <w:t xml:space="preserve">le Pouvoir adjudicateur </w:t>
      </w:r>
      <w:r w:rsidRPr="005543F9">
        <w:rPr>
          <w:color w:val="000000"/>
          <w:szCs w:val="24"/>
        </w:rPr>
        <w:t xml:space="preserve">peut demander au titulaire du marché de </w:t>
      </w:r>
      <w:r w:rsidRPr="005543F9">
        <w:rPr>
          <w:color w:val="000000"/>
          <w:szCs w:val="24"/>
        </w:rPr>
        <w:lastRenderedPageBreak/>
        <w:t xml:space="preserve">proposer des fournitures complémentaires de même nature que ceux énumérés dans l'offre (annexe </w:t>
      </w:r>
      <w:r w:rsidRPr="000C1867">
        <w:rPr>
          <w:color w:val="000000"/>
          <w:szCs w:val="24"/>
        </w:rPr>
        <w:t>IV</w:t>
      </w:r>
      <w:r w:rsidRPr="005543F9">
        <w:rPr>
          <w:color w:val="000000"/>
          <w:szCs w:val="24"/>
        </w:rPr>
        <w:t xml:space="preserve">). Les éléments complémentaires ne peuvent pas déroger aux termes essentiels fixés dans le contrat et ne peuvent être demandés que s'ils sont nécessaires à l'exécution de la demande d'installation de fournitures. Les éléments complémentaires seront commandés sur la base d'une facture proforma fournie par le contractant qui devra être approuvée au préalable par </w:t>
      </w:r>
      <w:r w:rsidRPr="00605583">
        <w:rPr>
          <w:color w:val="000000"/>
          <w:szCs w:val="24"/>
        </w:rPr>
        <w:t>le Pouvoir adjudicateur</w:t>
      </w:r>
      <w:r w:rsidRPr="005543F9">
        <w:rPr>
          <w:color w:val="000000"/>
          <w:szCs w:val="24"/>
        </w:rPr>
        <w:t>.</w:t>
      </w:r>
      <w:bookmarkEnd w:id="3"/>
    </w:p>
    <w:p w14:paraId="4090EE73" w14:textId="4956EAE1" w:rsidR="0094153E" w:rsidRPr="0094153E" w:rsidRDefault="0094153E" w:rsidP="00954E4A">
      <w:pPr>
        <w:autoSpaceDE w:val="0"/>
        <w:autoSpaceDN w:val="0"/>
        <w:adjustRightInd w:val="0"/>
        <w:spacing w:after="120"/>
        <w:ind w:left="284" w:hanging="284"/>
        <w:rPr>
          <w:b/>
          <w:bCs/>
          <w:color w:val="000000"/>
          <w:szCs w:val="24"/>
        </w:rPr>
      </w:pPr>
      <w:r>
        <w:rPr>
          <w:b/>
          <w:color w:val="000000"/>
        </w:rPr>
        <w:t>2.</w:t>
      </w:r>
      <w:r>
        <w:rPr>
          <w:b/>
          <w:color w:val="000000"/>
        </w:rPr>
        <w:tab/>
        <w:t xml:space="preserve">Montant du marché </w:t>
      </w:r>
    </w:p>
    <w:p w14:paraId="2C63E418" w14:textId="3F5D4E82" w:rsidR="0094153E" w:rsidRDefault="0094153E" w:rsidP="006B2ECD">
      <w:pPr>
        <w:autoSpaceDE w:val="0"/>
        <w:autoSpaceDN w:val="0"/>
        <w:adjustRightInd w:val="0"/>
        <w:spacing w:after="0"/>
        <w:rPr>
          <w:color w:val="000000"/>
        </w:rPr>
      </w:pPr>
      <w:r>
        <w:rPr>
          <w:color w:val="000000"/>
        </w:rPr>
        <w:t xml:space="preserve">Le montant maximal </w:t>
      </w:r>
      <w:r>
        <w:rPr>
          <w:color w:val="000000"/>
          <w:shd w:val="clear" w:color="auto" w:fill="FFFFFF"/>
        </w:rPr>
        <w:t>couvrant tous les achats effectués au titre du présent</w:t>
      </w:r>
      <w:r>
        <w:rPr>
          <w:color w:val="000000"/>
        </w:rPr>
        <w:t xml:space="preserve"> contrat</w:t>
      </w:r>
      <w:r w:rsidR="006B2ECD">
        <w:rPr>
          <w:color w:val="000000"/>
        </w:rPr>
        <w:t xml:space="preserve"> pour 24 mois</w:t>
      </w:r>
      <w:r>
        <w:rPr>
          <w:color w:val="000000"/>
        </w:rPr>
        <w:t xml:space="preserve"> s’élève à </w:t>
      </w:r>
      <w:r>
        <w:t>[</w:t>
      </w:r>
      <w:r>
        <w:rPr>
          <w:highlight w:val="lightGray"/>
        </w:rPr>
        <w:t>montant (montant en lettres)</w:t>
      </w:r>
      <w:r>
        <w:t>] </w:t>
      </w:r>
      <w:r>
        <w:rPr>
          <w:color w:val="000000"/>
        </w:rPr>
        <w:t>[</w:t>
      </w:r>
      <w:r>
        <w:rPr>
          <w:color w:val="000000"/>
          <w:highlight w:val="lightGray"/>
        </w:rPr>
        <w:t>devise</w:t>
      </w:r>
      <w:r w:rsidR="004E0A9B" w:rsidRPr="00954E4A">
        <w:rPr>
          <w:rStyle w:val="Appelnotedebasdep"/>
          <w:szCs w:val="24"/>
          <w:highlight w:val="lightGray"/>
        </w:rPr>
        <w:footnoteReference w:id="1"/>
      </w:r>
      <w:r>
        <w:rPr>
          <w:color w:val="000000"/>
        </w:rPr>
        <w:t>].]</w:t>
      </w:r>
    </w:p>
    <w:p w14:paraId="572B4421" w14:textId="16B4E22C" w:rsidR="006B2ECD" w:rsidRPr="00302F63" w:rsidRDefault="006B2ECD" w:rsidP="006B2ECD">
      <w:pPr>
        <w:numPr>
          <w:ilvl w:val="0"/>
          <w:numId w:val="32"/>
        </w:numPr>
        <w:tabs>
          <w:tab w:val="left" w:pos="709"/>
          <w:tab w:val="left" w:pos="993"/>
        </w:tabs>
        <w:spacing w:before="120" w:after="0"/>
        <w:jc w:val="left"/>
        <w:rPr>
          <w:b/>
          <w:snapToGrid w:val="0"/>
          <w:szCs w:val="24"/>
          <w:lang w:val="en-US" w:eastAsia="en-US"/>
        </w:rPr>
      </w:pPr>
      <w:r>
        <w:rPr>
          <w:snapToGrid w:val="0"/>
          <w:szCs w:val="24"/>
          <w:lang w:val="en-US" w:eastAsia="en-US"/>
        </w:rPr>
        <w:t>L</w:t>
      </w:r>
      <w:r w:rsidRPr="00302F63">
        <w:rPr>
          <w:snapToGrid w:val="0"/>
          <w:szCs w:val="24"/>
          <w:lang w:val="en-US" w:eastAsia="en-US"/>
        </w:rPr>
        <w:t>ot nº 1: Impressions</w:t>
      </w:r>
      <w:r>
        <w:rPr>
          <w:snapToGrid w:val="0"/>
          <w:szCs w:val="24"/>
          <w:lang w:val="en-US" w:eastAsia="en-US"/>
        </w:rPr>
        <w:t>:</w:t>
      </w:r>
    </w:p>
    <w:p w14:paraId="31E17D81" w14:textId="4EFC252E" w:rsidR="006B2ECD" w:rsidRPr="006B2ECD" w:rsidRDefault="006B2ECD" w:rsidP="006B2ECD">
      <w:pPr>
        <w:numPr>
          <w:ilvl w:val="0"/>
          <w:numId w:val="32"/>
        </w:numPr>
        <w:tabs>
          <w:tab w:val="left" w:pos="709"/>
          <w:tab w:val="left" w:pos="993"/>
          <w:tab w:val="left" w:pos="1276"/>
        </w:tabs>
        <w:spacing w:before="120" w:after="0"/>
        <w:jc w:val="left"/>
        <w:rPr>
          <w:b/>
          <w:snapToGrid w:val="0"/>
          <w:szCs w:val="24"/>
          <w:lang w:eastAsia="en-US"/>
        </w:rPr>
      </w:pPr>
      <w:r>
        <w:rPr>
          <w:snapToGrid w:val="0"/>
          <w:szCs w:val="24"/>
          <w:lang w:eastAsia="en-US"/>
        </w:rPr>
        <w:t>L</w:t>
      </w:r>
      <w:r w:rsidRPr="00302F63">
        <w:rPr>
          <w:snapToGrid w:val="0"/>
          <w:szCs w:val="24"/>
          <w:lang w:eastAsia="en-US"/>
        </w:rPr>
        <w:t>ot nº </w:t>
      </w:r>
      <w:proofErr w:type="gramStart"/>
      <w:r w:rsidRPr="00302F63">
        <w:rPr>
          <w:snapToGrid w:val="0"/>
          <w:szCs w:val="24"/>
          <w:lang w:eastAsia="en-US"/>
        </w:rPr>
        <w:t>2:</w:t>
      </w:r>
      <w:proofErr w:type="gramEnd"/>
      <w:r w:rsidRPr="00302F63">
        <w:rPr>
          <w:snapToGrid w:val="0"/>
          <w:szCs w:val="24"/>
          <w:lang w:eastAsia="en-US"/>
        </w:rPr>
        <w:t xml:space="preserve"> Articles de visibilité</w:t>
      </w:r>
      <w:r>
        <w:rPr>
          <w:snapToGrid w:val="0"/>
          <w:szCs w:val="24"/>
          <w:lang w:eastAsia="en-US"/>
        </w:rPr>
        <w:t> :</w:t>
      </w:r>
    </w:p>
    <w:p w14:paraId="26939927" w14:textId="77777777" w:rsidR="006B2ECD" w:rsidRPr="00302F63" w:rsidRDefault="006B2ECD" w:rsidP="006B2ECD">
      <w:pPr>
        <w:tabs>
          <w:tab w:val="left" w:pos="709"/>
          <w:tab w:val="left" w:pos="993"/>
          <w:tab w:val="left" w:pos="1276"/>
        </w:tabs>
        <w:spacing w:before="120" w:after="0"/>
        <w:ind w:left="786"/>
        <w:jc w:val="left"/>
        <w:rPr>
          <w:b/>
          <w:snapToGrid w:val="0"/>
          <w:szCs w:val="24"/>
          <w:lang w:eastAsia="en-US"/>
        </w:rPr>
      </w:pPr>
    </w:p>
    <w:p w14:paraId="0D938635" w14:textId="51B97E0F" w:rsidR="0094153E" w:rsidRPr="0094153E" w:rsidRDefault="0094153E" w:rsidP="00954E4A">
      <w:pPr>
        <w:autoSpaceDE w:val="0"/>
        <w:autoSpaceDN w:val="0"/>
        <w:adjustRightInd w:val="0"/>
        <w:spacing w:after="120"/>
        <w:ind w:left="284" w:hanging="284"/>
        <w:rPr>
          <w:b/>
          <w:bCs/>
          <w:color w:val="000000"/>
          <w:szCs w:val="24"/>
        </w:rPr>
      </w:pPr>
      <w:r>
        <w:rPr>
          <w:b/>
          <w:color w:val="000000"/>
        </w:rPr>
        <w:t>3.</w:t>
      </w:r>
      <w:r>
        <w:rPr>
          <w:b/>
          <w:color w:val="000000"/>
        </w:rPr>
        <w:tab/>
        <w:t>Entrée en vigueur et durée</w:t>
      </w:r>
    </w:p>
    <w:p w14:paraId="11EA5D45" w14:textId="4BDCEC97" w:rsidR="0094153E" w:rsidRPr="00A4220F" w:rsidRDefault="0094153E" w:rsidP="00954E4A">
      <w:pPr>
        <w:autoSpaceDE w:val="0"/>
        <w:autoSpaceDN w:val="0"/>
        <w:adjustRightInd w:val="0"/>
        <w:spacing w:after="120"/>
        <w:rPr>
          <w:color w:val="000000"/>
          <w:szCs w:val="24"/>
          <w:shd w:val="clear" w:color="auto" w:fill="FFFFFF"/>
        </w:rPr>
      </w:pPr>
      <w:r w:rsidRPr="00A4220F">
        <w:rPr>
          <w:color w:val="000000"/>
          <w:shd w:val="clear" w:color="auto" w:fill="FFFFFF"/>
        </w:rPr>
        <w:t xml:space="preserve">Le présent </w:t>
      </w:r>
      <w:r w:rsidRPr="00A4220F">
        <w:rPr>
          <w:color w:val="000000"/>
        </w:rPr>
        <w:t xml:space="preserve">contrat </w:t>
      </w:r>
      <w:r w:rsidRPr="00A4220F">
        <w:rPr>
          <w:color w:val="000000"/>
          <w:shd w:val="clear" w:color="auto" w:fill="FFFFFF"/>
        </w:rPr>
        <w:t>entre en vigueur à la date de sa signature par la dernière partie.</w:t>
      </w:r>
    </w:p>
    <w:p w14:paraId="5788DA19" w14:textId="7C51562E" w:rsidR="0094153E" w:rsidRDefault="0094153E" w:rsidP="00954E4A">
      <w:pPr>
        <w:autoSpaceDE w:val="0"/>
        <w:autoSpaceDN w:val="0"/>
        <w:adjustRightInd w:val="0"/>
        <w:spacing w:after="360"/>
        <w:rPr>
          <w:color w:val="000000"/>
          <w:szCs w:val="24"/>
        </w:rPr>
      </w:pPr>
      <w:r w:rsidRPr="00A4220F">
        <w:rPr>
          <w:color w:val="000000"/>
        </w:rPr>
        <w:t xml:space="preserve">La durée maximale d’exécution du marché est de </w:t>
      </w:r>
      <w:r w:rsidR="00A4220F" w:rsidRPr="00A4220F">
        <w:rPr>
          <w:color w:val="000000"/>
        </w:rPr>
        <w:t xml:space="preserve">2 </w:t>
      </w:r>
      <w:r w:rsidRPr="00A4220F">
        <w:rPr>
          <w:color w:val="000000"/>
        </w:rPr>
        <w:t>ans</w:t>
      </w:r>
      <w:r w:rsidRPr="00A4220F">
        <w:rPr>
          <w:b/>
          <w:color w:val="000000"/>
        </w:rPr>
        <w:t xml:space="preserve"> </w:t>
      </w:r>
      <w:r w:rsidRPr="00A4220F">
        <w:rPr>
          <w:color w:val="000000"/>
        </w:rPr>
        <w:t xml:space="preserve">à compter la date de signature du contrat par la dernière partie </w:t>
      </w:r>
      <w:proofErr w:type="gramStart"/>
      <w:r w:rsidRPr="00A4220F">
        <w:rPr>
          <w:color w:val="000000"/>
        </w:rPr>
        <w:t>contractante,.</w:t>
      </w:r>
      <w:proofErr w:type="gramEnd"/>
      <w:r>
        <w:rPr>
          <w:color w:val="000000"/>
        </w:rPr>
        <w:t xml:space="preserve"> </w:t>
      </w:r>
    </w:p>
    <w:p w14:paraId="73B1CF47" w14:textId="05BC56FC" w:rsidR="0094153E" w:rsidRPr="0094153E" w:rsidRDefault="0094153E" w:rsidP="00954E4A">
      <w:pPr>
        <w:autoSpaceDE w:val="0"/>
        <w:autoSpaceDN w:val="0"/>
        <w:adjustRightInd w:val="0"/>
        <w:spacing w:after="120"/>
        <w:ind w:left="284" w:hanging="284"/>
        <w:rPr>
          <w:b/>
          <w:bCs/>
          <w:color w:val="000000"/>
          <w:szCs w:val="24"/>
        </w:rPr>
      </w:pPr>
      <w:r>
        <w:rPr>
          <w:b/>
          <w:color w:val="000000"/>
        </w:rPr>
        <w:t>4.</w:t>
      </w:r>
      <w:r>
        <w:rPr>
          <w:b/>
          <w:color w:val="000000"/>
        </w:rPr>
        <w:tab/>
        <w:t>Compte bancaire</w:t>
      </w:r>
    </w:p>
    <w:p w14:paraId="7EAC9185" w14:textId="77777777" w:rsidR="0094153E" w:rsidRPr="0094153E" w:rsidRDefault="0094153E" w:rsidP="00954E4A">
      <w:pPr>
        <w:spacing w:after="120"/>
        <w:rPr>
          <w:color w:val="000000"/>
          <w:szCs w:val="24"/>
        </w:rPr>
      </w:pPr>
      <w:r>
        <w:rPr>
          <w:color w:val="000000"/>
        </w:rPr>
        <w:t xml:space="preserve">Les paiements sont effectués conformément aux conditions particulières sur le compte bancaire </w:t>
      </w:r>
      <w:proofErr w:type="gramStart"/>
      <w:r>
        <w:rPr>
          <w:color w:val="000000"/>
        </w:rPr>
        <w:t>suivant:</w:t>
      </w:r>
      <w:proofErr w:type="gramEnd"/>
      <w:r>
        <w:rPr>
          <w:color w:val="000000"/>
        </w:rPr>
        <w:t xml:space="preserve"> </w:t>
      </w:r>
    </w:p>
    <w:p w14:paraId="3D57A03D" w14:textId="77777777" w:rsidR="0094153E" w:rsidRPr="0094153E" w:rsidRDefault="0094153E" w:rsidP="00954E4A">
      <w:pPr>
        <w:spacing w:after="60"/>
        <w:rPr>
          <w:color w:val="000000"/>
          <w:szCs w:val="24"/>
        </w:rPr>
      </w:pPr>
      <w:r>
        <w:rPr>
          <w:i/>
          <w:color w:val="000000"/>
        </w:rPr>
        <w:t xml:space="preserve">Nom de la </w:t>
      </w:r>
      <w:proofErr w:type="gramStart"/>
      <w:r>
        <w:rPr>
          <w:i/>
          <w:color w:val="000000"/>
        </w:rPr>
        <w:t>banque</w:t>
      </w:r>
      <w:r>
        <w:rPr>
          <w:color w:val="000000"/>
        </w:rPr>
        <w:t>:</w:t>
      </w:r>
      <w:proofErr w:type="gramEnd"/>
      <w:r>
        <w:rPr>
          <w:color w:val="000000"/>
        </w:rPr>
        <w:t xml:space="preserve"> [</w:t>
      </w:r>
      <w:r>
        <w:rPr>
          <w:color w:val="000000"/>
          <w:highlight w:val="lightGray"/>
        </w:rPr>
        <w:t>insérer le nom de la banque]</w:t>
      </w:r>
    </w:p>
    <w:p w14:paraId="65AB26FD" w14:textId="77777777" w:rsidR="0094153E" w:rsidRPr="0094153E" w:rsidRDefault="0094153E" w:rsidP="00954E4A">
      <w:pPr>
        <w:spacing w:after="60"/>
        <w:rPr>
          <w:color w:val="000000"/>
          <w:szCs w:val="24"/>
        </w:rPr>
      </w:pPr>
      <w:r>
        <w:rPr>
          <w:i/>
          <w:color w:val="000000"/>
        </w:rPr>
        <w:t xml:space="preserve">Identification précise du titulaire du </w:t>
      </w:r>
      <w:proofErr w:type="gramStart"/>
      <w:r>
        <w:rPr>
          <w:i/>
          <w:color w:val="000000"/>
        </w:rPr>
        <w:t>compte</w:t>
      </w:r>
      <w:r>
        <w:rPr>
          <w:color w:val="000000"/>
        </w:rPr>
        <w:t>:</w:t>
      </w:r>
      <w:proofErr w:type="gramEnd"/>
      <w:r>
        <w:rPr>
          <w:color w:val="000000"/>
        </w:rPr>
        <w:t xml:space="preserve"> [</w:t>
      </w:r>
      <w:r>
        <w:rPr>
          <w:color w:val="000000"/>
          <w:highlight w:val="lightGray"/>
        </w:rPr>
        <w:t>nom complet du titulaire du compte</w:t>
      </w:r>
      <w:r>
        <w:rPr>
          <w:color w:val="000000"/>
        </w:rPr>
        <w:t>]</w:t>
      </w:r>
    </w:p>
    <w:p w14:paraId="7203A826" w14:textId="77777777" w:rsidR="0094153E" w:rsidRPr="0094153E" w:rsidRDefault="0094153E" w:rsidP="00954E4A">
      <w:pPr>
        <w:spacing w:after="60"/>
        <w:rPr>
          <w:color w:val="000000"/>
          <w:szCs w:val="24"/>
        </w:rPr>
      </w:pPr>
      <w:r>
        <w:rPr>
          <w:i/>
          <w:color w:val="000000"/>
        </w:rPr>
        <w:t xml:space="preserve">Numéro de compte </w:t>
      </w:r>
      <w:proofErr w:type="gramStart"/>
      <w:r>
        <w:rPr>
          <w:i/>
          <w:color w:val="000000"/>
        </w:rPr>
        <w:t>bancaire</w:t>
      </w:r>
      <w:r>
        <w:rPr>
          <w:color w:val="000000"/>
        </w:rPr>
        <w:t>:</w:t>
      </w:r>
      <w:proofErr w:type="gramEnd"/>
      <w:r>
        <w:rPr>
          <w:color w:val="000000"/>
        </w:rPr>
        <w:t xml:space="preserve"> [</w:t>
      </w:r>
      <w:r>
        <w:rPr>
          <w:color w:val="000000"/>
          <w:highlight w:val="lightGray"/>
        </w:rPr>
        <w:t>insérer le numéro de compte bancaire].</w:t>
      </w:r>
    </w:p>
    <w:p w14:paraId="1156BDC2" w14:textId="77777777" w:rsidR="0094153E" w:rsidRPr="0094153E" w:rsidRDefault="0094153E" w:rsidP="0094153E">
      <w:pPr>
        <w:spacing w:after="0"/>
        <w:rPr>
          <w:color w:val="000000"/>
          <w:szCs w:val="24"/>
          <w:lang w:eastAsia="fr-BE"/>
        </w:rPr>
      </w:pPr>
    </w:p>
    <w:p w14:paraId="47BA6A02" w14:textId="77777777" w:rsidR="0094153E" w:rsidRPr="0094153E" w:rsidRDefault="0094153E" w:rsidP="0094153E">
      <w:pPr>
        <w:spacing w:after="0"/>
        <w:textAlignment w:val="baseline"/>
        <w:rPr>
          <w:b/>
          <w:bCs/>
          <w:color w:val="000000"/>
          <w:szCs w:val="24"/>
        </w:rPr>
      </w:pPr>
      <w:r>
        <w:rPr>
          <w:b/>
          <w:color w:val="000000"/>
        </w:rPr>
        <w:t>Signatures</w:t>
      </w:r>
    </w:p>
    <w:p w14:paraId="5581A0D9" w14:textId="77777777" w:rsidR="0094153E" w:rsidRPr="0094153E" w:rsidRDefault="0094153E" w:rsidP="0094153E">
      <w:pPr>
        <w:spacing w:after="0"/>
        <w:jc w:val="left"/>
        <w:textAlignment w:val="baseline"/>
        <w:rPr>
          <w:rFonts w:cs="Arial"/>
          <w:b/>
          <w:bCs/>
          <w:smallCaps/>
          <w:szCs w:val="24"/>
          <w:highlight w:val="green"/>
          <w:u w:val="single"/>
        </w:rPr>
      </w:pPr>
    </w:p>
    <w:tbl>
      <w:tblPr>
        <w:tblW w:w="4991" w:type="pct"/>
        <w:tblLook w:val="0000" w:firstRow="0" w:lastRow="0" w:firstColumn="0" w:lastColumn="0" w:noHBand="0" w:noVBand="0"/>
      </w:tblPr>
      <w:tblGrid>
        <w:gridCol w:w="3416"/>
        <w:gridCol w:w="1793"/>
        <w:gridCol w:w="2621"/>
        <w:gridCol w:w="1164"/>
      </w:tblGrid>
      <w:tr w:rsidR="0094153E" w:rsidRPr="0094153E" w14:paraId="3535898C" w14:textId="77777777" w:rsidTr="005A46E9">
        <w:trPr>
          <w:trHeight w:val="10"/>
        </w:trPr>
        <w:tc>
          <w:tcPr>
            <w:tcW w:w="2896" w:type="pct"/>
            <w:gridSpan w:val="2"/>
          </w:tcPr>
          <w:p w14:paraId="690481AA" w14:textId="77777777" w:rsidR="0094153E" w:rsidRPr="0094153E" w:rsidRDefault="0094153E" w:rsidP="0094153E">
            <w:pPr>
              <w:keepNext/>
              <w:keepLines/>
              <w:spacing w:after="120"/>
              <w:rPr>
                <w:b/>
                <w:bCs/>
                <w:szCs w:val="24"/>
              </w:rPr>
            </w:pPr>
            <w:r>
              <w:rPr>
                <w:b/>
              </w:rPr>
              <w:t>Pour le contractant</w:t>
            </w:r>
          </w:p>
        </w:tc>
        <w:tc>
          <w:tcPr>
            <w:tcW w:w="2104" w:type="pct"/>
            <w:gridSpan w:val="2"/>
            <w:vAlign w:val="bottom"/>
          </w:tcPr>
          <w:p w14:paraId="6CEF58FB" w14:textId="77777777" w:rsidR="0094153E" w:rsidRPr="0094153E" w:rsidRDefault="0094153E" w:rsidP="0094153E">
            <w:pPr>
              <w:keepNext/>
              <w:keepLines/>
              <w:spacing w:after="120"/>
              <w:jc w:val="left"/>
              <w:rPr>
                <w:b/>
                <w:bCs/>
                <w:szCs w:val="24"/>
              </w:rPr>
            </w:pPr>
            <w:r>
              <w:rPr>
                <w:b/>
              </w:rPr>
              <w:t>Pour le pouvoir adjudicateur</w:t>
            </w:r>
          </w:p>
        </w:tc>
      </w:tr>
      <w:tr w:rsidR="0094153E" w:rsidRPr="0094153E" w14:paraId="5C6C4B2D" w14:textId="77777777" w:rsidTr="005A46E9">
        <w:trPr>
          <w:trHeight w:val="566"/>
        </w:trPr>
        <w:tc>
          <w:tcPr>
            <w:tcW w:w="1899" w:type="pct"/>
          </w:tcPr>
          <w:p w14:paraId="61EA9D25" w14:textId="77777777" w:rsidR="0094153E" w:rsidRPr="0094153E" w:rsidRDefault="0094153E" w:rsidP="0094153E">
            <w:pPr>
              <w:keepNext/>
              <w:keepLines/>
              <w:spacing w:before="160" w:after="160"/>
              <w:rPr>
                <w:color w:val="000000"/>
                <w:szCs w:val="24"/>
              </w:rPr>
            </w:pPr>
            <w:r>
              <w:rPr>
                <w:color w:val="000000"/>
              </w:rPr>
              <w:t>[</w:t>
            </w:r>
            <w:proofErr w:type="gramStart"/>
            <w:r>
              <w:rPr>
                <w:color w:val="000000"/>
                <w:highlight w:val="lightGray"/>
              </w:rPr>
              <w:t>signature</w:t>
            </w:r>
            <w:proofErr w:type="gramEnd"/>
            <w:r>
              <w:rPr>
                <w:color w:val="000000"/>
                <w:highlight w:val="lightGray"/>
              </w:rPr>
              <w:t xml:space="preserve"> électronique du contractant</w:t>
            </w:r>
            <w:r>
              <w:rPr>
                <w:color w:val="000000"/>
              </w:rPr>
              <w:t>]</w:t>
            </w:r>
          </w:p>
          <w:p w14:paraId="009B73C1" w14:textId="77777777" w:rsidR="0094153E" w:rsidRPr="0094153E" w:rsidRDefault="0094153E" w:rsidP="0094153E">
            <w:pPr>
              <w:keepNext/>
              <w:keepLines/>
              <w:spacing w:before="160" w:after="160"/>
              <w:rPr>
                <w:szCs w:val="24"/>
              </w:rPr>
            </w:pPr>
          </w:p>
        </w:tc>
        <w:tc>
          <w:tcPr>
            <w:tcW w:w="997" w:type="pct"/>
          </w:tcPr>
          <w:p w14:paraId="66B46863" w14:textId="77777777" w:rsidR="0094153E" w:rsidRPr="0094153E" w:rsidRDefault="0094153E" w:rsidP="0094153E">
            <w:pPr>
              <w:keepNext/>
              <w:keepLines/>
              <w:spacing w:before="160" w:after="160"/>
              <w:rPr>
                <w:szCs w:val="24"/>
              </w:rPr>
            </w:pPr>
          </w:p>
        </w:tc>
        <w:tc>
          <w:tcPr>
            <w:tcW w:w="1457" w:type="pct"/>
          </w:tcPr>
          <w:p w14:paraId="523AD8D6" w14:textId="77777777" w:rsidR="00442465" w:rsidRDefault="00442465" w:rsidP="00954E4A">
            <w:pPr>
              <w:keepNext/>
              <w:keepLines/>
              <w:spacing w:before="160" w:after="160"/>
              <w:jc w:val="center"/>
              <w:rPr>
                <w:color w:val="000000"/>
              </w:rPr>
            </w:pPr>
            <w:r w:rsidRPr="00442465">
              <w:rPr>
                <w:color w:val="000000"/>
              </w:rPr>
              <w:t xml:space="preserve">M. Peter GRABOW KOLDING </w:t>
            </w:r>
          </w:p>
          <w:p w14:paraId="046864F9" w14:textId="369D7B42" w:rsidR="0094153E" w:rsidRDefault="00442465" w:rsidP="00954E4A">
            <w:pPr>
              <w:keepNext/>
              <w:keepLines/>
              <w:spacing w:before="160" w:after="160"/>
              <w:jc w:val="center"/>
              <w:rPr>
                <w:color w:val="000000"/>
              </w:rPr>
            </w:pPr>
            <w:r w:rsidRPr="00442465">
              <w:rPr>
                <w:color w:val="000000"/>
              </w:rPr>
              <w:t>Chef de Mission</w:t>
            </w:r>
          </w:p>
          <w:p w14:paraId="7D798D45" w14:textId="5522BF97" w:rsidR="00442465" w:rsidRPr="0094153E" w:rsidRDefault="00442465" w:rsidP="00954E4A">
            <w:pPr>
              <w:keepNext/>
              <w:keepLines/>
              <w:spacing w:before="160" w:after="160"/>
              <w:jc w:val="center"/>
              <w:rPr>
                <w:szCs w:val="24"/>
              </w:rPr>
            </w:pPr>
          </w:p>
        </w:tc>
        <w:tc>
          <w:tcPr>
            <w:tcW w:w="647" w:type="pct"/>
          </w:tcPr>
          <w:p w14:paraId="3B2D85A1" w14:textId="77777777" w:rsidR="0094153E" w:rsidRPr="0094153E" w:rsidRDefault="0094153E" w:rsidP="0094153E">
            <w:pPr>
              <w:keepNext/>
              <w:keepLines/>
              <w:spacing w:before="160" w:after="160"/>
              <w:rPr>
                <w:szCs w:val="24"/>
              </w:rPr>
            </w:pPr>
          </w:p>
        </w:tc>
      </w:tr>
    </w:tbl>
    <w:p w14:paraId="418CE772" w14:textId="528E73EF" w:rsidR="0094153E" w:rsidRPr="0094153E" w:rsidRDefault="0094153E" w:rsidP="0094153E">
      <w:pPr>
        <w:spacing w:before="360"/>
        <w:rPr>
          <w:i/>
          <w:iCs/>
          <w:szCs w:val="24"/>
        </w:rPr>
      </w:pPr>
    </w:p>
    <w:tbl>
      <w:tblPr>
        <w:tblW w:w="4999" w:type="pct"/>
        <w:tblLook w:val="0000" w:firstRow="0" w:lastRow="0" w:firstColumn="0" w:lastColumn="0" w:noHBand="0" w:noVBand="0"/>
      </w:tblPr>
      <w:tblGrid>
        <w:gridCol w:w="9008"/>
      </w:tblGrid>
      <w:tr w:rsidR="0094153E" w:rsidRPr="0094153E" w14:paraId="3EC7B3D6" w14:textId="77777777" w:rsidTr="005A46E9">
        <w:trPr>
          <w:cantSplit/>
        </w:trPr>
        <w:tc>
          <w:tcPr>
            <w:tcW w:w="5000" w:type="pct"/>
          </w:tcPr>
          <w:p w14:paraId="12265E3D" w14:textId="77777777" w:rsidR="0094153E" w:rsidRDefault="0094153E" w:rsidP="0094153E">
            <w:pPr>
              <w:keepLines/>
              <w:spacing w:after="120"/>
              <w:rPr>
                <w:b/>
              </w:rPr>
            </w:pPr>
            <w:r>
              <w:rPr>
                <w:b/>
              </w:rPr>
              <w:lastRenderedPageBreak/>
              <w:t>Approuvé pour financement par l’Union européenne*</w:t>
            </w:r>
          </w:p>
          <w:p w14:paraId="5597E20B" w14:textId="2D18838D" w:rsidR="00070FF1" w:rsidRPr="002475FF" w:rsidRDefault="00070FF1" w:rsidP="002475FF">
            <w:pPr>
              <w:keepLines/>
              <w:spacing w:after="120"/>
              <w:ind w:left="426" w:hanging="284"/>
              <w:rPr>
                <w:b/>
                <w:bCs/>
                <w:szCs w:val="24"/>
              </w:rPr>
            </w:pPr>
            <w:r w:rsidRPr="00070FF1">
              <w:rPr>
                <w:b/>
                <w:bCs/>
                <w:szCs w:val="24"/>
              </w:rPr>
              <w:t>*</w:t>
            </w:r>
            <w:r>
              <w:rPr>
                <w:b/>
                <w:bCs/>
                <w:szCs w:val="24"/>
              </w:rPr>
              <w:tab/>
            </w:r>
            <w:r w:rsidRPr="00070FF1">
              <w:rPr>
                <w:b/>
                <w:bCs/>
                <w:szCs w:val="24"/>
              </w:rPr>
              <w:t>L’Union européenne n’est pas partie au contrat, n’est soumise à aucune obligation en rapport avec celui-ci et n’est impliquée dans aucune procédure de règlement des différends, y compris une procédure d’arbitrage, qui pourrait en découler.</w:t>
            </w:r>
          </w:p>
        </w:tc>
      </w:tr>
    </w:tbl>
    <w:p w14:paraId="2E4853F4" w14:textId="0DB62BFF" w:rsidR="0094153E" w:rsidRDefault="0094153E" w:rsidP="006917DF"/>
    <w:p w14:paraId="780A49E1" w14:textId="77777777" w:rsidR="00302F63" w:rsidRPr="00302F63" w:rsidRDefault="00302F63" w:rsidP="00302F63">
      <w:pPr>
        <w:spacing w:before="240"/>
        <w:jc w:val="center"/>
        <w:outlineLvl w:val="0"/>
        <w:rPr>
          <w:b/>
          <w:iCs/>
          <w:snapToGrid w:val="0"/>
          <w:sz w:val="28"/>
          <w:szCs w:val="28"/>
          <w:lang w:eastAsia="en-US"/>
        </w:rPr>
      </w:pPr>
      <w:bookmarkStart w:id="4" w:name="_Toc42488096"/>
      <w:r w:rsidRPr="00302F63">
        <w:rPr>
          <w:b/>
          <w:snapToGrid w:val="0"/>
          <w:sz w:val="28"/>
          <w:lang w:eastAsia="en-US"/>
        </w:rPr>
        <w:t>CONDITIONS PARTICULIÈRES</w:t>
      </w:r>
      <w:bookmarkEnd w:id="4"/>
      <w:r w:rsidRPr="00302F63">
        <w:rPr>
          <w:b/>
          <w:snapToGrid w:val="0"/>
          <w:sz w:val="28"/>
          <w:lang w:eastAsia="en-US"/>
        </w:rPr>
        <w:t xml:space="preserve"> APPLICABLES AUX ACTIONS EXTÉRIEURES DE L’UNION EUROPÉENNE</w:t>
      </w:r>
    </w:p>
    <w:p w14:paraId="3DC13C91" w14:textId="77777777" w:rsidR="00302F63" w:rsidRPr="00302F63" w:rsidRDefault="00302F63" w:rsidP="00302F63">
      <w:pPr>
        <w:spacing w:before="240" w:after="120"/>
        <w:ind w:left="567" w:hanging="567"/>
        <w:jc w:val="left"/>
        <w:outlineLvl w:val="0"/>
        <w:rPr>
          <w:rFonts w:ascii="Times New Roman Bold" w:hAnsi="Times New Roman Bold"/>
          <w:b/>
          <w:smallCaps/>
          <w:snapToGrid w:val="0"/>
          <w:sz w:val="28"/>
          <w:szCs w:val="28"/>
          <w:lang w:eastAsia="en-US"/>
        </w:rPr>
      </w:pPr>
      <w:r w:rsidRPr="00302F63">
        <w:rPr>
          <w:rFonts w:ascii="Times New Roman Bold" w:hAnsi="Times New Roman Bold"/>
          <w:b/>
          <w:smallCaps/>
          <w:snapToGrid w:val="0"/>
          <w:sz w:val="28"/>
          <w:lang w:eastAsia="en-US"/>
        </w:rPr>
        <w:t>Table des matières</w:t>
      </w:r>
    </w:p>
    <w:p w14:paraId="393D5C05" w14:textId="77777777" w:rsidR="00302F63" w:rsidRPr="00302F63" w:rsidRDefault="00302F63" w:rsidP="00302F63">
      <w:pPr>
        <w:spacing w:before="120" w:after="120"/>
        <w:rPr>
          <w:snapToGrid w:val="0"/>
          <w:szCs w:val="24"/>
          <w:lang w:eastAsia="en-US"/>
        </w:rPr>
      </w:pPr>
      <w:r w:rsidRPr="00302F63">
        <w:rPr>
          <w:snapToGrid w:val="0"/>
          <w:szCs w:val="24"/>
          <w:lang w:eastAsia="en-US"/>
        </w:rPr>
        <w:t xml:space="preserve">Les présentes conditions particulières précisent et complètent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w:t>
      </w:r>
      <w:bookmarkStart w:id="5" w:name="_Hlk132980891"/>
      <w:r w:rsidRPr="00302F63">
        <w:rPr>
          <w:snapToGrid w:val="0"/>
          <w:szCs w:val="24"/>
          <w:lang w:eastAsia="en-US"/>
        </w:rPr>
        <w:t xml:space="preserve">générales. À titre exceptionnel et avec l’autorisation des services compétents de la Commission européenne, d’autres clauses peuvent être introduites pour couvrir des situations particulières. </w:t>
      </w:r>
      <w:bookmarkEnd w:id="5"/>
    </w:p>
    <w:p w14:paraId="02000163" w14:textId="77777777" w:rsidR="00302F63" w:rsidRPr="00302F63" w:rsidRDefault="00302F63" w:rsidP="00302F63">
      <w:pPr>
        <w:spacing w:before="120" w:after="120"/>
        <w:jc w:val="left"/>
        <w:outlineLvl w:val="0"/>
        <w:rPr>
          <w:b/>
          <w:snapToGrid w:val="0"/>
          <w:szCs w:val="24"/>
          <w:lang w:eastAsia="en-US"/>
        </w:rPr>
      </w:pPr>
      <w:bookmarkStart w:id="6" w:name="_Toc124934896"/>
      <w:r w:rsidRPr="00302F63">
        <w:rPr>
          <w:b/>
          <w:snapToGrid w:val="0"/>
          <w:szCs w:val="24"/>
          <w:lang w:eastAsia="en-US"/>
        </w:rPr>
        <w:t xml:space="preserve">Le marché a pour </w:t>
      </w:r>
      <w:proofErr w:type="gramStart"/>
      <w:r w:rsidRPr="00302F63">
        <w:rPr>
          <w:b/>
          <w:snapToGrid w:val="0"/>
          <w:szCs w:val="24"/>
          <w:lang w:eastAsia="en-US"/>
        </w:rPr>
        <w:t>objet:</w:t>
      </w:r>
      <w:proofErr w:type="gramEnd"/>
    </w:p>
    <w:p w14:paraId="5541F713" w14:textId="77777777" w:rsidR="00302F63" w:rsidRPr="00302F63" w:rsidRDefault="00302F63" w:rsidP="00302F63">
      <w:pPr>
        <w:spacing w:after="120"/>
        <w:rPr>
          <w:snapToGrid w:val="0"/>
          <w:szCs w:val="24"/>
          <w:lang w:eastAsia="en-US"/>
        </w:rPr>
      </w:pPr>
      <w:r w:rsidRPr="00302F63">
        <w:rPr>
          <w:snapToGrid w:val="0"/>
          <w:szCs w:val="24"/>
          <w:lang w:eastAsia="en-US"/>
        </w:rPr>
        <w:t xml:space="preserve">La fourniture de documents imprimés, d’articles promotionnels et de supports de communication </w:t>
      </w:r>
      <w:proofErr w:type="gramStart"/>
      <w:r w:rsidRPr="00302F63">
        <w:rPr>
          <w:snapToGrid w:val="0"/>
          <w:szCs w:val="24"/>
          <w:lang w:eastAsia="en-US"/>
        </w:rPr>
        <w:t>répartis  en</w:t>
      </w:r>
      <w:proofErr w:type="gramEnd"/>
      <w:r w:rsidRPr="00302F63">
        <w:rPr>
          <w:snapToGrid w:val="0"/>
          <w:szCs w:val="24"/>
          <w:lang w:eastAsia="en-US"/>
        </w:rPr>
        <w:t xml:space="preserve"> 2 lots :</w:t>
      </w:r>
    </w:p>
    <w:p w14:paraId="5EB07203" w14:textId="77777777" w:rsidR="00302F63" w:rsidRPr="00302F63" w:rsidRDefault="00302F63" w:rsidP="00302F63">
      <w:pPr>
        <w:numPr>
          <w:ilvl w:val="0"/>
          <w:numId w:val="32"/>
        </w:numPr>
        <w:tabs>
          <w:tab w:val="left" w:pos="709"/>
          <w:tab w:val="left" w:pos="993"/>
        </w:tabs>
        <w:spacing w:before="120" w:after="120"/>
        <w:jc w:val="left"/>
        <w:rPr>
          <w:b/>
          <w:snapToGrid w:val="0"/>
          <w:szCs w:val="24"/>
          <w:lang w:val="en-US" w:eastAsia="en-US"/>
        </w:rPr>
      </w:pPr>
      <w:bookmarkStart w:id="7" w:name="_Hlk199510794"/>
      <w:r w:rsidRPr="00302F63">
        <w:rPr>
          <w:snapToGrid w:val="0"/>
          <w:szCs w:val="24"/>
          <w:lang w:val="en-US" w:eastAsia="en-US"/>
        </w:rPr>
        <w:t>lot nº 1: Impressions</w:t>
      </w:r>
    </w:p>
    <w:p w14:paraId="3212D354" w14:textId="77777777" w:rsidR="00302F63" w:rsidRPr="00302F63" w:rsidRDefault="00302F63" w:rsidP="00302F63">
      <w:pPr>
        <w:numPr>
          <w:ilvl w:val="0"/>
          <w:numId w:val="32"/>
        </w:numPr>
        <w:tabs>
          <w:tab w:val="left" w:pos="709"/>
          <w:tab w:val="left" w:pos="993"/>
          <w:tab w:val="left" w:pos="1276"/>
        </w:tabs>
        <w:spacing w:before="120" w:after="120"/>
        <w:jc w:val="left"/>
        <w:rPr>
          <w:b/>
          <w:snapToGrid w:val="0"/>
          <w:szCs w:val="24"/>
          <w:lang w:eastAsia="en-US"/>
        </w:rPr>
      </w:pPr>
      <w:proofErr w:type="gramStart"/>
      <w:r w:rsidRPr="00302F63">
        <w:rPr>
          <w:snapToGrid w:val="0"/>
          <w:szCs w:val="24"/>
          <w:lang w:eastAsia="en-US"/>
        </w:rPr>
        <w:t>lot</w:t>
      </w:r>
      <w:proofErr w:type="gramEnd"/>
      <w:r w:rsidRPr="00302F63">
        <w:rPr>
          <w:snapToGrid w:val="0"/>
          <w:szCs w:val="24"/>
          <w:lang w:eastAsia="en-US"/>
        </w:rPr>
        <w:t xml:space="preserve"> nº 2: Articles de visibilité</w:t>
      </w:r>
    </w:p>
    <w:p w14:paraId="1742091F" w14:textId="77777777" w:rsidR="00302F63" w:rsidRPr="00302F63" w:rsidRDefault="00302F63" w:rsidP="00302F63">
      <w:pPr>
        <w:spacing w:before="240" w:after="120"/>
        <w:jc w:val="left"/>
        <w:outlineLvl w:val="0"/>
        <w:rPr>
          <w:b/>
          <w:snapToGrid w:val="0"/>
          <w:szCs w:val="24"/>
          <w:lang w:eastAsia="en-US"/>
        </w:rPr>
      </w:pPr>
      <w:bookmarkStart w:id="8" w:name="_Hlk132980677"/>
      <w:bookmarkEnd w:id="7"/>
      <w:r w:rsidRPr="00302F63">
        <w:rPr>
          <w:b/>
          <w:snapToGrid w:val="0"/>
          <w:szCs w:val="24"/>
          <w:lang w:eastAsia="en-US"/>
        </w:rPr>
        <w:t>Ordre hiérarchique des documents contractuels</w:t>
      </w:r>
    </w:p>
    <w:bookmarkEnd w:id="8"/>
    <w:p w14:paraId="5B64A84D" w14:textId="77777777" w:rsidR="00302F63" w:rsidRPr="00302F63" w:rsidRDefault="00302F63" w:rsidP="00302F63">
      <w:pPr>
        <w:spacing w:after="120"/>
        <w:jc w:val="left"/>
        <w:rPr>
          <w:snapToGrid w:val="0"/>
          <w:szCs w:val="24"/>
          <w:lang w:eastAsia="en-US"/>
        </w:rPr>
      </w:pPr>
      <w:r w:rsidRPr="00302F63">
        <w:rPr>
          <w:snapToGrid w:val="0"/>
          <w:szCs w:val="24"/>
          <w:lang w:eastAsia="en-US"/>
        </w:rPr>
        <w:t xml:space="preserve">Les documents suivants seront considérés, lus et interprétés comme faisant partie intégrante du présent marché dans l’ordre hiérarchique </w:t>
      </w:r>
      <w:proofErr w:type="gramStart"/>
      <w:r w:rsidRPr="00302F63">
        <w:rPr>
          <w:snapToGrid w:val="0"/>
          <w:szCs w:val="24"/>
          <w:lang w:eastAsia="en-US"/>
        </w:rPr>
        <w:t>suivant:</w:t>
      </w:r>
      <w:proofErr w:type="gramEnd"/>
    </w:p>
    <w:p w14:paraId="3F997B19" w14:textId="77777777" w:rsidR="00302F63" w:rsidRPr="00302F63" w:rsidRDefault="00302F63" w:rsidP="00302F63">
      <w:pPr>
        <w:numPr>
          <w:ilvl w:val="0"/>
          <w:numId w:val="30"/>
        </w:numPr>
        <w:spacing w:before="120" w:after="80"/>
        <w:ind w:left="709" w:hanging="425"/>
        <w:jc w:val="left"/>
        <w:rPr>
          <w:snapToGrid w:val="0"/>
          <w:szCs w:val="24"/>
          <w:lang w:eastAsia="en-US"/>
        </w:rPr>
      </w:pPr>
      <w:proofErr w:type="gramStart"/>
      <w:r w:rsidRPr="00302F63">
        <w:rPr>
          <w:snapToGrid w:val="0"/>
          <w:szCs w:val="24"/>
          <w:lang w:eastAsia="en-US"/>
        </w:rPr>
        <w:t>les</w:t>
      </w:r>
      <w:proofErr w:type="gramEnd"/>
      <w:r w:rsidRPr="00302F63">
        <w:rPr>
          <w:snapToGrid w:val="0"/>
          <w:szCs w:val="24"/>
          <w:lang w:eastAsia="en-US"/>
        </w:rPr>
        <w:t xml:space="preserve"> conditions principales;</w:t>
      </w:r>
    </w:p>
    <w:p w14:paraId="7E1441D9" w14:textId="77777777" w:rsidR="00302F63" w:rsidRPr="00302F63" w:rsidRDefault="00302F63" w:rsidP="00302F63">
      <w:pPr>
        <w:numPr>
          <w:ilvl w:val="0"/>
          <w:numId w:val="30"/>
        </w:numPr>
        <w:spacing w:before="120" w:after="80"/>
        <w:ind w:left="709" w:hanging="425"/>
        <w:jc w:val="left"/>
        <w:rPr>
          <w:snapToGrid w:val="0"/>
          <w:szCs w:val="24"/>
          <w:lang w:eastAsia="en-US"/>
        </w:rPr>
      </w:pPr>
      <w:proofErr w:type="gramStart"/>
      <w:r w:rsidRPr="00302F63">
        <w:rPr>
          <w:snapToGrid w:val="0"/>
          <w:szCs w:val="24"/>
          <w:lang w:eastAsia="en-US"/>
        </w:rPr>
        <w:t>les</w:t>
      </w:r>
      <w:proofErr w:type="gramEnd"/>
      <w:r w:rsidRPr="00302F63">
        <w:rPr>
          <w:snapToGrid w:val="0"/>
          <w:szCs w:val="24"/>
          <w:lang w:eastAsia="en-US"/>
        </w:rPr>
        <w:t xml:space="preserve"> conditions particulières;</w:t>
      </w:r>
    </w:p>
    <w:p w14:paraId="6A2F24E1" w14:textId="77777777" w:rsidR="00302F63" w:rsidRPr="00302F63" w:rsidRDefault="00302F63" w:rsidP="00302F63">
      <w:pPr>
        <w:numPr>
          <w:ilvl w:val="0"/>
          <w:numId w:val="30"/>
        </w:numPr>
        <w:spacing w:before="120" w:after="80"/>
        <w:ind w:left="709" w:hanging="425"/>
        <w:jc w:val="left"/>
        <w:rPr>
          <w:snapToGrid w:val="0"/>
          <w:szCs w:val="24"/>
          <w:lang w:eastAsia="en-US"/>
        </w:rPr>
      </w:pPr>
      <w:proofErr w:type="gramStart"/>
      <w:r w:rsidRPr="00302F63">
        <w:rPr>
          <w:snapToGrid w:val="0"/>
          <w:szCs w:val="24"/>
          <w:lang w:eastAsia="en-US"/>
        </w:rPr>
        <w:t>les</w:t>
      </w:r>
      <w:proofErr w:type="gramEnd"/>
      <w:r w:rsidRPr="00302F63">
        <w:rPr>
          <w:snapToGrid w:val="0"/>
          <w:szCs w:val="24"/>
          <w:lang w:eastAsia="en-US"/>
        </w:rPr>
        <w:t xml:space="preserve"> conditions générales (annexe I);</w:t>
      </w:r>
    </w:p>
    <w:p w14:paraId="2DA6C01A" w14:textId="77777777" w:rsidR="00302F63" w:rsidRPr="00302F63" w:rsidRDefault="00302F63" w:rsidP="00302F63">
      <w:pPr>
        <w:numPr>
          <w:ilvl w:val="0"/>
          <w:numId w:val="30"/>
        </w:numPr>
        <w:spacing w:before="120" w:after="80"/>
        <w:ind w:left="709" w:hanging="425"/>
        <w:jc w:val="left"/>
        <w:rPr>
          <w:snapToGrid w:val="0"/>
          <w:szCs w:val="24"/>
          <w:lang w:eastAsia="en-US"/>
        </w:rPr>
      </w:pPr>
      <w:proofErr w:type="gramStart"/>
      <w:r w:rsidRPr="00302F63">
        <w:rPr>
          <w:snapToGrid w:val="0"/>
          <w:szCs w:val="24"/>
          <w:lang w:eastAsia="en-US"/>
        </w:rPr>
        <w:t>les</w:t>
      </w:r>
      <w:proofErr w:type="gramEnd"/>
      <w:r w:rsidRPr="00302F63">
        <w:rPr>
          <w:snapToGrid w:val="0"/>
          <w:szCs w:val="24"/>
          <w:lang w:eastAsia="en-US"/>
        </w:rPr>
        <w:t xml:space="preserve"> spécifications techniques (annexe II) [incluant les clarifications demandées avant la date limite de soumission des offres et les comptes rendus des réunions d’information ou de la visite du site];</w:t>
      </w:r>
    </w:p>
    <w:p w14:paraId="712482A7" w14:textId="77777777" w:rsidR="00302F63" w:rsidRPr="00302F63" w:rsidRDefault="00302F63" w:rsidP="00302F63">
      <w:pPr>
        <w:numPr>
          <w:ilvl w:val="0"/>
          <w:numId w:val="30"/>
        </w:numPr>
        <w:spacing w:before="120" w:after="80"/>
        <w:ind w:left="709" w:hanging="425"/>
        <w:jc w:val="left"/>
        <w:rPr>
          <w:snapToGrid w:val="0"/>
          <w:szCs w:val="24"/>
          <w:lang w:eastAsia="en-US"/>
        </w:rPr>
      </w:pPr>
      <w:proofErr w:type="gramStart"/>
      <w:r w:rsidRPr="00302F63">
        <w:rPr>
          <w:snapToGrid w:val="0"/>
          <w:szCs w:val="24"/>
          <w:lang w:eastAsia="en-US"/>
        </w:rPr>
        <w:t>l’offre</w:t>
      </w:r>
      <w:proofErr w:type="gramEnd"/>
      <w:r w:rsidRPr="00302F63">
        <w:rPr>
          <w:snapToGrid w:val="0"/>
          <w:szCs w:val="24"/>
          <w:lang w:eastAsia="en-US"/>
        </w:rPr>
        <w:t xml:space="preserve"> technique (annexe III) incluant les clarifications faites par le soumissionnaire pendant la procédure d’évaluation des offres;</w:t>
      </w:r>
    </w:p>
    <w:p w14:paraId="20B53F60" w14:textId="77777777" w:rsidR="00302F63" w:rsidRPr="00302F63" w:rsidRDefault="00302F63" w:rsidP="00302F63">
      <w:pPr>
        <w:numPr>
          <w:ilvl w:val="0"/>
          <w:numId w:val="30"/>
        </w:numPr>
        <w:spacing w:before="120" w:after="80"/>
        <w:ind w:left="709" w:hanging="425"/>
        <w:jc w:val="left"/>
        <w:rPr>
          <w:snapToGrid w:val="0"/>
          <w:szCs w:val="24"/>
          <w:lang w:eastAsia="en-US"/>
        </w:rPr>
      </w:pPr>
      <w:proofErr w:type="gramStart"/>
      <w:r w:rsidRPr="00302F63">
        <w:rPr>
          <w:snapToGrid w:val="0"/>
          <w:szCs w:val="24"/>
          <w:lang w:eastAsia="en-US"/>
        </w:rPr>
        <w:t>le</w:t>
      </w:r>
      <w:proofErr w:type="gramEnd"/>
      <w:r w:rsidRPr="00302F63">
        <w:rPr>
          <w:snapToGrid w:val="0"/>
          <w:szCs w:val="24"/>
          <w:lang w:eastAsia="en-US"/>
        </w:rPr>
        <w:t xml:space="preserve"> budget ventilé (annexe IV);</w:t>
      </w:r>
    </w:p>
    <w:p w14:paraId="644CFF58" w14:textId="77777777" w:rsidR="00302F63" w:rsidRDefault="00302F63" w:rsidP="00302F63">
      <w:pPr>
        <w:numPr>
          <w:ilvl w:val="0"/>
          <w:numId w:val="30"/>
        </w:numPr>
        <w:spacing w:before="120" w:after="120"/>
        <w:ind w:left="709" w:hanging="425"/>
        <w:jc w:val="left"/>
        <w:rPr>
          <w:snapToGrid w:val="0"/>
          <w:szCs w:val="24"/>
          <w:lang w:eastAsia="en-US"/>
        </w:rPr>
      </w:pPr>
      <w:proofErr w:type="gramStart"/>
      <w:r w:rsidRPr="00302F63">
        <w:rPr>
          <w:snapToGrid w:val="0"/>
          <w:szCs w:val="24"/>
          <w:lang w:eastAsia="en-US"/>
        </w:rPr>
        <w:t>les</w:t>
      </w:r>
      <w:proofErr w:type="gramEnd"/>
      <w:r w:rsidRPr="00302F63">
        <w:rPr>
          <w:snapToGrid w:val="0"/>
          <w:szCs w:val="24"/>
          <w:lang w:eastAsia="en-US"/>
        </w:rPr>
        <w:t xml:space="preserve"> formulaires spécifiques et autres documents pertinents (annexe V).</w:t>
      </w:r>
    </w:p>
    <w:p w14:paraId="7C97F998" w14:textId="77777777" w:rsidR="00302F63" w:rsidRPr="00302F63" w:rsidRDefault="00302F63" w:rsidP="00302F63">
      <w:pPr>
        <w:spacing w:before="120" w:after="120"/>
        <w:ind w:left="709"/>
        <w:jc w:val="left"/>
        <w:rPr>
          <w:snapToGrid w:val="0"/>
          <w:szCs w:val="24"/>
          <w:lang w:eastAsia="en-US"/>
        </w:rPr>
      </w:pPr>
    </w:p>
    <w:p w14:paraId="78ECB905" w14:textId="77777777" w:rsidR="00302F63" w:rsidRPr="00302F63" w:rsidRDefault="00302F63" w:rsidP="00302F63">
      <w:pPr>
        <w:rPr>
          <w:b/>
          <w:bCs/>
          <w:snapToGrid w:val="0"/>
          <w:szCs w:val="24"/>
          <w:lang w:eastAsia="en-US"/>
        </w:rPr>
      </w:pPr>
      <w:r w:rsidRPr="00302F63">
        <w:rPr>
          <w:b/>
          <w:snapToGrid w:val="0"/>
          <w:szCs w:val="24"/>
          <w:lang w:eastAsia="en-US"/>
        </w:rPr>
        <w:lastRenderedPageBreak/>
        <w:t xml:space="preserve">Les différents documents constituant le marché doivent être considérés comme mutuellement </w:t>
      </w:r>
      <w:proofErr w:type="gramStart"/>
      <w:r w:rsidRPr="00302F63">
        <w:rPr>
          <w:b/>
          <w:snapToGrid w:val="0"/>
          <w:szCs w:val="24"/>
          <w:lang w:eastAsia="en-US"/>
        </w:rPr>
        <w:t>explicites;</w:t>
      </w:r>
      <w:proofErr w:type="gramEnd"/>
      <w:r w:rsidRPr="00302F63">
        <w:rPr>
          <w:b/>
          <w:snapToGrid w:val="0"/>
          <w:szCs w:val="24"/>
          <w:lang w:eastAsia="en-US"/>
        </w:rPr>
        <w:t xml:space="preserve"> en cas d’ambiguïtés ou de divergences, ces documents seront appliqués selon l’ordre hiérarchique ci-dessus. Les avenants suivent l’ordre hiérarchique du document qu’ils modifient. </w:t>
      </w:r>
    </w:p>
    <w:p w14:paraId="2C82DDCB" w14:textId="77777777" w:rsidR="00302F63" w:rsidRPr="00302F63" w:rsidRDefault="00302F63" w:rsidP="00302F63">
      <w:pPr>
        <w:spacing w:after="120"/>
        <w:ind w:left="1134" w:hanging="1134"/>
        <w:rPr>
          <w:b/>
          <w:snapToGrid w:val="0"/>
          <w:szCs w:val="24"/>
          <w:lang w:eastAsia="en-US"/>
        </w:rPr>
      </w:pPr>
      <w:r w:rsidRPr="00302F63">
        <w:rPr>
          <w:b/>
          <w:snapToGrid w:val="0"/>
          <w:szCs w:val="24"/>
          <w:lang w:eastAsia="en-US"/>
        </w:rPr>
        <w:t>Article 2</w:t>
      </w:r>
      <w:r w:rsidRPr="00302F63">
        <w:rPr>
          <w:b/>
          <w:snapToGrid w:val="0"/>
          <w:szCs w:val="24"/>
          <w:lang w:eastAsia="en-US"/>
        </w:rPr>
        <w:tab/>
        <w:t>L</w:t>
      </w:r>
      <w:bookmarkEnd w:id="6"/>
      <w:r w:rsidRPr="00302F63">
        <w:rPr>
          <w:b/>
          <w:snapToGrid w:val="0"/>
          <w:szCs w:val="24"/>
          <w:lang w:eastAsia="en-US"/>
        </w:rPr>
        <w:t>angue du marché</w:t>
      </w:r>
    </w:p>
    <w:p w14:paraId="33837AA8" w14:textId="77777777" w:rsidR="00302F63" w:rsidRPr="00302F63" w:rsidRDefault="00302F63" w:rsidP="00302F63">
      <w:pPr>
        <w:spacing w:before="120" w:after="120"/>
        <w:ind w:left="1134" w:hanging="567"/>
        <w:jc w:val="left"/>
        <w:rPr>
          <w:snapToGrid w:val="0"/>
          <w:szCs w:val="24"/>
          <w:lang w:eastAsia="en-US"/>
        </w:rPr>
      </w:pPr>
      <w:r w:rsidRPr="00302F63">
        <w:rPr>
          <w:snapToGrid w:val="0"/>
          <w:szCs w:val="24"/>
          <w:lang w:eastAsia="en-US"/>
        </w:rPr>
        <w:t>2.1</w:t>
      </w:r>
      <w:r w:rsidRPr="00302F63">
        <w:rPr>
          <w:snapToGrid w:val="0"/>
          <w:szCs w:val="24"/>
          <w:lang w:eastAsia="en-US"/>
        </w:rPr>
        <w:tab/>
        <w:t>La langue utilisée est le français.</w:t>
      </w:r>
    </w:p>
    <w:p w14:paraId="56054490" w14:textId="77777777" w:rsidR="00302F63" w:rsidRPr="00302F63" w:rsidRDefault="00302F63" w:rsidP="00302F63">
      <w:pPr>
        <w:spacing w:before="240" w:after="120"/>
        <w:ind w:left="1134" w:hanging="1134"/>
        <w:rPr>
          <w:b/>
          <w:snapToGrid w:val="0"/>
          <w:szCs w:val="24"/>
          <w:lang w:eastAsia="en-US"/>
        </w:rPr>
      </w:pPr>
      <w:bookmarkStart w:id="9" w:name="_Toc124934897"/>
      <w:r w:rsidRPr="00302F63">
        <w:rPr>
          <w:b/>
          <w:snapToGrid w:val="0"/>
          <w:szCs w:val="24"/>
          <w:lang w:eastAsia="en-US"/>
        </w:rPr>
        <w:t>Article 4</w:t>
      </w:r>
      <w:r w:rsidRPr="00302F63">
        <w:rPr>
          <w:b/>
          <w:snapToGrid w:val="0"/>
          <w:szCs w:val="24"/>
          <w:lang w:eastAsia="en-US"/>
        </w:rPr>
        <w:tab/>
        <w:t>Communications</w:t>
      </w:r>
      <w:bookmarkEnd w:id="9"/>
    </w:p>
    <w:p w14:paraId="232437BC" w14:textId="77777777" w:rsidR="00302F63" w:rsidRPr="00302F63" w:rsidRDefault="00302F63" w:rsidP="00302F63">
      <w:pPr>
        <w:spacing w:before="120" w:after="120"/>
        <w:ind w:left="1134" w:hanging="567"/>
        <w:jc w:val="left"/>
        <w:rPr>
          <w:snapToGrid w:val="0"/>
          <w:szCs w:val="24"/>
          <w:lang w:eastAsia="en-US"/>
        </w:rPr>
      </w:pPr>
      <w:r w:rsidRPr="00302F63">
        <w:rPr>
          <w:snapToGrid w:val="0"/>
          <w:szCs w:val="24"/>
          <w:lang w:eastAsia="en-US"/>
        </w:rPr>
        <w:t>4.1</w:t>
      </w:r>
      <w:r w:rsidRPr="00302F63">
        <w:rPr>
          <w:snapToGrid w:val="0"/>
          <w:szCs w:val="24"/>
          <w:lang w:eastAsia="en-US"/>
        </w:rPr>
        <w:tab/>
      </w:r>
      <w:bookmarkStart w:id="10" w:name="_Hlk133420374"/>
      <w:r w:rsidRPr="00302F63">
        <w:rPr>
          <w:snapToGrid w:val="0"/>
          <w:szCs w:val="24"/>
          <w:lang w:eastAsia="en-US"/>
        </w:rPr>
        <w:t>Modalités de communication</w:t>
      </w:r>
    </w:p>
    <w:p w14:paraId="3F7ADE98" w14:textId="77777777" w:rsidR="00302F63" w:rsidRPr="00302F63" w:rsidRDefault="00302F63" w:rsidP="00302F63">
      <w:pPr>
        <w:spacing w:after="120"/>
        <w:ind w:left="1134" w:hanging="567"/>
        <w:rPr>
          <w:b/>
          <w:bCs/>
          <w:snapToGrid w:val="0"/>
          <w:szCs w:val="24"/>
          <w:lang w:eastAsia="en-US"/>
        </w:rPr>
      </w:pPr>
      <w:bookmarkStart w:id="11" w:name="_Hlk133420420"/>
      <w:bookmarkEnd w:id="10"/>
      <w:r w:rsidRPr="00302F63">
        <w:rPr>
          <w:snapToGrid w:val="0"/>
          <w:szCs w:val="24"/>
          <w:lang w:eastAsia="en-US"/>
        </w:rPr>
        <w:t>4.4</w:t>
      </w:r>
      <w:r w:rsidRPr="00302F63">
        <w:rPr>
          <w:snapToGrid w:val="0"/>
          <w:szCs w:val="24"/>
          <w:lang w:eastAsia="en-US"/>
        </w:rPr>
        <w:tab/>
        <w:t>Communication au moyen d’un système d’échange électronique</w:t>
      </w:r>
      <w:r w:rsidRPr="00302F63">
        <w:rPr>
          <w:b/>
          <w:snapToGrid w:val="0"/>
          <w:szCs w:val="24"/>
          <w:lang w:eastAsia="en-US"/>
        </w:rPr>
        <w:t> </w:t>
      </w:r>
    </w:p>
    <w:p w14:paraId="67BA4901" w14:textId="77777777" w:rsidR="00302F63" w:rsidRPr="00302F63" w:rsidRDefault="00302F63" w:rsidP="00302F63">
      <w:pPr>
        <w:ind w:left="1134"/>
        <w:rPr>
          <w:color w:val="000000"/>
          <w:szCs w:val="24"/>
          <w:lang w:eastAsia="en-US"/>
        </w:rPr>
      </w:pPr>
      <w:r w:rsidRPr="00302F63">
        <w:rPr>
          <w:color w:val="000000"/>
          <w:szCs w:val="24"/>
          <w:lang w:eastAsia="en-US"/>
        </w:rPr>
        <w:t>Sans objet</w:t>
      </w:r>
    </w:p>
    <w:p w14:paraId="708F98C2" w14:textId="77777777" w:rsidR="00302F63" w:rsidRPr="00302F63" w:rsidRDefault="00302F63" w:rsidP="00302F63">
      <w:pPr>
        <w:spacing w:before="120" w:after="120"/>
        <w:ind w:left="1134" w:hanging="992"/>
        <w:rPr>
          <w:iCs/>
          <w:snapToGrid w:val="0"/>
          <w:szCs w:val="24"/>
          <w:lang w:eastAsia="en-US"/>
        </w:rPr>
      </w:pPr>
      <w:r w:rsidRPr="00302F63">
        <w:rPr>
          <w:snapToGrid w:val="0"/>
          <w:szCs w:val="24"/>
          <w:lang w:eastAsia="en-US"/>
        </w:rPr>
        <w:t>4.5 et 4.6</w:t>
      </w:r>
      <w:r w:rsidRPr="00302F63">
        <w:rPr>
          <w:snapToGrid w:val="0"/>
          <w:szCs w:val="24"/>
          <w:lang w:eastAsia="en-US"/>
        </w:rPr>
        <w:tab/>
        <w:t>Communication par courrier électronique et communication par courrier </w:t>
      </w:r>
    </w:p>
    <w:p w14:paraId="4FE42BCF" w14:textId="77777777" w:rsidR="00302F63" w:rsidRDefault="00302F63" w:rsidP="00302F63">
      <w:pPr>
        <w:spacing w:after="120"/>
        <w:ind w:left="1134"/>
        <w:textAlignment w:val="baseline"/>
        <w:rPr>
          <w:szCs w:val="24"/>
          <w:lang w:eastAsia="en-US"/>
        </w:rPr>
      </w:pPr>
      <w:r w:rsidRPr="00302F63">
        <w:rPr>
          <w:szCs w:val="24"/>
          <w:lang w:eastAsia="en-US"/>
        </w:rPr>
        <w:t xml:space="preserve">Aux fins du présent </w:t>
      </w:r>
      <w:r w:rsidRPr="00302F63">
        <w:rPr>
          <w:color w:val="000000"/>
          <w:szCs w:val="24"/>
          <w:lang w:eastAsia="en-US"/>
        </w:rPr>
        <w:t>marché</w:t>
      </w:r>
      <w:r w:rsidRPr="00302F63">
        <w:rPr>
          <w:szCs w:val="24"/>
          <w:lang w:eastAsia="en-US"/>
        </w:rPr>
        <w:t>, les communications par courrier électronique et les communications par courrier doivent être envoyées aux adresses suivantes : </w:t>
      </w:r>
    </w:p>
    <w:p w14:paraId="6F60A983" w14:textId="77777777" w:rsidR="00302F63" w:rsidRPr="00302F63" w:rsidRDefault="00302F63" w:rsidP="00302F63">
      <w:pPr>
        <w:spacing w:after="120"/>
        <w:ind w:left="1134"/>
        <w:textAlignment w:val="baseline"/>
        <w:rPr>
          <w:szCs w:val="24"/>
          <w:lang w:eastAsia="en-US"/>
        </w:rPr>
      </w:pPr>
    </w:p>
    <w:bookmarkEnd w:id="11"/>
    <w:p w14:paraId="7F717C3D" w14:textId="77777777" w:rsidR="00302F63" w:rsidRPr="00302F63" w:rsidRDefault="00302F63" w:rsidP="00302F63">
      <w:pPr>
        <w:keepNext/>
        <w:keepLines/>
        <w:spacing w:after="120"/>
        <w:ind w:left="567"/>
        <w:rPr>
          <w:szCs w:val="24"/>
          <w:u w:val="single"/>
        </w:rPr>
      </w:pPr>
      <w:r w:rsidRPr="00302F63">
        <w:rPr>
          <w:szCs w:val="24"/>
          <w:u w:val="single"/>
        </w:rPr>
        <w:t>Pour le Pouvoir Adjudicateur :</w:t>
      </w:r>
    </w:p>
    <w:tbl>
      <w:tblPr>
        <w:tblW w:w="83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400"/>
      </w:tblGrid>
      <w:tr w:rsidR="00302F63" w:rsidRPr="00302F63" w14:paraId="08F8BCAD" w14:textId="77777777" w:rsidTr="00976772">
        <w:trPr>
          <w:trHeight w:val="493"/>
        </w:trPr>
        <w:tc>
          <w:tcPr>
            <w:tcW w:w="2977" w:type="dxa"/>
            <w:shd w:val="pct10" w:color="auto" w:fill="FFFFFF"/>
            <w:vAlign w:val="center"/>
          </w:tcPr>
          <w:p w14:paraId="3FB81A69" w14:textId="77777777" w:rsidR="00302F63" w:rsidRPr="00302F63" w:rsidRDefault="00302F63" w:rsidP="00302F63">
            <w:pPr>
              <w:keepNext/>
              <w:keepLines/>
              <w:spacing w:after="120"/>
              <w:ind w:left="567" w:hanging="567"/>
              <w:rPr>
                <w:b/>
                <w:szCs w:val="24"/>
              </w:rPr>
            </w:pPr>
            <w:proofErr w:type="gramStart"/>
            <w:r w:rsidRPr="00302F63">
              <w:rPr>
                <w:b/>
                <w:szCs w:val="24"/>
              </w:rPr>
              <w:t>Nom:</w:t>
            </w:r>
            <w:proofErr w:type="gramEnd"/>
          </w:p>
        </w:tc>
        <w:tc>
          <w:tcPr>
            <w:tcW w:w="5400" w:type="dxa"/>
            <w:vAlign w:val="center"/>
          </w:tcPr>
          <w:p w14:paraId="14D9F781" w14:textId="77777777" w:rsidR="00302F63" w:rsidRPr="00302F63" w:rsidRDefault="00302F63" w:rsidP="00302F63">
            <w:pPr>
              <w:keepNext/>
              <w:keepLines/>
              <w:spacing w:after="120"/>
              <w:ind w:left="567" w:hanging="567"/>
              <w:rPr>
                <w:b/>
                <w:szCs w:val="24"/>
              </w:rPr>
            </w:pPr>
            <w:r w:rsidRPr="00302F63">
              <w:rPr>
                <w:b/>
                <w:szCs w:val="24"/>
              </w:rPr>
              <w:t>EUCAP Sahel Mali</w:t>
            </w:r>
          </w:p>
        </w:tc>
      </w:tr>
      <w:tr w:rsidR="00302F63" w:rsidRPr="00302F63" w14:paraId="4AD22241" w14:textId="77777777" w:rsidTr="00976772">
        <w:tc>
          <w:tcPr>
            <w:tcW w:w="2977" w:type="dxa"/>
            <w:shd w:val="pct10" w:color="auto" w:fill="FFFFFF"/>
            <w:vAlign w:val="center"/>
          </w:tcPr>
          <w:p w14:paraId="496ADDC9" w14:textId="77777777" w:rsidR="00302F63" w:rsidRPr="00302F63" w:rsidRDefault="00302F63" w:rsidP="00302F63">
            <w:pPr>
              <w:keepNext/>
              <w:keepLines/>
              <w:spacing w:after="120"/>
              <w:jc w:val="left"/>
              <w:rPr>
                <w:b/>
                <w:szCs w:val="24"/>
              </w:rPr>
            </w:pPr>
            <w:r w:rsidRPr="00302F63">
              <w:rPr>
                <w:b/>
                <w:szCs w:val="24"/>
              </w:rPr>
              <w:t>Adresse officielle complète :</w:t>
            </w:r>
          </w:p>
        </w:tc>
        <w:tc>
          <w:tcPr>
            <w:tcW w:w="5400" w:type="dxa"/>
          </w:tcPr>
          <w:p w14:paraId="23CB56EA" w14:textId="77777777" w:rsidR="00302F63" w:rsidRPr="00302F63" w:rsidRDefault="00302F63" w:rsidP="00302F63">
            <w:pPr>
              <w:keepNext/>
              <w:keepLines/>
              <w:spacing w:after="120"/>
              <w:rPr>
                <w:b/>
                <w:bCs/>
                <w:szCs w:val="24"/>
              </w:rPr>
            </w:pPr>
            <w:proofErr w:type="spellStart"/>
            <w:r w:rsidRPr="00302F63">
              <w:rPr>
                <w:b/>
                <w:bCs/>
                <w:snapToGrid w:val="0"/>
                <w:szCs w:val="24"/>
                <w:lang w:eastAsia="en-US"/>
              </w:rPr>
              <w:t>Sébénikoro</w:t>
            </w:r>
            <w:proofErr w:type="spellEnd"/>
            <w:r w:rsidRPr="00302F63">
              <w:rPr>
                <w:b/>
                <w:bCs/>
                <w:snapToGrid w:val="0"/>
                <w:szCs w:val="24"/>
                <w:lang w:eastAsia="en-US"/>
              </w:rPr>
              <w:t>, cité Mali Univers, Face à la Station N’DOURE Service, Bamako</w:t>
            </w:r>
          </w:p>
        </w:tc>
      </w:tr>
      <w:tr w:rsidR="00302F63" w:rsidRPr="00302F63" w14:paraId="30D0FE12" w14:textId="77777777" w:rsidTr="00976772">
        <w:tc>
          <w:tcPr>
            <w:tcW w:w="2977" w:type="dxa"/>
            <w:shd w:val="pct10" w:color="auto" w:fill="FFFFFF"/>
            <w:vAlign w:val="center"/>
          </w:tcPr>
          <w:p w14:paraId="7A78E9E2" w14:textId="77777777" w:rsidR="00302F63" w:rsidRPr="00302F63" w:rsidRDefault="00302F63" w:rsidP="00302F63">
            <w:pPr>
              <w:keepNext/>
              <w:keepLines/>
              <w:spacing w:after="120"/>
              <w:ind w:left="567" w:hanging="567"/>
              <w:rPr>
                <w:b/>
                <w:szCs w:val="24"/>
              </w:rPr>
            </w:pPr>
            <w:proofErr w:type="gramStart"/>
            <w:r w:rsidRPr="00302F63">
              <w:rPr>
                <w:b/>
                <w:szCs w:val="24"/>
              </w:rPr>
              <w:t>E-mail:</w:t>
            </w:r>
            <w:proofErr w:type="gramEnd"/>
            <w:r w:rsidRPr="00302F63">
              <w:rPr>
                <w:b/>
                <w:szCs w:val="24"/>
              </w:rPr>
              <w:t xml:space="preserve"> </w:t>
            </w:r>
          </w:p>
        </w:tc>
        <w:tc>
          <w:tcPr>
            <w:tcW w:w="5400" w:type="dxa"/>
          </w:tcPr>
          <w:p w14:paraId="0BB16DE1" w14:textId="77777777" w:rsidR="00302F63" w:rsidRPr="00302F63" w:rsidRDefault="00302F63" w:rsidP="00302F63">
            <w:pPr>
              <w:keepNext/>
              <w:keepLines/>
              <w:spacing w:after="120"/>
              <w:ind w:left="567" w:hanging="567"/>
              <w:rPr>
                <w:szCs w:val="24"/>
              </w:rPr>
            </w:pPr>
          </w:p>
        </w:tc>
      </w:tr>
      <w:tr w:rsidR="00302F63" w:rsidRPr="00302F63" w14:paraId="1470980D" w14:textId="77777777" w:rsidTr="00976772">
        <w:tc>
          <w:tcPr>
            <w:tcW w:w="2977" w:type="dxa"/>
            <w:shd w:val="pct10" w:color="auto" w:fill="FFFFFF"/>
            <w:vAlign w:val="center"/>
          </w:tcPr>
          <w:p w14:paraId="5CAFCE41" w14:textId="77777777" w:rsidR="00302F63" w:rsidRPr="00302F63" w:rsidRDefault="00302F63" w:rsidP="00302F63">
            <w:pPr>
              <w:keepNext/>
              <w:keepLines/>
              <w:spacing w:after="120"/>
              <w:ind w:left="567" w:hanging="567"/>
              <w:rPr>
                <w:b/>
                <w:szCs w:val="24"/>
              </w:rPr>
            </w:pPr>
            <w:proofErr w:type="gramStart"/>
            <w:r w:rsidRPr="00302F63">
              <w:rPr>
                <w:b/>
                <w:szCs w:val="24"/>
              </w:rPr>
              <w:t>Mobile:</w:t>
            </w:r>
            <w:proofErr w:type="gramEnd"/>
          </w:p>
        </w:tc>
        <w:tc>
          <w:tcPr>
            <w:tcW w:w="5400" w:type="dxa"/>
          </w:tcPr>
          <w:p w14:paraId="5F888C05" w14:textId="77777777" w:rsidR="00302F63" w:rsidRPr="00302F63" w:rsidRDefault="00302F63" w:rsidP="00302F63">
            <w:pPr>
              <w:keepNext/>
              <w:keepLines/>
              <w:spacing w:after="120"/>
              <w:ind w:left="567" w:hanging="567"/>
              <w:rPr>
                <w:szCs w:val="24"/>
              </w:rPr>
            </w:pPr>
          </w:p>
        </w:tc>
      </w:tr>
    </w:tbl>
    <w:p w14:paraId="3E85E458" w14:textId="77777777" w:rsidR="00302F63" w:rsidRPr="00302F63" w:rsidRDefault="00302F63" w:rsidP="00302F63">
      <w:pPr>
        <w:keepNext/>
        <w:keepLines/>
        <w:spacing w:after="120"/>
        <w:ind w:left="567" w:hanging="567"/>
        <w:rPr>
          <w:szCs w:val="24"/>
        </w:rPr>
      </w:pPr>
    </w:p>
    <w:p w14:paraId="3195D198" w14:textId="77777777" w:rsidR="00302F63" w:rsidRPr="00302F63" w:rsidRDefault="00302F63" w:rsidP="00302F63">
      <w:pPr>
        <w:keepNext/>
        <w:keepLines/>
        <w:spacing w:after="120"/>
        <w:ind w:left="567"/>
        <w:rPr>
          <w:szCs w:val="24"/>
          <w:u w:val="single"/>
        </w:rPr>
      </w:pPr>
      <w:r w:rsidRPr="00302F63">
        <w:rPr>
          <w:szCs w:val="24"/>
          <w:u w:val="single"/>
        </w:rPr>
        <w:t xml:space="preserve">Pour le </w:t>
      </w:r>
      <w:proofErr w:type="gramStart"/>
      <w:r w:rsidRPr="00302F63">
        <w:rPr>
          <w:szCs w:val="24"/>
          <w:u w:val="single"/>
        </w:rPr>
        <w:t>Contractant:</w:t>
      </w:r>
      <w:proofErr w:type="gramEnd"/>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418"/>
      </w:tblGrid>
      <w:tr w:rsidR="00302F63" w:rsidRPr="00302F63" w14:paraId="4F6A3797" w14:textId="77777777" w:rsidTr="00976772">
        <w:tc>
          <w:tcPr>
            <w:tcW w:w="2977" w:type="dxa"/>
            <w:shd w:val="pct10" w:color="auto" w:fill="FFFFFF"/>
            <w:vAlign w:val="center"/>
          </w:tcPr>
          <w:p w14:paraId="5B9694F3" w14:textId="77777777" w:rsidR="00302F63" w:rsidRPr="00302F63" w:rsidRDefault="00302F63" w:rsidP="00302F63">
            <w:pPr>
              <w:keepNext/>
              <w:keepLines/>
              <w:spacing w:after="120"/>
              <w:ind w:left="567" w:hanging="567"/>
              <w:rPr>
                <w:b/>
                <w:szCs w:val="24"/>
              </w:rPr>
            </w:pPr>
            <w:r w:rsidRPr="00302F63">
              <w:rPr>
                <w:b/>
                <w:szCs w:val="24"/>
              </w:rPr>
              <w:t>Nom :</w:t>
            </w:r>
          </w:p>
        </w:tc>
        <w:tc>
          <w:tcPr>
            <w:tcW w:w="5418" w:type="dxa"/>
          </w:tcPr>
          <w:p w14:paraId="3ADD1B39" w14:textId="77777777" w:rsidR="00302F63" w:rsidRPr="00302F63" w:rsidRDefault="00302F63" w:rsidP="00302F63">
            <w:pPr>
              <w:keepNext/>
              <w:keepLines/>
              <w:spacing w:after="120"/>
              <w:ind w:left="567" w:hanging="567"/>
              <w:rPr>
                <w:szCs w:val="24"/>
              </w:rPr>
            </w:pPr>
          </w:p>
        </w:tc>
      </w:tr>
      <w:tr w:rsidR="00302F63" w:rsidRPr="00302F63" w14:paraId="1A028849" w14:textId="77777777" w:rsidTr="00976772">
        <w:tc>
          <w:tcPr>
            <w:tcW w:w="2977" w:type="dxa"/>
            <w:shd w:val="pct10" w:color="auto" w:fill="FFFFFF"/>
            <w:vAlign w:val="center"/>
          </w:tcPr>
          <w:p w14:paraId="38E38C8C" w14:textId="77777777" w:rsidR="00302F63" w:rsidRPr="00302F63" w:rsidRDefault="00302F63" w:rsidP="00302F63">
            <w:pPr>
              <w:keepNext/>
              <w:keepLines/>
              <w:spacing w:after="120"/>
              <w:ind w:left="567" w:hanging="567"/>
              <w:rPr>
                <w:b/>
                <w:szCs w:val="24"/>
              </w:rPr>
            </w:pPr>
            <w:r w:rsidRPr="00302F63">
              <w:rPr>
                <w:b/>
                <w:szCs w:val="24"/>
              </w:rPr>
              <w:t>Fonction :</w:t>
            </w:r>
          </w:p>
        </w:tc>
        <w:tc>
          <w:tcPr>
            <w:tcW w:w="5418" w:type="dxa"/>
          </w:tcPr>
          <w:p w14:paraId="0C93B7E5" w14:textId="77777777" w:rsidR="00302F63" w:rsidRPr="00302F63" w:rsidRDefault="00302F63" w:rsidP="00302F63">
            <w:pPr>
              <w:keepNext/>
              <w:keepLines/>
              <w:spacing w:after="120"/>
              <w:ind w:left="567" w:hanging="567"/>
              <w:rPr>
                <w:szCs w:val="24"/>
              </w:rPr>
            </w:pPr>
          </w:p>
        </w:tc>
      </w:tr>
      <w:tr w:rsidR="00302F63" w:rsidRPr="00302F63" w14:paraId="05305943" w14:textId="77777777" w:rsidTr="00976772">
        <w:tc>
          <w:tcPr>
            <w:tcW w:w="2977" w:type="dxa"/>
            <w:shd w:val="pct10" w:color="auto" w:fill="FFFFFF"/>
            <w:vAlign w:val="center"/>
          </w:tcPr>
          <w:p w14:paraId="6E3325EB" w14:textId="77777777" w:rsidR="00302F63" w:rsidRPr="00302F63" w:rsidRDefault="00302F63" w:rsidP="00302F63">
            <w:pPr>
              <w:keepNext/>
              <w:keepLines/>
              <w:spacing w:after="120"/>
              <w:ind w:left="567" w:hanging="567"/>
              <w:rPr>
                <w:b/>
                <w:szCs w:val="24"/>
              </w:rPr>
            </w:pPr>
            <w:r w:rsidRPr="00302F63">
              <w:rPr>
                <w:b/>
                <w:szCs w:val="24"/>
              </w:rPr>
              <w:t>Raison sociale :</w:t>
            </w:r>
          </w:p>
        </w:tc>
        <w:tc>
          <w:tcPr>
            <w:tcW w:w="5418" w:type="dxa"/>
          </w:tcPr>
          <w:p w14:paraId="3B429A90" w14:textId="77777777" w:rsidR="00302F63" w:rsidRPr="00302F63" w:rsidRDefault="00302F63" w:rsidP="00302F63">
            <w:pPr>
              <w:keepNext/>
              <w:keepLines/>
              <w:spacing w:after="120"/>
              <w:ind w:left="567" w:hanging="567"/>
              <w:rPr>
                <w:szCs w:val="24"/>
              </w:rPr>
            </w:pPr>
          </w:p>
        </w:tc>
      </w:tr>
      <w:tr w:rsidR="00302F63" w:rsidRPr="00302F63" w14:paraId="1FF5C1B6" w14:textId="77777777" w:rsidTr="00976772">
        <w:tc>
          <w:tcPr>
            <w:tcW w:w="2977" w:type="dxa"/>
            <w:shd w:val="pct10" w:color="auto" w:fill="FFFFFF"/>
            <w:vAlign w:val="center"/>
          </w:tcPr>
          <w:p w14:paraId="2ADD15BD" w14:textId="77777777" w:rsidR="00302F63" w:rsidRPr="00302F63" w:rsidRDefault="00302F63" w:rsidP="00302F63">
            <w:pPr>
              <w:keepNext/>
              <w:keepLines/>
              <w:spacing w:after="120"/>
              <w:ind w:left="567" w:hanging="567"/>
              <w:rPr>
                <w:b/>
                <w:szCs w:val="24"/>
              </w:rPr>
            </w:pPr>
            <w:r w:rsidRPr="00302F63">
              <w:rPr>
                <w:b/>
                <w:szCs w:val="24"/>
              </w:rPr>
              <w:t>Adresse officielle complète :</w:t>
            </w:r>
          </w:p>
        </w:tc>
        <w:tc>
          <w:tcPr>
            <w:tcW w:w="5418" w:type="dxa"/>
          </w:tcPr>
          <w:p w14:paraId="7E97C88D" w14:textId="77777777" w:rsidR="00302F63" w:rsidRPr="00302F63" w:rsidRDefault="00302F63" w:rsidP="00302F63">
            <w:pPr>
              <w:keepNext/>
              <w:keepLines/>
              <w:spacing w:after="120"/>
              <w:ind w:left="567" w:hanging="567"/>
              <w:rPr>
                <w:szCs w:val="24"/>
              </w:rPr>
            </w:pPr>
          </w:p>
        </w:tc>
      </w:tr>
      <w:tr w:rsidR="00302F63" w:rsidRPr="00302F63" w14:paraId="487A0DD8" w14:textId="77777777" w:rsidTr="00976772">
        <w:tc>
          <w:tcPr>
            <w:tcW w:w="2977" w:type="dxa"/>
            <w:shd w:val="pct10" w:color="auto" w:fill="FFFFFF"/>
            <w:vAlign w:val="center"/>
          </w:tcPr>
          <w:p w14:paraId="32151997" w14:textId="77777777" w:rsidR="00302F63" w:rsidRPr="00302F63" w:rsidRDefault="00302F63" w:rsidP="00302F63">
            <w:pPr>
              <w:keepNext/>
              <w:keepLines/>
              <w:spacing w:after="120"/>
              <w:ind w:left="567" w:hanging="567"/>
              <w:rPr>
                <w:szCs w:val="24"/>
              </w:rPr>
            </w:pPr>
            <w:proofErr w:type="gramStart"/>
            <w:r w:rsidRPr="00302F63">
              <w:rPr>
                <w:b/>
                <w:szCs w:val="24"/>
              </w:rPr>
              <w:t>E-mail:</w:t>
            </w:r>
            <w:proofErr w:type="gramEnd"/>
          </w:p>
        </w:tc>
        <w:tc>
          <w:tcPr>
            <w:tcW w:w="5418" w:type="dxa"/>
          </w:tcPr>
          <w:p w14:paraId="6E8391B7" w14:textId="77777777" w:rsidR="00302F63" w:rsidRPr="00302F63" w:rsidRDefault="00302F63" w:rsidP="00302F63">
            <w:pPr>
              <w:keepNext/>
              <w:keepLines/>
              <w:spacing w:after="120"/>
              <w:ind w:left="567" w:hanging="567"/>
              <w:rPr>
                <w:szCs w:val="24"/>
              </w:rPr>
            </w:pPr>
          </w:p>
        </w:tc>
      </w:tr>
      <w:tr w:rsidR="00302F63" w:rsidRPr="00302F63" w14:paraId="690A5DDF" w14:textId="77777777" w:rsidTr="00976772">
        <w:tc>
          <w:tcPr>
            <w:tcW w:w="2977" w:type="dxa"/>
            <w:shd w:val="pct10" w:color="auto" w:fill="FFFFFF"/>
            <w:vAlign w:val="center"/>
          </w:tcPr>
          <w:p w14:paraId="0D71F4C2" w14:textId="77777777" w:rsidR="00302F63" w:rsidRPr="00302F63" w:rsidRDefault="00302F63" w:rsidP="00302F63">
            <w:pPr>
              <w:keepNext/>
              <w:keepLines/>
              <w:spacing w:after="120"/>
              <w:ind w:left="567" w:hanging="567"/>
              <w:rPr>
                <w:szCs w:val="24"/>
              </w:rPr>
            </w:pPr>
            <w:proofErr w:type="gramStart"/>
            <w:r w:rsidRPr="00302F63">
              <w:rPr>
                <w:b/>
                <w:szCs w:val="24"/>
              </w:rPr>
              <w:t>Mobile:</w:t>
            </w:r>
            <w:proofErr w:type="gramEnd"/>
          </w:p>
        </w:tc>
        <w:tc>
          <w:tcPr>
            <w:tcW w:w="5418" w:type="dxa"/>
          </w:tcPr>
          <w:p w14:paraId="67C76F6C" w14:textId="77777777" w:rsidR="00302F63" w:rsidRPr="00302F63" w:rsidRDefault="00302F63" w:rsidP="00302F63">
            <w:pPr>
              <w:keepNext/>
              <w:keepLines/>
              <w:spacing w:after="120"/>
              <w:ind w:left="567" w:hanging="567"/>
              <w:rPr>
                <w:szCs w:val="24"/>
              </w:rPr>
            </w:pPr>
          </w:p>
        </w:tc>
      </w:tr>
    </w:tbl>
    <w:p w14:paraId="4DC01378" w14:textId="77777777" w:rsidR="00302F63" w:rsidRPr="00302F63" w:rsidRDefault="00302F63" w:rsidP="00302F63">
      <w:pPr>
        <w:spacing w:before="240" w:after="120"/>
        <w:ind w:left="1134" w:hanging="1134"/>
        <w:rPr>
          <w:b/>
          <w:snapToGrid w:val="0"/>
          <w:szCs w:val="24"/>
          <w:lang w:eastAsia="en-US"/>
        </w:rPr>
      </w:pPr>
      <w:r w:rsidRPr="00302F63">
        <w:rPr>
          <w:b/>
          <w:snapToGrid w:val="0"/>
          <w:szCs w:val="24"/>
          <w:highlight w:val="lightGray"/>
          <w:lang w:eastAsia="en-US"/>
        </w:rPr>
        <w:t>Article 6</w:t>
      </w:r>
      <w:r w:rsidRPr="00302F63">
        <w:rPr>
          <w:b/>
          <w:snapToGrid w:val="0"/>
          <w:szCs w:val="24"/>
          <w:highlight w:val="lightGray"/>
          <w:lang w:eastAsia="en-US"/>
        </w:rPr>
        <w:tab/>
        <w:t>Sous-traitance</w:t>
      </w:r>
    </w:p>
    <w:p w14:paraId="5CB7CC2B" w14:textId="77777777" w:rsidR="00302F63" w:rsidRPr="00302F63" w:rsidRDefault="00302F63" w:rsidP="00302F63">
      <w:pPr>
        <w:widowControl w:val="0"/>
        <w:spacing w:before="120" w:after="120"/>
        <w:ind w:left="1134" w:hanging="567"/>
        <w:rPr>
          <w:snapToGrid w:val="0"/>
          <w:szCs w:val="24"/>
          <w:lang w:eastAsia="en-US"/>
        </w:rPr>
      </w:pPr>
      <w:r w:rsidRPr="00302F63">
        <w:rPr>
          <w:snapToGrid w:val="0"/>
          <w:szCs w:val="24"/>
          <w:lang w:eastAsia="en-US"/>
        </w:rPr>
        <w:t>6.3</w:t>
      </w:r>
      <w:r w:rsidRPr="00302F63">
        <w:rPr>
          <w:snapToGrid w:val="0"/>
          <w:szCs w:val="24"/>
          <w:lang w:eastAsia="en-US"/>
        </w:rPr>
        <w:tab/>
        <w:t>La sous-traitance est autorisée.</w:t>
      </w:r>
      <w:r w:rsidRPr="00302F63">
        <w:rPr>
          <w:rFonts w:ascii="Arial" w:hAnsi="Arial"/>
          <w:snapToGrid w:val="0"/>
          <w:szCs w:val="24"/>
          <w:lang w:eastAsia="en-US"/>
        </w:rPr>
        <w:t xml:space="preserve"> </w:t>
      </w:r>
      <w:r w:rsidRPr="00302F63">
        <w:rPr>
          <w:snapToGrid w:val="0"/>
          <w:szCs w:val="24"/>
          <w:lang w:eastAsia="en-US"/>
        </w:rPr>
        <w:t>Le contractant et, le cas échéant, les entités aux capacités desquelles il a recours en ce qui concerne les critères relatifs à la capacité économique et financière sont conjointement responsables de l’exécution du marché.</w:t>
      </w:r>
    </w:p>
    <w:p w14:paraId="122064D7" w14:textId="77777777" w:rsidR="00302F63" w:rsidRPr="00302F63" w:rsidRDefault="00302F63" w:rsidP="00302F63">
      <w:pPr>
        <w:keepNext/>
        <w:spacing w:before="240" w:after="120"/>
        <w:ind w:left="1134" w:hanging="1134"/>
        <w:rPr>
          <w:b/>
          <w:snapToGrid w:val="0"/>
          <w:szCs w:val="24"/>
          <w:lang w:eastAsia="en-US"/>
        </w:rPr>
      </w:pPr>
      <w:bookmarkStart w:id="12" w:name="_Toc124934898"/>
      <w:r w:rsidRPr="00302F63">
        <w:rPr>
          <w:b/>
          <w:snapToGrid w:val="0"/>
          <w:szCs w:val="24"/>
          <w:lang w:eastAsia="en-US"/>
        </w:rPr>
        <w:lastRenderedPageBreak/>
        <w:t>Article 7</w:t>
      </w:r>
      <w:r w:rsidRPr="00302F63">
        <w:rPr>
          <w:b/>
          <w:snapToGrid w:val="0"/>
          <w:szCs w:val="24"/>
          <w:lang w:eastAsia="en-US"/>
        </w:rPr>
        <w:tab/>
        <w:t>Documents à fournir</w:t>
      </w:r>
      <w:bookmarkEnd w:id="12"/>
    </w:p>
    <w:p w14:paraId="7FC95010" w14:textId="77777777" w:rsidR="00302F63" w:rsidRPr="00302F63" w:rsidRDefault="00302F63" w:rsidP="00302F63">
      <w:pPr>
        <w:spacing w:before="120" w:after="120"/>
        <w:ind w:left="414" w:firstLine="720"/>
        <w:rPr>
          <w:b/>
          <w:snapToGrid w:val="0"/>
          <w:szCs w:val="24"/>
          <w:lang w:eastAsia="en-US"/>
        </w:rPr>
      </w:pPr>
      <w:r w:rsidRPr="00302F63">
        <w:rPr>
          <w:snapToGrid w:val="0"/>
          <w:szCs w:val="24"/>
          <w:lang w:eastAsia="en-US"/>
        </w:rPr>
        <w:t>Sans objet</w:t>
      </w:r>
    </w:p>
    <w:p w14:paraId="69116C59" w14:textId="77777777" w:rsidR="00302F63" w:rsidRPr="00302F63" w:rsidRDefault="00302F63" w:rsidP="00302F63">
      <w:pPr>
        <w:spacing w:before="240" w:after="120"/>
        <w:ind w:left="1134" w:hanging="1134"/>
        <w:rPr>
          <w:b/>
          <w:snapToGrid w:val="0"/>
          <w:szCs w:val="24"/>
          <w:lang w:eastAsia="en-US"/>
        </w:rPr>
      </w:pPr>
      <w:bookmarkStart w:id="13" w:name="_Toc124934899"/>
      <w:r w:rsidRPr="00302F63">
        <w:rPr>
          <w:b/>
          <w:snapToGrid w:val="0"/>
          <w:szCs w:val="24"/>
          <w:lang w:eastAsia="en-US"/>
        </w:rPr>
        <w:t>Article 8</w:t>
      </w:r>
      <w:r w:rsidRPr="00302F63">
        <w:rPr>
          <w:b/>
          <w:snapToGrid w:val="0"/>
          <w:szCs w:val="24"/>
          <w:lang w:eastAsia="en-US"/>
        </w:rPr>
        <w:tab/>
        <w:t>Aide en matière de réglementation locale</w:t>
      </w:r>
      <w:bookmarkEnd w:id="13"/>
    </w:p>
    <w:p w14:paraId="5C7679F5" w14:textId="77777777" w:rsidR="00302F63" w:rsidRDefault="00302F63" w:rsidP="00302F63">
      <w:pPr>
        <w:spacing w:before="120" w:after="120"/>
        <w:ind w:left="414" w:firstLine="720"/>
        <w:rPr>
          <w:snapToGrid w:val="0"/>
          <w:szCs w:val="24"/>
          <w:lang w:eastAsia="en-US"/>
        </w:rPr>
      </w:pPr>
      <w:r w:rsidRPr="00302F63">
        <w:rPr>
          <w:snapToGrid w:val="0"/>
          <w:szCs w:val="24"/>
          <w:lang w:eastAsia="en-US"/>
        </w:rPr>
        <w:t>Sans objet</w:t>
      </w:r>
    </w:p>
    <w:p w14:paraId="1E392D35" w14:textId="77777777" w:rsidR="00302F63" w:rsidRPr="00302F63" w:rsidRDefault="00302F63" w:rsidP="00302F63">
      <w:pPr>
        <w:spacing w:before="120" w:after="120"/>
        <w:ind w:left="414" w:firstLine="720"/>
        <w:rPr>
          <w:snapToGrid w:val="0"/>
          <w:szCs w:val="24"/>
          <w:lang w:eastAsia="en-US"/>
        </w:rPr>
      </w:pPr>
    </w:p>
    <w:p w14:paraId="48318DDC" w14:textId="77777777" w:rsidR="00302F63" w:rsidRPr="00302F63" w:rsidRDefault="00302F63" w:rsidP="00302F63">
      <w:pPr>
        <w:tabs>
          <w:tab w:val="left" w:pos="1134"/>
        </w:tabs>
        <w:spacing w:before="120" w:after="120"/>
        <w:rPr>
          <w:b/>
          <w:snapToGrid w:val="0"/>
          <w:szCs w:val="24"/>
          <w:lang w:eastAsia="en-US"/>
        </w:rPr>
      </w:pPr>
      <w:r w:rsidRPr="00302F63">
        <w:rPr>
          <w:b/>
          <w:snapToGrid w:val="0"/>
          <w:szCs w:val="24"/>
          <w:lang w:eastAsia="en-US"/>
        </w:rPr>
        <w:t>Article 9</w:t>
      </w:r>
      <w:r w:rsidRPr="00302F63">
        <w:rPr>
          <w:b/>
          <w:snapToGrid w:val="0"/>
          <w:szCs w:val="24"/>
          <w:lang w:eastAsia="en-US"/>
        </w:rPr>
        <w:tab/>
        <w:t>Obligations générales</w:t>
      </w:r>
    </w:p>
    <w:p w14:paraId="301C134E" w14:textId="77777777" w:rsidR="00302F63" w:rsidRPr="00302F63" w:rsidRDefault="00302F63" w:rsidP="00302F63">
      <w:pPr>
        <w:tabs>
          <w:tab w:val="left" w:pos="426"/>
        </w:tabs>
        <w:spacing w:before="120" w:after="120"/>
        <w:ind w:left="1134" w:right="-2" w:hanging="708"/>
        <w:rPr>
          <w:snapToGrid w:val="0"/>
          <w:szCs w:val="24"/>
          <w:lang w:eastAsia="en-US"/>
        </w:rPr>
      </w:pPr>
      <w:r w:rsidRPr="00302F63">
        <w:rPr>
          <w:snapToGrid w:val="0"/>
          <w:szCs w:val="24"/>
          <w:lang w:eastAsia="en-US"/>
        </w:rPr>
        <w:t>9.9</w:t>
      </w:r>
      <w:r w:rsidRPr="00302F63">
        <w:rPr>
          <w:snapToGrid w:val="0"/>
          <w:szCs w:val="24"/>
          <w:lang w:eastAsia="en-US"/>
        </w:rPr>
        <w:tab/>
        <w:t>Sans objet</w:t>
      </w:r>
    </w:p>
    <w:p w14:paraId="401D5DC5" w14:textId="77777777" w:rsidR="00302F63" w:rsidRPr="00302F63" w:rsidRDefault="00302F63" w:rsidP="00302F63">
      <w:pPr>
        <w:keepNext/>
        <w:spacing w:before="240" w:after="120"/>
        <w:ind w:left="1134" w:hanging="1134"/>
        <w:rPr>
          <w:b/>
          <w:snapToGrid w:val="0"/>
          <w:szCs w:val="24"/>
          <w:lang w:eastAsia="en-US"/>
        </w:rPr>
      </w:pPr>
      <w:bookmarkStart w:id="14" w:name="_Toc124934900"/>
      <w:r w:rsidRPr="00302F63">
        <w:rPr>
          <w:b/>
          <w:snapToGrid w:val="0"/>
          <w:szCs w:val="24"/>
          <w:lang w:eastAsia="en-US"/>
        </w:rPr>
        <w:t>Article 10</w:t>
      </w:r>
      <w:r w:rsidRPr="00302F63">
        <w:rPr>
          <w:b/>
          <w:snapToGrid w:val="0"/>
          <w:szCs w:val="24"/>
          <w:lang w:eastAsia="en-US"/>
        </w:rPr>
        <w:tab/>
        <w:t>Origine</w:t>
      </w:r>
      <w:bookmarkEnd w:id="14"/>
    </w:p>
    <w:p w14:paraId="41A31E84" w14:textId="77777777" w:rsidR="00302F63" w:rsidRPr="00302F63" w:rsidRDefault="00302F63" w:rsidP="00302F63">
      <w:pPr>
        <w:numPr>
          <w:ilvl w:val="1"/>
          <w:numId w:val="0"/>
        </w:numPr>
        <w:spacing w:after="120"/>
        <w:ind w:left="1134" w:hanging="708"/>
        <w:outlineLvl w:val="1"/>
        <w:rPr>
          <w:snapToGrid w:val="0"/>
          <w:szCs w:val="24"/>
          <w:lang w:eastAsia="en-US"/>
        </w:rPr>
      </w:pPr>
      <w:r w:rsidRPr="00302F63">
        <w:rPr>
          <w:snapToGrid w:val="0"/>
          <w:szCs w:val="24"/>
          <w:lang w:eastAsia="en-US"/>
        </w:rPr>
        <w:t>10.1</w:t>
      </w:r>
      <w:r w:rsidRPr="00302F63">
        <w:rPr>
          <w:snapToGrid w:val="0"/>
          <w:szCs w:val="24"/>
          <w:lang w:eastAsia="en-US"/>
        </w:rPr>
        <w:tab/>
        <w:t>La règle d’origine n’est pas applicable au présent contrat.</w:t>
      </w:r>
    </w:p>
    <w:p w14:paraId="29D68087" w14:textId="77777777" w:rsidR="00302F63" w:rsidRPr="00302F63" w:rsidRDefault="00302F63" w:rsidP="00302F63">
      <w:pPr>
        <w:spacing w:before="240" w:after="120"/>
        <w:ind w:left="1134" w:hanging="1134"/>
        <w:rPr>
          <w:b/>
          <w:snapToGrid w:val="0"/>
          <w:szCs w:val="24"/>
          <w:lang w:eastAsia="en-US"/>
        </w:rPr>
      </w:pPr>
      <w:bookmarkStart w:id="15" w:name="_Toc124934901"/>
      <w:r w:rsidRPr="00302F63">
        <w:rPr>
          <w:b/>
          <w:snapToGrid w:val="0"/>
          <w:szCs w:val="24"/>
          <w:lang w:eastAsia="en-US"/>
        </w:rPr>
        <w:t>Article 11</w:t>
      </w:r>
      <w:r w:rsidRPr="00302F63">
        <w:rPr>
          <w:b/>
          <w:snapToGrid w:val="0"/>
          <w:szCs w:val="24"/>
          <w:lang w:eastAsia="en-US"/>
        </w:rPr>
        <w:tab/>
        <w:t>Garantie de bonne exécution</w:t>
      </w:r>
      <w:bookmarkEnd w:id="15"/>
    </w:p>
    <w:p w14:paraId="250D74F7" w14:textId="77777777" w:rsidR="00302F63" w:rsidRPr="00302F63" w:rsidRDefault="00302F63" w:rsidP="00302F63">
      <w:pPr>
        <w:spacing w:after="120"/>
        <w:ind w:left="1134" w:hanging="709"/>
        <w:rPr>
          <w:snapToGrid w:val="0"/>
          <w:szCs w:val="24"/>
          <w:lang w:eastAsia="en-US"/>
        </w:rPr>
      </w:pPr>
      <w:r w:rsidRPr="00302F63">
        <w:rPr>
          <w:snapToGrid w:val="0"/>
          <w:szCs w:val="24"/>
          <w:lang w:eastAsia="en-US"/>
        </w:rPr>
        <w:t>11.1</w:t>
      </w:r>
      <w:r w:rsidRPr="00302F63">
        <w:rPr>
          <w:snapToGrid w:val="0"/>
          <w:szCs w:val="24"/>
          <w:lang w:eastAsia="en-US"/>
        </w:rPr>
        <w:tab/>
        <w:t>Aucune garantie d’exécution n’est requise.</w:t>
      </w:r>
    </w:p>
    <w:p w14:paraId="104CEADF" w14:textId="77777777" w:rsidR="00302F63" w:rsidRPr="00302F63" w:rsidRDefault="00302F63" w:rsidP="00302F63">
      <w:pPr>
        <w:spacing w:before="240" w:after="120"/>
        <w:ind w:left="1134" w:hanging="1134"/>
        <w:rPr>
          <w:b/>
          <w:snapToGrid w:val="0"/>
          <w:szCs w:val="24"/>
          <w:lang w:eastAsia="en-US"/>
        </w:rPr>
      </w:pPr>
      <w:bookmarkStart w:id="16" w:name="_Toc124934902"/>
      <w:r w:rsidRPr="00302F63">
        <w:rPr>
          <w:b/>
          <w:snapToGrid w:val="0"/>
          <w:szCs w:val="24"/>
          <w:lang w:eastAsia="en-US"/>
        </w:rPr>
        <w:t>Article 12</w:t>
      </w:r>
      <w:r w:rsidRPr="00302F63">
        <w:rPr>
          <w:b/>
          <w:snapToGrid w:val="0"/>
          <w:szCs w:val="24"/>
          <w:lang w:eastAsia="en-US"/>
        </w:rPr>
        <w:tab/>
        <w:t>Responsabilité et assurances</w:t>
      </w:r>
      <w:bookmarkEnd w:id="16"/>
    </w:p>
    <w:p w14:paraId="71DB16E5" w14:textId="77777777" w:rsidR="00302F63" w:rsidRPr="00302F63" w:rsidRDefault="00302F63" w:rsidP="00302F63">
      <w:pPr>
        <w:tabs>
          <w:tab w:val="left" w:pos="1134"/>
        </w:tabs>
        <w:spacing w:after="120"/>
        <w:ind w:left="1134" w:hanging="708"/>
        <w:rPr>
          <w:snapToGrid w:val="0"/>
          <w:szCs w:val="24"/>
          <w:lang w:eastAsia="en-US"/>
        </w:rPr>
      </w:pPr>
      <w:r w:rsidRPr="00302F63">
        <w:rPr>
          <w:snapToGrid w:val="0"/>
          <w:szCs w:val="24"/>
          <w:lang w:eastAsia="en-US"/>
        </w:rPr>
        <w:t>12.1 a)</w:t>
      </w:r>
      <w:r w:rsidRPr="00302F63">
        <w:rPr>
          <w:snapToGrid w:val="0"/>
          <w:szCs w:val="24"/>
          <w:lang w:eastAsia="en-US"/>
        </w:rPr>
        <w:tab/>
      </w:r>
      <w:r w:rsidRPr="00302F63">
        <w:rPr>
          <w:snapToGrid w:val="0"/>
          <w:szCs w:val="24"/>
          <w:lang w:eastAsia="fr-FR" w:bidi="fr-FR"/>
        </w:rPr>
        <w:t>En dérogation à l’article 12, paragraphe 1, point a), deuxième alinéa, des conditions générales, l’indemnisation des dommages aux fournitures issus de la responsabilité du contractant à l’égard du pouvoir adjudicateur est plafonnée à un montant égal à au montant total du marché.</w:t>
      </w:r>
    </w:p>
    <w:p w14:paraId="7D0A3DA2" w14:textId="77777777" w:rsidR="00302F63" w:rsidRPr="00302F63" w:rsidRDefault="00302F63" w:rsidP="00302F63">
      <w:pPr>
        <w:tabs>
          <w:tab w:val="left" w:pos="1134"/>
        </w:tabs>
        <w:spacing w:after="120"/>
        <w:ind w:left="1134" w:hanging="708"/>
        <w:rPr>
          <w:snapToGrid w:val="0"/>
          <w:szCs w:val="24"/>
          <w:lang w:eastAsia="en-US"/>
        </w:rPr>
      </w:pPr>
      <w:r w:rsidRPr="00302F63">
        <w:rPr>
          <w:snapToGrid w:val="0"/>
          <w:szCs w:val="24"/>
          <w:lang w:eastAsia="en-US"/>
        </w:rPr>
        <w:t>12.1 b)</w:t>
      </w:r>
      <w:proofErr w:type="gramStart"/>
      <w:r w:rsidRPr="00302F63">
        <w:rPr>
          <w:snapToGrid w:val="0"/>
          <w:szCs w:val="24"/>
          <w:lang w:eastAsia="en-US"/>
        </w:rPr>
        <w:tab/>
        <w:t>«En</w:t>
      </w:r>
      <w:proofErr w:type="gramEnd"/>
      <w:r w:rsidRPr="00302F63">
        <w:rPr>
          <w:snapToGrid w:val="0"/>
          <w:szCs w:val="24"/>
          <w:lang w:eastAsia="en-US"/>
        </w:rPr>
        <w:t xml:space="preserve"> dérogation à l’article 12, paragraphe 1, point b), deuxième alinéa, des conditions générales, l’indemnisation des dommages issus de la responsabilité du contractant à l’égard du pouvoir adjudicateur est plafonnée à un montant égal à la valeur du marché».</w:t>
      </w:r>
    </w:p>
    <w:p w14:paraId="0CEB662B" w14:textId="77777777" w:rsidR="00302F63" w:rsidRPr="00302F63" w:rsidRDefault="00302F63" w:rsidP="00302F63">
      <w:pPr>
        <w:spacing w:before="240" w:after="120"/>
        <w:ind w:left="1134" w:hanging="1134"/>
        <w:rPr>
          <w:b/>
          <w:snapToGrid w:val="0"/>
          <w:szCs w:val="24"/>
          <w:lang w:eastAsia="en-US"/>
        </w:rPr>
      </w:pPr>
      <w:r w:rsidRPr="00302F63">
        <w:rPr>
          <w:b/>
          <w:snapToGrid w:val="0"/>
          <w:szCs w:val="24"/>
          <w:lang w:eastAsia="en-US"/>
        </w:rPr>
        <w:t>Article 16</w:t>
      </w:r>
      <w:r w:rsidRPr="00302F63">
        <w:rPr>
          <w:b/>
          <w:snapToGrid w:val="0"/>
          <w:szCs w:val="24"/>
          <w:lang w:eastAsia="en-US"/>
        </w:rPr>
        <w:tab/>
        <w:t>Régime fiscal et douanier</w:t>
      </w:r>
    </w:p>
    <w:p w14:paraId="3DBB2BE7" w14:textId="77777777" w:rsidR="00302F63" w:rsidRPr="00302F63" w:rsidRDefault="00302F63" w:rsidP="00302F63">
      <w:pPr>
        <w:spacing w:before="120" w:after="120"/>
        <w:ind w:left="1134" w:hanging="709"/>
        <w:rPr>
          <w:snapToGrid w:val="0"/>
          <w:szCs w:val="24"/>
          <w:lang w:eastAsia="en-US"/>
        </w:rPr>
      </w:pPr>
      <w:r w:rsidRPr="00302F63">
        <w:rPr>
          <w:snapToGrid w:val="0"/>
          <w:szCs w:val="24"/>
          <w:lang w:eastAsia="en-US"/>
        </w:rPr>
        <w:t>16.1</w:t>
      </w:r>
      <w:r w:rsidRPr="00302F63">
        <w:rPr>
          <w:snapToGrid w:val="0"/>
          <w:szCs w:val="24"/>
          <w:lang w:eastAsia="en-US"/>
        </w:rPr>
        <w:tab/>
        <w:t xml:space="preserve">Conformément à l’accord entre l’Union Européenne et la République du Mali relatif au statut de la Mission, EUCAP Sahel Mali est exemptée de tous impôts, taxes (y-compris la TVA) et autres droits similaires nationaux, régionaux ou communaux au titre des biens achetés et importés, des services rendus et des installations utilisées par elle pour les besoins de la mission. </w:t>
      </w:r>
    </w:p>
    <w:p w14:paraId="5090242B" w14:textId="77777777" w:rsidR="00302F63" w:rsidRPr="00302F63" w:rsidRDefault="00302F63" w:rsidP="00302F63">
      <w:pPr>
        <w:spacing w:before="120" w:after="120"/>
        <w:ind w:left="1134"/>
        <w:rPr>
          <w:snapToGrid w:val="0"/>
          <w:szCs w:val="24"/>
          <w:lang w:eastAsia="en-US"/>
        </w:rPr>
      </w:pPr>
      <w:r w:rsidRPr="00302F63">
        <w:rPr>
          <w:snapToGrid w:val="0"/>
          <w:szCs w:val="24"/>
          <w:lang w:eastAsia="en-US"/>
        </w:rPr>
        <w:t>Les conditions de livraison sont DDP.</w:t>
      </w:r>
    </w:p>
    <w:p w14:paraId="44C86B00" w14:textId="77777777" w:rsidR="00302F63" w:rsidRPr="00302F63" w:rsidRDefault="00302F63" w:rsidP="00302F63">
      <w:pPr>
        <w:spacing w:before="240" w:after="120"/>
        <w:ind w:left="1134" w:hanging="1134"/>
        <w:rPr>
          <w:b/>
          <w:snapToGrid w:val="0"/>
          <w:szCs w:val="24"/>
          <w:lang w:eastAsia="en-US"/>
        </w:rPr>
      </w:pPr>
      <w:bookmarkStart w:id="17" w:name="_Toc124934908"/>
      <w:r w:rsidRPr="00302F63">
        <w:rPr>
          <w:b/>
          <w:snapToGrid w:val="0"/>
          <w:szCs w:val="24"/>
          <w:lang w:eastAsia="en-US"/>
        </w:rPr>
        <w:t>Article 19</w:t>
      </w:r>
      <w:r w:rsidRPr="00302F63">
        <w:rPr>
          <w:b/>
          <w:snapToGrid w:val="0"/>
          <w:szCs w:val="24"/>
          <w:lang w:eastAsia="en-US"/>
        </w:rPr>
        <w:tab/>
        <w:t>Période de mise en œuvre</w:t>
      </w:r>
      <w:bookmarkEnd w:id="17"/>
      <w:r w:rsidRPr="00302F63">
        <w:rPr>
          <w:b/>
          <w:snapToGrid w:val="0"/>
          <w:szCs w:val="24"/>
          <w:lang w:eastAsia="en-US"/>
        </w:rPr>
        <w:t xml:space="preserve"> des tâches</w:t>
      </w:r>
    </w:p>
    <w:p w14:paraId="57BDAF9F" w14:textId="77777777" w:rsidR="00302F63" w:rsidRPr="00302F63" w:rsidRDefault="00302F63" w:rsidP="00302F63">
      <w:pPr>
        <w:spacing w:before="120" w:after="120"/>
        <w:ind w:left="1134" w:hanging="709"/>
        <w:rPr>
          <w:b/>
          <w:snapToGrid w:val="0"/>
          <w:szCs w:val="24"/>
          <w:lang w:eastAsia="en-US"/>
        </w:rPr>
      </w:pPr>
      <w:bookmarkStart w:id="18" w:name="_Toc124934910"/>
      <w:r w:rsidRPr="00302F63">
        <w:rPr>
          <w:snapToGrid w:val="0"/>
          <w:szCs w:val="24"/>
          <w:lang w:eastAsia="en-US"/>
        </w:rPr>
        <w:t>19.1</w:t>
      </w:r>
      <w:r w:rsidRPr="00302F63">
        <w:rPr>
          <w:b/>
          <w:snapToGrid w:val="0"/>
          <w:szCs w:val="24"/>
          <w:lang w:eastAsia="en-US"/>
        </w:rPr>
        <w:tab/>
      </w:r>
      <w:r w:rsidRPr="00302F63">
        <w:rPr>
          <w:bCs/>
          <w:snapToGrid w:val="0"/>
          <w:szCs w:val="24"/>
          <w:lang w:eastAsia="en-US"/>
        </w:rPr>
        <w:t>La date de début d'exécution sera la date de signature du présent marché par la dernière des deux parties.</w:t>
      </w:r>
    </w:p>
    <w:p w14:paraId="230751B0" w14:textId="77777777" w:rsidR="00302F63" w:rsidRPr="00302F63" w:rsidRDefault="00302F63" w:rsidP="00302F63">
      <w:pPr>
        <w:spacing w:before="120" w:after="120"/>
        <w:ind w:left="1134"/>
        <w:rPr>
          <w:bCs/>
          <w:snapToGrid w:val="0"/>
          <w:szCs w:val="24"/>
          <w:lang w:eastAsia="en-US"/>
        </w:rPr>
      </w:pPr>
      <w:r w:rsidRPr="00302F63">
        <w:rPr>
          <w:bCs/>
          <w:snapToGrid w:val="0"/>
          <w:szCs w:val="24"/>
          <w:lang w:eastAsia="en-US"/>
        </w:rPr>
        <w:t>La période de mise en œuvre des tâches est de 12 mois à partir de la date de début d'exécution.</w:t>
      </w:r>
    </w:p>
    <w:p w14:paraId="6AD58821" w14:textId="77777777" w:rsidR="00302F63" w:rsidRPr="00302F63" w:rsidRDefault="00302F63" w:rsidP="00302F63">
      <w:pPr>
        <w:spacing w:before="120" w:after="120"/>
        <w:ind w:left="1134"/>
        <w:rPr>
          <w:bCs/>
          <w:snapToGrid w:val="0"/>
          <w:szCs w:val="24"/>
          <w:lang w:eastAsia="en-US"/>
        </w:rPr>
      </w:pPr>
      <w:r w:rsidRPr="00302F63">
        <w:rPr>
          <w:bCs/>
          <w:snapToGrid w:val="0"/>
          <w:szCs w:val="24"/>
          <w:lang w:eastAsia="en-US"/>
        </w:rPr>
        <w:lastRenderedPageBreak/>
        <w:t>Aucun bon de commande ne pourra être émis avant la signature du présent contrat par les deux parties et/ou après sa date d’expiration.</w:t>
      </w:r>
    </w:p>
    <w:p w14:paraId="1CD446DD" w14:textId="77777777" w:rsidR="00302F63" w:rsidRPr="00302F63" w:rsidRDefault="00302F63" w:rsidP="00302F63">
      <w:pPr>
        <w:spacing w:after="0"/>
        <w:ind w:left="1134"/>
        <w:rPr>
          <w:b/>
          <w:snapToGrid w:val="0"/>
          <w:szCs w:val="24"/>
          <w:lang w:eastAsia="en-US"/>
        </w:rPr>
      </w:pPr>
      <w:r w:rsidRPr="00302F63">
        <w:rPr>
          <w:b/>
          <w:snapToGrid w:val="0"/>
          <w:szCs w:val="24"/>
          <w:lang w:eastAsia="en-US"/>
        </w:rPr>
        <w:t>Le délai de livraison requis est de</w:t>
      </w:r>
    </w:p>
    <w:p w14:paraId="16AF3CEB" w14:textId="77777777" w:rsidR="00302F63" w:rsidRPr="00302F63" w:rsidRDefault="00302F63" w:rsidP="00302F63">
      <w:pPr>
        <w:spacing w:after="0"/>
        <w:ind w:left="1134"/>
        <w:rPr>
          <w:snapToGrid w:val="0"/>
          <w:szCs w:val="24"/>
          <w:lang w:eastAsia="en-US"/>
        </w:rPr>
      </w:pPr>
      <w:r w:rsidRPr="00302F63">
        <w:rPr>
          <w:snapToGrid w:val="0"/>
          <w:szCs w:val="24"/>
          <w:lang w:eastAsia="en-US"/>
        </w:rPr>
        <w:t>•</w:t>
      </w:r>
      <w:r w:rsidRPr="00302F63">
        <w:rPr>
          <w:snapToGrid w:val="0"/>
          <w:szCs w:val="24"/>
          <w:lang w:eastAsia="en-US"/>
        </w:rPr>
        <w:tab/>
      </w:r>
      <w:r w:rsidRPr="00302F63">
        <w:rPr>
          <w:b/>
          <w:bCs/>
          <w:snapToGrid w:val="0"/>
          <w:szCs w:val="24"/>
          <w:lang w:eastAsia="en-US"/>
        </w:rPr>
        <w:t>7 jours calendaires</w:t>
      </w:r>
      <w:r w:rsidRPr="00302F63">
        <w:rPr>
          <w:snapToGrid w:val="0"/>
          <w:szCs w:val="24"/>
          <w:lang w:eastAsia="en-US"/>
        </w:rPr>
        <w:t xml:space="preserve"> à partir de la date de signature d’un bon de commande pour livrer les </w:t>
      </w:r>
      <w:r w:rsidRPr="00302F63">
        <w:rPr>
          <w:b/>
          <w:bCs/>
          <w:snapToGrid w:val="0"/>
          <w:szCs w:val="24"/>
          <w:lang w:eastAsia="en-US"/>
        </w:rPr>
        <w:t>articles du lot 1</w:t>
      </w:r>
    </w:p>
    <w:p w14:paraId="5BC0B26D" w14:textId="77777777" w:rsidR="00302F63" w:rsidRPr="00302F63" w:rsidRDefault="00302F63" w:rsidP="00302F63">
      <w:pPr>
        <w:spacing w:after="0"/>
        <w:ind w:left="1134"/>
        <w:rPr>
          <w:snapToGrid w:val="0"/>
          <w:szCs w:val="24"/>
          <w:lang w:eastAsia="en-US"/>
        </w:rPr>
      </w:pPr>
      <w:r w:rsidRPr="00302F63">
        <w:rPr>
          <w:snapToGrid w:val="0"/>
          <w:szCs w:val="24"/>
          <w:lang w:eastAsia="en-US"/>
        </w:rPr>
        <w:t>•</w:t>
      </w:r>
      <w:r w:rsidRPr="00302F63">
        <w:rPr>
          <w:snapToGrid w:val="0"/>
          <w:szCs w:val="24"/>
          <w:lang w:eastAsia="en-US"/>
        </w:rPr>
        <w:tab/>
      </w:r>
      <w:r w:rsidRPr="00302F63">
        <w:rPr>
          <w:b/>
          <w:bCs/>
          <w:snapToGrid w:val="0"/>
          <w:szCs w:val="24"/>
          <w:lang w:eastAsia="en-US"/>
        </w:rPr>
        <w:t>30 jours calendaires</w:t>
      </w:r>
      <w:r w:rsidRPr="00302F63">
        <w:rPr>
          <w:snapToGrid w:val="0"/>
          <w:szCs w:val="24"/>
          <w:lang w:eastAsia="en-US"/>
        </w:rPr>
        <w:t xml:space="preserve"> à partir de la date de signature d’un bon de commande pour livrer les </w:t>
      </w:r>
      <w:r w:rsidRPr="00302F63">
        <w:rPr>
          <w:b/>
          <w:bCs/>
          <w:snapToGrid w:val="0"/>
          <w:szCs w:val="24"/>
          <w:lang w:eastAsia="en-US"/>
        </w:rPr>
        <w:t>articles du lot 2</w:t>
      </w:r>
      <w:r w:rsidRPr="00302F63">
        <w:rPr>
          <w:snapToGrid w:val="0"/>
          <w:szCs w:val="24"/>
          <w:lang w:eastAsia="en-US"/>
        </w:rPr>
        <w:t>.</w:t>
      </w:r>
    </w:p>
    <w:p w14:paraId="0A89DC23" w14:textId="77777777" w:rsidR="00302F63" w:rsidRPr="00302F63" w:rsidRDefault="00302F63" w:rsidP="00302F63">
      <w:pPr>
        <w:spacing w:after="0"/>
        <w:ind w:left="1134"/>
        <w:rPr>
          <w:snapToGrid w:val="0"/>
          <w:szCs w:val="24"/>
          <w:lang w:eastAsia="en-US"/>
        </w:rPr>
      </w:pPr>
      <w:r w:rsidRPr="00302F63">
        <w:rPr>
          <w:snapToGrid w:val="0"/>
          <w:szCs w:val="24"/>
          <w:lang w:eastAsia="en-US"/>
        </w:rPr>
        <w:t>Les Incoterms applicables sont DDP.</w:t>
      </w:r>
    </w:p>
    <w:p w14:paraId="65CEEAB4" w14:textId="77777777" w:rsidR="00302F63" w:rsidRPr="00302F63" w:rsidRDefault="00302F63" w:rsidP="00302F63">
      <w:pPr>
        <w:spacing w:before="120" w:after="120"/>
        <w:ind w:left="1134"/>
        <w:rPr>
          <w:snapToGrid w:val="0"/>
          <w:szCs w:val="24"/>
          <w:lang w:eastAsia="en-US"/>
        </w:rPr>
      </w:pPr>
      <w:r w:rsidRPr="00302F63">
        <w:rPr>
          <w:snapToGrid w:val="0"/>
          <w:szCs w:val="24"/>
          <w:lang w:eastAsia="en-US"/>
        </w:rPr>
        <w:t>Le contrat cadre est renouvelé automatiquement 1 fois pour une durée de 12 mois à chaque fois, sauf si une des Parties au contrat reçoit une notification formelle du contraire au moins 3 mois avant la fin de la période en cours. Le renouvellement ne peut changer ni n’ajourner aucune des obligations existantes</w:t>
      </w:r>
    </w:p>
    <w:p w14:paraId="4E0ED9E0" w14:textId="77777777" w:rsidR="00302F63" w:rsidRPr="00302F63" w:rsidRDefault="00302F63" w:rsidP="00302F63">
      <w:pPr>
        <w:spacing w:before="120" w:after="120"/>
        <w:ind w:left="1134" w:hanging="709"/>
        <w:rPr>
          <w:b/>
          <w:snapToGrid w:val="0"/>
          <w:szCs w:val="24"/>
          <w:lang w:eastAsia="en-US"/>
        </w:rPr>
      </w:pPr>
      <w:r w:rsidRPr="00302F63">
        <w:rPr>
          <w:snapToGrid w:val="0"/>
          <w:szCs w:val="24"/>
          <w:lang w:eastAsia="en-US"/>
        </w:rPr>
        <w:t xml:space="preserve">19.2 </w:t>
      </w:r>
      <w:r w:rsidRPr="00302F63">
        <w:rPr>
          <w:snapToGrid w:val="0"/>
          <w:szCs w:val="24"/>
          <w:lang w:eastAsia="en-US"/>
        </w:rPr>
        <w:tab/>
        <w:t>Le Pouvoir Adjudicateur peut, en complément des dispositions relatives à la résiliation du contrat définies dans les Conditions Générales, mettre fin à tout ou partie de ce contrat, si le mandat du Pouvoir Adjudicateur n’était pas prolongé et/ou en cas de contraintes budgétaires pouvant affecter le financement de ce projet. En cas de résiliation pour les raisons notées ci-dessus, le Contractant ne sera pas autorisé à réclamer une indemnité pour le préjudice subi, à l’exception des sommes qui lui sont dues pour les tâches déjà exécutées</w:t>
      </w:r>
    </w:p>
    <w:p w14:paraId="2AC94217" w14:textId="77777777" w:rsidR="00302F63" w:rsidRPr="00302F63" w:rsidRDefault="00302F63" w:rsidP="00302F63">
      <w:pPr>
        <w:spacing w:before="240" w:after="120"/>
        <w:ind w:left="1134" w:hanging="1134"/>
        <w:rPr>
          <w:b/>
          <w:snapToGrid w:val="0"/>
          <w:szCs w:val="24"/>
          <w:lang w:eastAsia="en-US"/>
        </w:rPr>
      </w:pPr>
      <w:bookmarkStart w:id="19" w:name="_Toc124934912"/>
      <w:bookmarkEnd w:id="18"/>
      <w:r w:rsidRPr="00302F63">
        <w:rPr>
          <w:b/>
          <w:snapToGrid w:val="0"/>
          <w:szCs w:val="24"/>
          <w:lang w:eastAsia="en-US"/>
        </w:rPr>
        <w:t>Article 26</w:t>
      </w:r>
      <w:r w:rsidRPr="00302F63">
        <w:rPr>
          <w:b/>
          <w:snapToGrid w:val="0"/>
          <w:szCs w:val="24"/>
          <w:lang w:eastAsia="en-US"/>
        </w:rPr>
        <w:tab/>
      </w:r>
      <w:bookmarkEnd w:id="19"/>
      <w:r w:rsidRPr="00302F63">
        <w:rPr>
          <w:b/>
          <w:snapToGrid w:val="0"/>
          <w:szCs w:val="24"/>
          <w:lang w:eastAsia="en-US"/>
        </w:rPr>
        <w:t>Principes généraux des paiements</w:t>
      </w:r>
    </w:p>
    <w:p w14:paraId="05F92C6C" w14:textId="77777777" w:rsidR="00302F63" w:rsidRPr="00302F63" w:rsidRDefault="00302F63" w:rsidP="00302F63">
      <w:pPr>
        <w:tabs>
          <w:tab w:val="right" w:pos="9885"/>
        </w:tabs>
        <w:spacing w:before="120" w:after="120"/>
        <w:ind w:left="1134" w:hanging="709"/>
        <w:rPr>
          <w:snapToGrid w:val="0"/>
          <w:szCs w:val="24"/>
          <w:lang w:eastAsia="en-US"/>
        </w:rPr>
      </w:pPr>
      <w:bookmarkStart w:id="20" w:name="_Toc124934913"/>
      <w:r w:rsidRPr="00302F63">
        <w:rPr>
          <w:snapToGrid w:val="0"/>
          <w:szCs w:val="24"/>
          <w:lang w:eastAsia="en-US"/>
        </w:rPr>
        <w:t>26.1</w:t>
      </w:r>
      <w:r w:rsidRPr="00302F63">
        <w:rPr>
          <w:snapToGrid w:val="0"/>
          <w:szCs w:val="24"/>
          <w:lang w:eastAsia="en-US"/>
        </w:rPr>
        <w:tab/>
        <w:t>Les paiements sont effectués en F CFA.</w:t>
      </w:r>
    </w:p>
    <w:p w14:paraId="4329EA53" w14:textId="77777777" w:rsidR="00302F63" w:rsidRPr="00302F63" w:rsidRDefault="00302F63" w:rsidP="00302F63">
      <w:pPr>
        <w:spacing w:before="120" w:after="120"/>
        <w:ind w:left="1134" w:hanging="709"/>
        <w:rPr>
          <w:snapToGrid w:val="0"/>
          <w:szCs w:val="24"/>
          <w:lang w:eastAsia="en-US"/>
        </w:rPr>
      </w:pPr>
      <w:r w:rsidRPr="00302F63">
        <w:rPr>
          <w:snapToGrid w:val="0"/>
          <w:szCs w:val="24"/>
          <w:lang w:eastAsia="en-US"/>
        </w:rPr>
        <w:t>26.3</w:t>
      </w:r>
      <w:r w:rsidRPr="00302F63">
        <w:rPr>
          <w:snapToGrid w:val="0"/>
          <w:szCs w:val="24"/>
          <w:lang w:eastAsia="en-US"/>
        </w:rPr>
        <w:tab/>
      </w:r>
      <w:bookmarkStart w:id="21" w:name="_Hlk94622112"/>
      <w:r w:rsidRPr="00302F63">
        <w:rPr>
          <w:snapToGrid w:val="0"/>
          <w:szCs w:val="24"/>
          <w:lang w:eastAsia="en-US"/>
        </w:rPr>
        <w:t xml:space="preserve">Par dérogation </w:t>
      </w:r>
      <w:bookmarkStart w:id="22" w:name="_Hlk94622239"/>
      <w:r w:rsidRPr="00302F63">
        <w:rPr>
          <w:snapToGrid w:val="0"/>
          <w:szCs w:val="24"/>
          <w:lang w:eastAsia="en-US"/>
        </w:rPr>
        <w:t>aux conditions générales, les paiements sont effectués dans les 30 jours à compter de l'enregistrement par le pouvoir adjudicateur d'une facture recevable</w:t>
      </w:r>
      <w:bookmarkEnd w:id="21"/>
      <w:bookmarkEnd w:id="22"/>
      <w:r w:rsidRPr="00302F63">
        <w:rPr>
          <w:snapToGrid w:val="0"/>
          <w:szCs w:val="24"/>
          <w:lang w:eastAsia="en-US"/>
        </w:rPr>
        <w:t xml:space="preserve">   </w:t>
      </w:r>
    </w:p>
    <w:p w14:paraId="3A0F49BF" w14:textId="77777777" w:rsidR="00302F63" w:rsidRPr="00302F63" w:rsidRDefault="00302F63" w:rsidP="00302F63">
      <w:pPr>
        <w:spacing w:before="120" w:after="0"/>
        <w:ind w:left="1134" w:hanging="708"/>
        <w:rPr>
          <w:snapToGrid w:val="0"/>
          <w:szCs w:val="24"/>
          <w:lang w:eastAsia="en-US"/>
        </w:rPr>
      </w:pPr>
      <w:bookmarkStart w:id="23" w:name="_Hlk67034795"/>
      <w:r w:rsidRPr="00302F63">
        <w:rPr>
          <w:snapToGrid w:val="0"/>
          <w:szCs w:val="24"/>
          <w:lang w:eastAsia="en-US"/>
        </w:rPr>
        <w:t>26.5</w:t>
      </w:r>
      <w:r w:rsidRPr="00302F63">
        <w:rPr>
          <w:rFonts w:ascii="Arial" w:hAnsi="Arial"/>
          <w:snapToGrid w:val="0"/>
          <w:szCs w:val="24"/>
          <w:lang w:eastAsia="en-US"/>
        </w:rPr>
        <w:tab/>
      </w:r>
      <w:r w:rsidRPr="00302F63">
        <w:rPr>
          <w:snapToGrid w:val="0"/>
          <w:szCs w:val="24"/>
          <w:lang w:eastAsia="en-US"/>
        </w:rPr>
        <w:t>En vue d’obtenir les paiements, le contractant doit introduire auprès de l’autorité visée au paragraphe 26.1 ci-dessus la facture originale en 3 exemplaires</w:t>
      </w:r>
    </w:p>
    <w:bookmarkEnd w:id="23"/>
    <w:p w14:paraId="778CE4D2" w14:textId="77777777" w:rsidR="00302F63" w:rsidRPr="00302F63" w:rsidRDefault="00302F63" w:rsidP="00302F63">
      <w:pPr>
        <w:tabs>
          <w:tab w:val="right" w:pos="9885"/>
        </w:tabs>
        <w:spacing w:before="120" w:after="120"/>
        <w:ind w:left="1134" w:hanging="709"/>
        <w:rPr>
          <w:snapToGrid w:val="0"/>
          <w:color w:val="000000"/>
          <w:szCs w:val="24"/>
          <w:lang w:eastAsia="en-US"/>
        </w:rPr>
      </w:pPr>
      <w:r w:rsidRPr="00302F63">
        <w:rPr>
          <w:snapToGrid w:val="0"/>
          <w:szCs w:val="24"/>
          <w:lang w:eastAsia="en-US"/>
        </w:rPr>
        <w:t>26.9</w:t>
      </w:r>
      <w:r w:rsidRPr="00302F63">
        <w:rPr>
          <w:rFonts w:ascii="Arial" w:hAnsi="Arial"/>
          <w:snapToGrid w:val="0"/>
          <w:szCs w:val="24"/>
          <w:lang w:eastAsia="en-US"/>
        </w:rPr>
        <w:tab/>
      </w:r>
      <w:r w:rsidRPr="00302F63">
        <w:rPr>
          <w:snapToGrid w:val="0"/>
          <w:color w:val="000000"/>
          <w:szCs w:val="24"/>
          <w:lang w:eastAsia="en-US"/>
        </w:rPr>
        <w:t>Les prix sont fermes et non révisables.</w:t>
      </w:r>
    </w:p>
    <w:p w14:paraId="73335495" w14:textId="77777777" w:rsidR="00302F63" w:rsidRPr="00302F63" w:rsidRDefault="00302F63" w:rsidP="00302F63">
      <w:pPr>
        <w:tabs>
          <w:tab w:val="right" w:pos="9885"/>
        </w:tabs>
        <w:spacing w:before="120" w:after="120"/>
        <w:ind w:left="1134" w:hanging="709"/>
        <w:rPr>
          <w:snapToGrid w:val="0"/>
          <w:color w:val="000000"/>
          <w:szCs w:val="24"/>
          <w:lang w:eastAsia="en-US"/>
        </w:rPr>
      </w:pPr>
      <w:r w:rsidRPr="00302F63">
        <w:rPr>
          <w:snapToGrid w:val="0"/>
          <w:color w:val="000000"/>
          <w:szCs w:val="24"/>
          <w:lang w:eastAsia="en-US"/>
        </w:rPr>
        <w:tab/>
      </w:r>
      <w:bookmarkStart w:id="24" w:name="_Hlk122243243"/>
      <w:r w:rsidRPr="00302F63">
        <w:rPr>
          <w:snapToGrid w:val="0"/>
          <w:color w:val="000000"/>
          <w:szCs w:val="24"/>
          <w:lang w:eastAsia="en-US"/>
        </w:rPr>
        <w:t>Aucun préfinancement n’est prévu.</w:t>
      </w:r>
    </w:p>
    <w:bookmarkEnd w:id="24"/>
    <w:p w14:paraId="1340C18E" w14:textId="77777777" w:rsidR="00302F63" w:rsidRPr="00302F63" w:rsidRDefault="00302F63" w:rsidP="00302F63">
      <w:pPr>
        <w:spacing w:before="240" w:after="120"/>
        <w:ind w:left="1134" w:hanging="1134"/>
        <w:rPr>
          <w:b/>
          <w:snapToGrid w:val="0"/>
          <w:szCs w:val="24"/>
          <w:lang w:eastAsia="en-US"/>
        </w:rPr>
      </w:pPr>
      <w:r w:rsidRPr="00302F63">
        <w:rPr>
          <w:b/>
          <w:snapToGrid w:val="0"/>
          <w:szCs w:val="24"/>
          <w:lang w:eastAsia="en-US"/>
        </w:rPr>
        <w:t>Article 28</w:t>
      </w:r>
      <w:r w:rsidRPr="00302F63">
        <w:rPr>
          <w:b/>
          <w:snapToGrid w:val="0"/>
          <w:szCs w:val="24"/>
          <w:lang w:eastAsia="en-US"/>
        </w:rPr>
        <w:tab/>
        <w:t>Retards de paiement</w:t>
      </w:r>
    </w:p>
    <w:p w14:paraId="364E2DF1" w14:textId="77777777" w:rsidR="00302F63" w:rsidRPr="00302F63" w:rsidRDefault="00302F63" w:rsidP="00302F63">
      <w:pPr>
        <w:autoSpaceDE w:val="0"/>
        <w:autoSpaceDN w:val="0"/>
        <w:adjustRightInd w:val="0"/>
        <w:spacing w:before="120" w:after="120"/>
        <w:ind w:left="1134" w:hanging="709"/>
        <w:rPr>
          <w:szCs w:val="24"/>
          <w:lang w:eastAsia="en-US"/>
        </w:rPr>
      </w:pPr>
      <w:r w:rsidRPr="00302F63">
        <w:rPr>
          <w:snapToGrid w:val="0"/>
          <w:szCs w:val="24"/>
          <w:lang w:eastAsia="en-US"/>
        </w:rPr>
        <w:t>28.2</w:t>
      </w:r>
      <w:r w:rsidRPr="00302F63">
        <w:rPr>
          <w:b/>
          <w:snapToGrid w:val="0"/>
          <w:szCs w:val="24"/>
          <w:lang w:eastAsia="en-US"/>
        </w:rPr>
        <w:tab/>
      </w:r>
      <w:r w:rsidRPr="00302F63">
        <w:rPr>
          <w:szCs w:val="24"/>
          <w:lang w:eastAsia="en-US"/>
        </w:rPr>
        <w:t>Par dérogation à l’article 28, paragraphe 2, des conditions générales</w:t>
      </w:r>
      <w:r w:rsidRPr="00302F63">
        <w:rPr>
          <w:snapToGrid w:val="0"/>
          <w:szCs w:val="24"/>
          <w:lang w:eastAsia="en-US"/>
        </w:rPr>
        <w:t xml:space="preserve">, à l’expiration du délai prévu à l’article 26, paragraphe 3, il est versé au contractant des intérêts de retard s’il en fait la demande au taux et pour </w:t>
      </w:r>
      <w:proofErr w:type="gramStart"/>
      <w:r w:rsidRPr="00302F63">
        <w:rPr>
          <w:snapToGrid w:val="0"/>
          <w:szCs w:val="24"/>
          <w:lang w:eastAsia="en-US"/>
        </w:rPr>
        <w:t>la période visés</w:t>
      </w:r>
      <w:proofErr w:type="gramEnd"/>
      <w:r w:rsidRPr="00302F63">
        <w:rPr>
          <w:snapToGrid w:val="0"/>
          <w:szCs w:val="24"/>
          <w:lang w:eastAsia="en-US"/>
        </w:rPr>
        <w:t xml:space="preserve"> aux conditions générales. La demande doit être reçue dans les deux mois suivant la date du paiement tardif.</w:t>
      </w:r>
    </w:p>
    <w:p w14:paraId="704549B8" w14:textId="77777777" w:rsidR="00302F63" w:rsidRPr="00302F63" w:rsidRDefault="00302F63" w:rsidP="00302F63">
      <w:pPr>
        <w:spacing w:before="240" w:after="120"/>
        <w:ind w:left="1134" w:hanging="1134"/>
        <w:rPr>
          <w:b/>
          <w:snapToGrid w:val="0"/>
          <w:szCs w:val="24"/>
          <w:lang w:eastAsia="en-US"/>
        </w:rPr>
      </w:pPr>
      <w:r w:rsidRPr="00302F63">
        <w:rPr>
          <w:b/>
          <w:snapToGrid w:val="0"/>
          <w:szCs w:val="24"/>
          <w:lang w:eastAsia="en-US"/>
        </w:rPr>
        <w:t>Article 29</w:t>
      </w:r>
      <w:r w:rsidRPr="00302F63">
        <w:rPr>
          <w:b/>
          <w:snapToGrid w:val="0"/>
          <w:szCs w:val="24"/>
          <w:lang w:eastAsia="en-US"/>
        </w:rPr>
        <w:tab/>
        <w:t>Livraison</w:t>
      </w:r>
      <w:bookmarkEnd w:id="20"/>
    </w:p>
    <w:p w14:paraId="2D2A0983" w14:textId="77777777" w:rsidR="00302F63" w:rsidRPr="00302F63" w:rsidRDefault="00302F63" w:rsidP="00302F63">
      <w:pPr>
        <w:spacing w:before="240" w:after="120"/>
        <w:ind w:left="1134" w:hanging="1134"/>
        <w:rPr>
          <w:b/>
          <w:snapToGrid w:val="0"/>
          <w:szCs w:val="24"/>
          <w:lang w:eastAsia="en-US"/>
        </w:rPr>
      </w:pPr>
      <w:r w:rsidRPr="00302F63">
        <w:rPr>
          <w:snapToGrid w:val="0"/>
          <w:szCs w:val="24"/>
          <w:lang w:eastAsia="en-US"/>
        </w:rPr>
        <w:lastRenderedPageBreak/>
        <w:t>29.1 L’Incoterm applicable est DDP</w:t>
      </w:r>
      <w:r w:rsidRPr="00302F63">
        <w:rPr>
          <w:snapToGrid w:val="0"/>
          <w:szCs w:val="24"/>
          <w:vertAlign w:val="superscript"/>
          <w:lang w:eastAsia="en-US"/>
        </w:rPr>
        <w:footnoteReference w:id="2"/>
      </w:r>
    </w:p>
    <w:p w14:paraId="40BBAF32" w14:textId="77777777" w:rsidR="00302F63" w:rsidRDefault="00302F63" w:rsidP="00302F63">
      <w:pPr>
        <w:spacing w:before="120" w:after="120"/>
        <w:ind w:left="1134" w:hanging="708"/>
        <w:rPr>
          <w:snapToGrid w:val="0"/>
          <w:szCs w:val="24"/>
          <w:lang w:eastAsia="en-US"/>
        </w:rPr>
      </w:pPr>
      <w:r w:rsidRPr="00302F63">
        <w:rPr>
          <w:snapToGrid w:val="0"/>
          <w:szCs w:val="24"/>
          <w:lang w:eastAsia="en-US"/>
        </w:rPr>
        <w:t>29.4</w:t>
      </w:r>
      <w:r w:rsidRPr="00302F63">
        <w:rPr>
          <w:snapToGrid w:val="0"/>
          <w:szCs w:val="24"/>
          <w:lang w:eastAsia="en-US"/>
        </w:rPr>
        <w:tab/>
        <w:t xml:space="preserve">Le lieu de livraison des fournitures est doit être EUCAP Sahel Mali, </w:t>
      </w:r>
      <w:proofErr w:type="spellStart"/>
      <w:r w:rsidRPr="00302F63">
        <w:rPr>
          <w:snapToGrid w:val="0"/>
          <w:szCs w:val="24"/>
          <w:lang w:eastAsia="en-US"/>
        </w:rPr>
        <w:t>Sébénikoro</w:t>
      </w:r>
      <w:proofErr w:type="spellEnd"/>
      <w:r w:rsidRPr="00302F63">
        <w:rPr>
          <w:snapToGrid w:val="0"/>
          <w:szCs w:val="24"/>
          <w:lang w:eastAsia="en-US"/>
        </w:rPr>
        <w:t>, Route Nationale 5, Cité Mali, Univers, BP E2953, Bamako, Mali en face de la Station N’DOURE SERVICES.</w:t>
      </w:r>
    </w:p>
    <w:p w14:paraId="55F9E278" w14:textId="77777777" w:rsidR="00302F63" w:rsidRDefault="00302F63" w:rsidP="00302F63">
      <w:pPr>
        <w:spacing w:before="120" w:after="120"/>
        <w:ind w:left="1134" w:hanging="708"/>
        <w:rPr>
          <w:snapToGrid w:val="0"/>
          <w:szCs w:val="24"/>
          <w:lang w:eastAsia="en-US"/>
        </w:rPr>
      </w:pPr>
    </w:p>
    <w:p w14:paraId="237CCCB0" w14:textId="77777777" w:rsidR="00302F63" w:rsidRPr="00302F63" w:rsidRDefault="00302F63" w:rsidP="00302F63">
      <w:pPr>
        <w:spacing w:before="120" w:after="120"/>
        <w:ind w:left="1134" w:hanging="708"/>
        <w:rPr>
          <w:snapToGrid w:val="0"/>
          <w:szCs w:val="24"/>
          <w:lang w:eastAsia="en-US"/>
        </w:rPr>
      </w:pPr>
    </w:p>
    <w:p w14:paraId="7B3CEB60" w14:textId="77777777" w:rsidR="00302F63" w:rsidRPr="00302F63" w:rsidRDefault="00302F63" w:rsidP="00302F63">
      <w:pPr>
        <w:spacing w:before="240" w:after="120"/>
        <w:ind w:left="1134" w:hanging="1134"/>
        <w:rPr>
          <w:b/>
          <w:snapToGrid w:val="0"/>
          <w:szCs w:val="24"/>
          <w:lang w:eastAsia="en-US"/>
        </w:rPr>
      </w:pPr>
      <w:bookmarkStart w:id="25" w:name="_Toc124934914"/>
      <w:r w:rsidRPr="00302F63">
        <w:rPr>
          <w:b/>
          <w:snapToGrid w:val="0"/>
          <w:szCs w:val="24"/>
          <w:lang w:eastAsia="en-US"/>
        </w:rPr>
        <w:t>Article 31</w:t>
      </w:r>
      <w:r w:rsidRPr="00302F63">
        <w:rPr>
          <w:b/>
          <w:snapToGrid w:val="0"/>
          <w:szCs w:val="24"/>
          <w:lang w:eastAsia="en-US"/>
        </w:rPr>
        <w:tab/>
        <w:t>Réception provisoire</w:t>
      </w:r>
      <w:bookmarkEnd w:id="25"/>
    </w:p>
    <w:p w14:paraId="6B1EB663" w14:textId="77777777" w:rsidR="00302F63" w:rsidRPr="00302F63" w:rsidRDefault="00302F63" w:rsidP="00302F63">
      <w:pPr>
        <w:spacing w:before="120" w:after="120"/>
        <w:rPr>
          <w:snapToGrid w:val="0"/>
          <w:szCs w:val="24"/>
          <w:lang w:eastAsia="en-US"/>
        </w:rPr>
      </w:pPr>
      <w:r w:rsidRPr="00302F63">
        <w:rPr>
          <w:snapToGrid w:val="0"/>
          <w:szCs w:val="24"/>
          <w:lang w:eastAsia="en-US"/>
        </w:rPr>
        <w:t xml:space="preserve">Pour la réception provisoire, il y a lieu d’utiliser le certificat de l’annexe C11. </w:t>
      </w:r>
    </w:p>
    <w:p w14:paraId="1447DF31" w14:textId="77777777" w:rsidR="00302F63" w:rsidRPr="00302F63" w:rsidRDefault="00302F63" w:rsidP="00302F63">
      <w:pPr>
        <w:spacing w:before="120" w:after="120"/>
        <w:ind w:left="1134" w:hanging="708"/>
        <w:rPr>
          <w:snapToGrid w:val="0"/>
          <w:szCs w:val="24"/>
          <w:lang w:eastAsia="en-US"/>
        </w:rPr>
      </w:pPr>
      <w:r w:rsidRPr="00302F63">
        <w:rPr>
          <w:snapToGrid w:val="0"/>
          <w:szCs w:val="24"/>
          <w:lang w:eastAsia="en-US"/>
        </w:rPr>
        <w:t>31.2.</w:t>
      </w:r>
      <w:r w:rsidRPr="00302F63">
        <w:rPr>
          <w:snapToGrid w:val="0"/>
          <w:szCs w:val="24"/>
          <w:lang w:eastAsia="en-US"/>
        </w:rPr>
        <w:tab/>
        <w:t xml:space="preserve">Par dérogation, le contractant peut demander, par notification adressée au gestionnaire du projet, l’établissement d’un certificat de réception provisoire lorsque les fournitures sont prêtes pour la réception provisoire. Dans un délai de 45 jours à compter de la réception de la demande du contractant, le gestionnaire du </w:t>
      </w:r>
      <w:proofErr w:type="gramStart"/>
      <w:r w:rsidRPr="00302F63">
        <w:rPr>
          <w:snapToGrid w:val="0"/>
          <w:szCs w:val="24"/>
          <w:lang w:eastAsia="en-US"/>
        </w:rPr>
        <w:t>projet:</w:t>
      </w:r>
      <w:proofErr w:type="gramEnd"/>
    </w:p>
    <w:p w14:paraId="244A0B95" w14:textId="77777777" w:rsidR="00302F63" w:rsidRPr="00302F63" w:rsidRDefault="00302F63" w:rsidP="00302F63">
      <w:pPr>
        <w:widowControl w:val="0"/>
        <w:numPr>
          <w:ilvl w:val="0"/>
          <w:numId w:val="31"/>
        </w:numPr>
        <w:tabs>
          <w:tab w:val="left" w:pos="1560"/>
        </w:tabs>
        <w:spacing w:before="120" w:after="0"/>
        <w:ind w:left="1560"/>
        <w:jc w:val="left"/>
        <w:rPr>
          <w:snapToGrid w:val="0"/>
          <w:szCs w:val="24"/>
          <w:lang w:eastAsia="en-US"/>
        </w:rPr>
      </w:pPr>
      <w:proofErr w:type="gramStart"/>
      <w:r w:rsidRPr="00302F63">
        <w:rPr>
          <w:snapToGrid w:val="0"/>
          <w:szCs w:val="24"/>
          <w:lang w:eastAsia="en-US"/>
        </w:rPr>
        <w:t>établit</w:t>
      </w:r>
      <w:proofErr w:type="gramEnd"/>
      <w:r w:rsidRPr="00302F63">
        <w:rPr>
          <w:snapToGrid w:val="0"/>
          <w:szCs w:val="24"/>
          <w:lang w:eastAsia="en-US"/>
        </w:rPr>
        <w:t xml:space="preserve"> le certificat de réception provisoire à l’intention du contractant, avec copie au pouvoir adjudicateur, en indiquant, le cas échéant, ses réserves et notamment la date à laquelle, à son avis, les fournitures ont été achevées conformément au marché et étaient prêtes pour la réception provisoire; ou</w:t>
      </w:r>
    </w:p>
    <w:p w14:paraId="47AB101F" w14:textId="77777777" w:rsidR="00302F63" w:rsidRPr="00302F63" w:rsidRDefault="00302F63" w:rsidP="00302F63">
      <w:pPr>
        <w:widowControl w:val="0"/>
        <w:numPr>
          <w:ilvl w:val="0"/>
          <w:numId w:val="31"/>
        </w:numPr>
        <w:tabs>
          <w:tab w:val="left" w:pos="1560"/>
        </w:tabs>
        <w:spacing w:before="120" w:after="120"/>
        <w:ind w:left="1560"/>
        <w:jc w:val="left"/>
        <w:rPr>
          <w:snapToGrid w:val="0"/>
          <w:szCs w:val="24"/>
          <w:lang w:eastAsia="en-US"/>
        </w:rPr>
      </w:pPr>
      <w:proofErr w:type="gramStart"/>
      <w:r w:rsidRPr="00302F63">
        <w:rPr>
          <w:snapToGrid w:val="0"/>
          <w:szCs w:val="24"/>
          <w:lang w:eastAsia="en-US"/>
        </w:rPr>
        <w:t>rejette</w:t>
      </w:r>
      <w:proofErr w:type="gramEnd"/>
      <w:r w:rsidRPr="00302F63">
        <w:rPr>
          <w:snapToGrid w:val="0"/>
          <w:szCs w:val="24"/>
          <w:lang w:eastAsia="en-US"/>
        </w:rPr>
        <w:t xml:space="preserve"> la demande en motivant sa décision et en spécifiant les mesures, qui, à son avis, doivent être prises par le contractant en vue de la délivrance du certificat.</w:t>
      </w:r>
    </w:p>
    <w:p w14:paraId="0896498F" w14:textId="77777777" w:rsidR="00302F63" w:rsidRPr="00302F63" w:rsidRDefault="00302F63" w:rsidP="00302F63">
      <w:pPr>
        <w:widowControl w:val="0"/>
        <w:tabs>
          <w:tab w:val="left" w:pos="1560"/>
        </w:tabs>
        <w:spacing w:before="120" w:after="120"/>
        <w:ind w:left="1200"/>
        <w:rPr>
          <w:snapToGrid w:val="0"/>
          <w:szCs w:val="24"/>
          <w:lang w:eastAsia="en-US"/>
        </w:rPr>
      </w:pPr>
      <w:r w:rsidRPr="00302F63">
        <w:rPr>
          <w:snapToGrid w:val="0"/>
          <w:szCs w:val="24"/>
          <w:lang w:eastAsia="en-US"/>
        </w:rPr>
        <w:t>Le délai de délivrance du certificat de réception provisoire par le pouvoir adjudicateur au contractant n’est pas réputé inclus dans le délai de paiement indiqué à l’article 26, paragraphe 3.</w:t>
      </w:r>
    </w:p>
    <w:p w14:paraId="0890B3B1" w14:textId="77777777" w:rsidR="00302F63" w:rsidRPr="00302F63" w:rsidRDefault="00302F63" w:rsidP="00302F63">
      <w:pPr>
        <w:spacing w:before="240" w:after="120"/>
        <w:ind w:left="1134" w:hanging="1134"/>
        <w:rPr>
          <w:b/>
          <w:snapToGrid w:val="0"/>
          <w:szCs w:val="24"/>
          <w:lang w:eastAsia="en-US"/>
        </w:rPr>
      </w:pPr>
      <w:bookmarkStart w:id="26" w:name="_Toc124934915"/>
      <w:r w:rsidRPr="00302F63">
        <w:rPr>
          <w:b/>
          <w:snapToGrid w:val="0"/>
          <w:szCs w:val="24"/>
          <w:lang w:eastAsia="en-US"/>
        </w:rPr>
        <w:t>Article 32</w:t>
      </w:r>
      <w:r w:rsidRPr="00302F63">
        <w:rPr>
          <w:b/>
          <w:snapToGrid w:val="0"/>
          <w:szCs w:val="24"/>
          <w:lang w:eastAsia="en-US"/>
        </w:rPr>
        <w:tab/>
        <w:t>Obligations</w:t>
      </w:r>
      <w:bookmarkEnd w:id="26"/>
      <w:r w:rsidRPr="00302F63">
        <w:rPr>
          <w:b/>
          <w:snapToGrid w:val="0"/>
          <w:szCs w:val="24"/>
          <w:lang w:eastAsia="en-US"/>
        </w:rPr>
        <w:t xml:space="preserve"> au titre de la garantie du produit</w:t>
      </w:r>
    </w:p>
    <w:p w14:paraId="324A3E61" w14:textId="77777777" w:rsidR="00302F63" w:rsidRPr="00302F63" w:rsidRDefault="00302F63" w:rsidP="00302F63">
      <w:pPr>
        <w:spacing w:before="120" w:after="120"/>
        <w:ind w:left="1134" w:hanging="708"/>
        <w:rPr>
          <w:snapToGrid w:val="0"/>
          <w:szCs w:val="24"/>
          <w:lang w:eastAsia="en-US"/>
        </w:rPr>
      </w:pPr>
      <w:r w:rsidRPr="00302F63">
        <w:rPr>
          <w:snapToGrid w:val="0"/>
          <w:szCs w:val="24"/>
          <w:lang w:eastAsia="en-US"/>
        </w:rPr>
        <w:t>32.6</w:t>
      </w:r>
      <w:r w:rsidRPr="00302F63">
        <w:rPr>
          <w:snapToGrid w:val="0"/>
          <w:szCs w:val="24"/>
          <w:lang w:eastAsia="en-US"/>
        </w:rPr>
        <w:tab/>
        <w:t>Le titulaire garantit que toutes les fournitures sont exemptes de vices résultant de leur conception, des matériaux utilisés ou de leur ouvraison.</w:t>
      </w:r>
    </w:p>
    <w:p w14:paraId="6547E81A" w14:textId="77777777" w:rsidR="00302F63" w:rsidRPr="00302F63" w:rsidRDefault="00302F63" w:rsidP="00302F63">
      <w:pPr>
        <w:spacing w:before="120" w:after="120"/>
        <w:ind w:left="1134" w:hanging="708"/>
        <w:rPr>
          <w:snapToGrid w:val="0"/>
          <w:szCs w:val="24"/>
          <w:lang w:eastAsia="en-US"/>
        </w:rPr>
      </w:pPr>
      <w:r w:rsidRPr="00302F63">
        <w:rPr>
          <w:snapToGrid w:val="0"/>
          <w:szCs w:val="24"/>
          <w:lang w:eastAsia="en-US"/>
        </w:rPr>
        <w:t>32.7</w:t>
      </w:r>
      <w:r w:rsidRPr="00302F63">
        <w:rPr>
          <w:snapToGrid w:val="0"/>
          <w:szCs w:val="24"/>
          <w:lang w:eastAsia="en-US"/>
        </w:rPr>
        <w:tab/>
        <w:t>Cette garantie demeure valable pendant 365 jours à compter de la réception provisoire.</w:t>
      </w:r>
    </w:p>
    <w:p w14:paraId="12A0179F" w14:textId="77777777" w:rsidR="00302F63" w:rsidRPr="00302F63" w:rsidRDefault="00302F63" w:rsidP="00302F63">
      <w:pPr>
        <w:spacing w:before="240" w:after="120"/>
        <w:ind w:left="1134" w:hanging="1134"/>
        <w:rPr>
          <w:b/>
          <w:snapToGrid w:val="0"/>
          <w:szCs w:val="24"/>
          <w:lang w:eastAsia="en-US"/>
        </w:rPr>
      </w:pPr>
      <w:bookmarkStart w:id="27" w:name="_Toc124934917"/>
      <w:r w:rsidRPr="00302F63">
        <w:rPr>
          <w:b/>
          <w:snapToGrid w:val="0"/>
          <w:szCs w:val="24"/>
          <w:lang w:eastAsia="en-US"/>
        </w:rPr>
        <w:t>Article 40</w:t>
      </w:r>
      <w:r w:rsidRPr="00302F63">
        <w:rPr>
          <w:b/>
          <w:snapToGrid w:val="0"/>
          <w:szCs w:val="24"/>
          <w:lang w:eastAsia="en-US"/>
        </w:rPr>
        <w:tab/>
        <w:t>Règlement des différends</w:t>
      </w:r>
      <w:bookmarkEnd w:id="27"/>
    </w:p>
    <w:p w14:paraId="22B6F100" w14:textId="77777777" w:rsidR="00302F63" w:rsidRPr="00302F63" w:rsidRDefault="00302F63" w:rsidP="00302F63">
      <w:pPr>
        <w:spacing w:after="120"/>
        <w:ind w:left="1134" w:hanging="708"/>
        <w:rPr>
          <w:snapToGrid w:val="0"/>
          <w:szCs w:val="24"/>
          <w:highlight w:val="yellow"/>
          <w:lang w:eastAsia="en-US"/>
        </w:rPr>
      </w:pPr>
      <w:r w:rsidRPr="00302F63">
        <w:rPr>
          <w:snapToGrid w:val="0"/>
          <w:szCs w:val="24"/>
          <w:lang w:eastAsia="en-US"/>
        </w:rPr>
        <w:t>40.4</w:t>
      </w:r>
      <w:r w:rsidRPr="00302F63">
        <w:rPr>
          <w:snapToGrid w:val="0"/>
          <w:szCs w:val="24"/>
          <w:lang w:eastAsia="en-US"/>
        </w:rPr>
        <w:tab/>
        <w:t>Tout différend survenant dans l'exécution du présent contrat et qui ne peut être réglé d'une autre manière sera soumis à la procédure de règlement des différends prévue à l’article 16, paragraphes 2, 3 et 4 de l'Accord entre l’Union Européenne et la République du Mali relatif au Statut de la Mission PSDC de l’Union européenne au Mali du 20 novembre 2019</w:t>
      </w:r>
    </w:p>
    <w:p w14:paraId="5F48565A" w14:textId="77777777" w:rsidR="00302F63" w:rsidRPr="00302F63" w:rsidRDefault="00302F63" w:rsidP="00302F63">
      <w:pPr>
        <w:keepNext/>
        <w:keepLines/>
        <w:tabs>
          <w:tab w:val="left" w:pos="1134"/>
        </w:tabs>
        <w:spacing w:before="240" w:after="0"/>
        <w:ind w:left="1134" w:hanging="1134"/>
        <w:jc w:val="left"/>
        <w:rPr>
          <w:b/>
          <w:snapToGrid w:val="0"/>
          <w:szCs w:val="24"/>
          <w:lang w:eastAsia="en-US"/>
        </w:rPr>
      </w:pPr>
      <w:r w:rsidRPr="00302F63">
        <w:rPr>
          <w:b/>
          <w:snapToGrid w:val="0"/>
          <w:szCs w:val="24"/>
          <w:lang w:eastAsia="en-US"/>
        </w:rPr>
        <w:lastRenderedPageBreak/>
        <w:t>Article 44</w:t>
      </w:r>
      <w:r w:rsidRPr="00302F63">
        <w:rPr>
          <w:b/>
          <w:snapToGrid w:val="0"/>
          <w:szCs w:val="24"/>
          <w:lang w:eastAsia="en-US"/>
        </w:rPr>
        <w:tab/>
        <w:t>Protection des données</w:t>
      </w:r>
    </w:p>
    <w:p w14:paraId="7525B43A" w14:textId="77777777" w:rsidR="00302F63" w:rsidRPr="00302F63" w:rsidRDefault="00302F63" w:rsidP="00302F63">
      <w:pPr>
        <w:spacing w:before="120" w:after="120"/>
        <w:rPr>
          <w:snapToGrid w:val="0"/>
          <w:szCs w:val="24"/>
          <w:lang w:eastAsia="en-US"/>
        </w:rPr>
      </w:pPr>
      <w:bookmarkStart w:id="28" w:name="_Hlk122243305"/>
      <w:r w:rsidRPr="00302F63">
        <w:rPr>
          <w:snapToGrid w:val="0"/>
          <w:szCs w:val="24"/>
          <w:lang w:eastAsia="en-US"/>
        </w:rPr>
        <w:t>1. Le traitement des données à caractère personnel liées à cet appel d’offres, lancé par la Mission EUCAP Sahel Mali qui agit en tant que pouvoir adjudicateur, est effectué conformément à la Décision du Conseil PESC/2021/14 qui établit la Mission et conformément aux dispositions de la Convention de contribution PESC/2021/03/EUCAP Sahel Mali conclue entre la Commission Européenne et la Mission.</w:t>
      </w:r>
    </w:p>
    <w:p w14:paraId="428006BD" w14:textId="77777777" w:rsidR="00302F63" w:rsidRPr="00302F63" w:rsidRDefault="00302F63" w:rsidP="00302F63">
      <w:pPr>
        <w:spacing w:before="120" w:after="120"/>
        <w:rPr>
          <w:snapToGrid w:val="0"/>
          <w:szCs w:val="24"/>
          <w:lang w:eastAsia="en-US"/>
        </w:rPr>
      </w:pPr>
      <w:r w:rsidRPr="00302F63">
        <w:rPr>
          <w:snapToGrid w:val="0"/>
          <w:szCs w:val="24"/>
          <w:lang w:eastAsia="en-US"/>
        </w:rPr>
        <w:t>2. L’appel d’offres et le contrat en résultant renvoient à une action extérieure financée par l’UE, représentée par la Commission européenne.</w:t>
      </w:r>
    </w:p>
    <w:p w14:paraId="448F4944" w14:textId="77777777" w:rsidR="00302F63" w:rsidRPr="00302F63" w:rsidRDefault="00302F63" w:rsidP="00302F63">
      <w:pPr>
        <w:spacing w:before="120" w:after="120"/>
        <w:rPr>
          <w:snapToGrid w:val="0"/>
          <w:szCs w:val="24"/>
          <w:lang w:eastAsia="en-US"/>
        </w:rPr>
      </w:pPr>
      <w:r w:rsidRPr="00302F63">
        <w:rPr>
          <w:snapToGrid w:val="0"/>
          <w:szCs w:val="24"/>
          <w:lang w:eastAsia="en-US"/>
        </w:rPr>
        <w:t xml:space="preserve">3. Si le traitement de votre offre nécessite le transfert de données à caractère personnel (tel que nom, coordonnées et CV) depuis la Mission </w:t>
      </w:r>
      <w:bookmarkStart w:id="29" w:name="_Hlk121146058"/>
      <w:r w:rsidRPr="00302F63">
        <w:rPr>
          <w:snapToGrid w:val="0"/>
          <w:szCs w:val="24"/>
          <w:lang w:eastAsia="en-US"/>
        </w:rPr>
        <w:t xml:space="preserve">EUCAP Sahel Mali </w:t>
      </w:r>
      <w:bookmarkEnd w:id="29"/>
      <w:r w:rsidRPr="00302F63">
        <w:rPr>
          <w:snapToGrid w:val="0"/>
          <w:szCs w:val="24"/>
          <w:lang w:eastAsia="en-US"/>
        </w:rPr>
        <w:t>(étant le pouvoir adjudicateur) vers la Commission Européenne, ces données seront traitées uniquement aux fins de la surveillance de la procédure de passation de marché et de l’exécution du contrat, en conformité avec la convention de contribution conclue par la Commission avec ladite Mission et la Décision du Conseil PESC/2021/14 établissant la Mission – sans préjudice d’une transmission possible aux entités chargées des tâches de surveillance ou d’inspection en application de la législation de l’UE.</w:t>
      </w:r>
    </w:p>
    <w:p w14:paraId="47FA8FEB" w14:textId="77777777" w:rsidR="00302F63" w:rsidRPr="00302F63" w:rsidRDefault="00302F63" w:rsidP="00302F63">
      <w:pPr>
        <w:spacing w:before="120" w:after="120"/>
        <w:rPr>
          <w:snapToGrid w:val="0"/>
          <w:szCs w:val="24"/>
          <w:lang w:eastAsia="en-US"/>
        </w:rPr>
      </w:pPr>
      <w:r w:rsidRPr="00302F63">
        <w:rPr>
          <w:snapToGrid w:val="0"/>
          <w:szCs w:val="24"/>
          <w:lang w:eastAsia="en-US"/>
        </w:rPr>
        <w:t xml:space="preserve">4. Des précisions quant au traitement de vos données personnelles par le pouvoir adjudicateur (la Mission) sont disponibles dans la déclaration de confidentialité de la mission EUCAP Sahel Mali - </w:t>
      </w:r>
      <w:r w:rsidRPr="00302F63">
        <w:rPr>
          <w:i/>
          <w:iCs/>
          <w:snapToGrid w:val="0"/>
          <w:szCs w:val="24"/>
          <w:lang w:eastAsia="en-US"/>
        </w:rPr>
        <w:t>document 1037 - Déclaration de confidentialité achats FR</w:t>
      </w:r>
      <w:r w:rsidRPr="00302F63">
        <w:rPr>
          <w:snapToGrid w:val="0"/>
          <w:szCs w:val="24"/>
          <w:lang w:eastAsia="en-US"/>
        </w:rPr>
        <w:t>, qui vous est envoyé dans le dossier d’appel d’offres.</w:t>
      </w:r>
    </w:p>
    <w:p w14:paraId="726FF885" w14:textId="77777777" w:rsidR="00302F63" w:rsidRPr="00302F63" w:rsidRDefault="00302F63" w:rsidP="00302F63">
      <w:pPr>
        <w:spacing w:before="120" w:after="120"/>
        <w:rPr>
          <w:snapToGrid w:val="0"/>
          <w:szCs w:val="24"/>
          <w:lang w:eastAsia="en-US"/>
        </w:rPr>
      </w:pPr>
      <w:r w:rsidRPr="00302F63">
        <w:rPr>
          <w:snapToGrid w:val="0"/>
          <w:szCs w:val="24"/>
          <w:lang w:eastAsia="en-US"/>
        </w:rPr>
        <w:t>5. Le contrôleur responsable du traitement des données à caractère personnel mis en œuvre au sein du pouvoir adjudicateur est le chef de Mission d’EUCAP Sahel Mali agissant ici en qualité de pouvoir adjudicateur.</w:t>
      </w:r>
    </w:p>
    <w:p w14:paraId="4C9DF177" w14:textId="77777777" w:rsidR="00302F63" w:rsidRPr="00302F63" w:rsidRDefault="00302F63" w:rsidP="00302F63">
      <w:pPr>
        <w:spacing w:before="120" w:after="120"/>
        <w:rPr>
          <w:snapToGrid w:val="0"/>
          <w:szCs w:val="24"/>
          <w:lang w:eastAsia="en-US"/>
        </w:rPr>
      </w:pPr>
      <w:r w:rsidRPr="00302F63">
        <w:rPr>
          <w:snapToGrid w:val="0"/>
          <w:szCs w:val="24"/>
          <w:lang w:eastAsia="en-US"/>
        </w:rPr>
        <w:t>6. Dans la mesure où le marché porte sur une action financée par l’Union européenne, le pouvoir adjudicateur (la Mission EUCAP Sahel Mali) peut partager avec la Commission européenne les communications relatives à l’exécution du contrat. Ces échanges auront lieu avec la Commission, aux seules fins de permettre à celle-ci d’exercer ses droits et obligations au titre du cadre législatif applicable et de la convention de contribution conclue avec la Mission PSDC (cette dernière étant le pouvoir adjudicateur).</w:t>
      </w:r>
    </w:p>
    <w:p w14:paraId="6245327A" w14:textId="77777777" w:rsidR="00302F63" w:rsidRPr="00302F63" w:rsidRDefault="00302F63" w:rsidP="00302F63">
      <w:pPr>
        <w:spacing w:before="120" w:after="120"/>
        <w:rPr>
          <w:snapToGrid w:val="0"/>
          <w:szCs w:val="24"/>
          <w:lang w:eastAsia="en-US"/>
        </w:rPr>
      </w:pPr>
      <w:r w:rsidRPr="00302F63">
        <w:rPr>
          <w:snapToGrid w:val="0"/>
          <w:szCs w:val="24"/>
          <w:lang w:eastAsia="en-US"/>
        </w:rPr>
        <w:t>7. Les échanges peuvent impliquer des transferts de données à caractère personnel (noms, coordonnées, signatures et CV) de personnes physiques participant à l’exécution du contrat (contractants, personnel, experts, stagiaires, sous-traitants, assureurs, garants, auditeurs et conseils juridiques).</w:t>
      </w:r>
    </w:p>
    <w:p w14:paraId="13AE60C5" w14:textId="77777777" w:rsidR="00302F63" w:rsidRPr="00302F63" w:rsidRDefault="00302F63" w:rsidP="00302F63">
      <w:pPr>
        <w:spacing w:before="120" w:after="120"/>
        <w:rPr>
          <w:snapToGrid w:val="0"/>
          <w:szCs w:val="24"/>
          <w:lang w:eastAsia="en-US"/>
        </w:rPr>
      </w:pPr>
      <w:r w:rsidRPr="00302F63">
        <w:rPr>
          <w:snapToGrid w:val="0"/>
          <w:szCs w:val="24"/>
          <w:lang w:eastAsia="en-US"/>
        </w:rPr>
        <w:t>8. Lorsque le contractant traite des données à caractère personnel dans le cadre de l’exécution du contrat, il informe en conséquence les personnes concernées de la possibilité de transmission de leurs données à la Mission PSDC.</w:t>
      </w:r>
    </w:p>
    <w:p w14:paraId="23C30F01" w14:textId="77777777" w:rsidR="00302F63" w:rsidRPr="00302F63" w:rsidRDefault="00302F63" w:rsidP="00302F63">
      <w:pPr>
        <w:spacing w:before="120" w:after="120"/>
        <w:rPr>
          <w:snapToGrid w:val="0"/>
          <w:szCs w:val="24"/>
          <w:lang w:eastAsia="en-US"/>
        </w:rPr>
      </w:pPr>
      <w:r w:rsidRPr="00302F63">
        <w:rPr>
          <w:snapToGrid w:val="0"/>
          <w:szCs w:val="24"/>
          <w:lang w:eastAsia="en-US"/>
        </w:rPr>
        <w:t xml:space="preserve">9. Lorsque des données à caractère personnel sont transmises par le pouvoir adjudicateur (la Mission) à la Commission, cette dernière les traite conformément à la convention de contribution conclue avec ladite Mission, ainsi qu’au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1247/2002/CE2 et tel que détaillé dans la déclaration de confidentialité de FPI: </w:t>
      </w:r>
    </w:p>
    <w:p w14:paraId="0D235E00" w14:textId="77777777" w:rsidR="00302F63" w:rsidRPr="00302F63" w:rsidRDefault="00302F63" w:rsidP="00302F63">
      <w:pPr>
        <w:spacing w:before="120" w:after="120"/>
        <w:rPr>
          <w:snapToGrid w:val="0"/>
          <w:color w:val="0070C0"/>
          <w:szCs w:val="24"/>
          <w:u w:val="single"/>
          <w:lang w:eastAsia="en-US"/>
        </w:rPr>
      </w:pPr>
      <w:r w:rsidRPr="00302F63">
        <w:rPr>
          <w:snapToGrid w:val="0"/>
          <w:color w:val="0070C0"/>
          <w:szCs w:val="24"/>
          <w:u w:val="single"/>
          <w:lang w:eastAsia="en-US"/>
        </w:rPr>
        <w:lastRenderedPageBreak/>
        <w:t>https://fpi.ec.europa.eu/document/download/06a20f37-8529-4712-8cbf1d527a68717a_en?filename=privacy-statement-indirect-management.pdf</w:t>
      </w:r>
    </w:p>
    <w:bookmarkEnd w:id="28"/>
    <w:p w14:paraId="20D9E82A" w14:textId="77777777" w:rsidR="00302F63" w:rsidRPr="00302F63" w:rsidRDefault="00302F63" w:rsidP="00302F63">
      <w:pPr>
        <w:rPr>
          <w:szCs w:val="24"/>
          <w:lang w:eastAsia="en-US"/>
        </w:rPr>
      </w:pPr>
    </w:p>
    <w:p w14:paraId="62AC55A4" w14:textId="77777777" w:rsidR="00302F63" w:rsidRPr="00302F63" w:rsidRDefault="00302F63" w:rsidP="00302F63">
      <w:pPr>
        <w:spacing w:before="360" w:after="100" w:afterAutospacing="1"/>
        <w:jc w:val="center"/>
        <w:rPr>
          <w:szCs w:val="24"/>
          <w:lang w:eastAsia="en-US"/>
        </w:rPr>
      </w:pPr>
      <w:r w:rsidRPr="00302F63">
        <w:rPr>
          <w:szCs w:val="24"/>
          <w:lang w:eastAsia="en-US"/>
        </w:rPr>
        <w:t>* * *</w:t>
      </w:r>
    </w:p>
    <w:p w14:paraId="7AEFE4DA" w14:textId="77777777" w:rsidR="00302F63" w:rsidRPr="00D81A23" w:rsidRDefault="00302F63" w:rsidP="006917DF"/>
    <w:bookmarkEnd w:id="0"/>
    <w:sectPr w:rsidR="00302F63" w:rsidRPr="00D81A23" w:rsidSect="00954E4A">
      <w:headerReference w:type="even" r:id="rId11"/>
      <w:headerReference w:type="default" r:id="rId12"/>
      <w:footerReference w:type="even" r:id="rId13"/>
      <w:footerReference w:type="default" r:id="rId14"/>
      <w:headerReference w:type="first" r:id="rId15"/>
      <w:footerReference w:type="first" r:id="rId16"/>
      <w:pgSz w:w="11913" w:h="16834" w:code="9"/>
      <w:pgMar w:top="426"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588A" w14:textId="77777777" w:rsidR="00C951BF" w:rsidRDefault="00C951BF">
      <w:r>
        <w:separator/>
      </w:r>
    </w:p>
  </w:endnote>
  <w:endnote w:type="continuationSeparator" w:id="0">
    <w:p w14:paraId="70821666" w14:textId="77777777" w:rsidR="00C951BF" w:rsidRDefault="00C9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30DB" w14:textId="77777777" w:rsidR="004318A8" w:rsidRDefault="004318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C627" w14:textId="230259A4" w:rsidR="00C951BF" w:rsidRPr="00C9543A" w:rsidRDefault="00C951BF" w:rsidP="004B7C2F">
    <w:pPr>
      <w:pStyle w:val="Pieddepage"/>
      <w:tabs>
        <w:tab w:val="right" w:pos="8505"/>
      </w:tabs>
      <w:spacing w:before="120"/>
      <w:rPr>
        <w:rStyle w:val="Numrodepage"/>
        <w:rFonts w:ascii="Times New Roman" w:hAnsi="Times New Roman"/>
        <w:b/>
        <w:sz w:val="18"/>
        <w:szCs w:val="18"/>
      </w:rPr>
    </w:pPr>
    <w:r>
      <w:rPr>
        <w:rFonts w:ascii="Times New Roman" w:hAnsi="Times New Roman"/>
        <w:b/>
        <w:sz w:val="18"/>
      </w:rPr>
      <w:t>202</w:t>
    </w:r>
    <w:r w:rsidR="004318A8">
      <w:rPr>
        <w:rFonts w:ascii="Times New Roman" w:hAnsi="Times New Roman"/>
        <w:b/>
        <w:sz w:val="18"/>
      </w:rPr>
      <w:t>5</w:t>
    </w:r>
    <w:r>
      <w:rPr>
        <w:rFonts w:ascii="Times New Roman" w:hAnsi="Times New Roman"/>
        <w:sz w:val="18"/>
      </w:rPr>
      <w:tab/>
      <w:t>Page </w:t>
    </w:r>
    <w:r w:rsidRPr="00953EE9">
      <w:rPr>
        <w:rStyle w:val="Numrodepage"/>
        <w:rFonts w:ascii="Times New Roman" w:hAnsi="Times New Roman"/>
        <w:sz w:val="18"/>
      </w:rPr>
      <w:fldChar w:fldCharType="begin"/>
    </w:r>
    <w:r w:rsidRPr="00953EE9">
      <w:rPr>
        <w:rStyle w:val="Numrodepage"/>
        <w:rFonts w:ascii="Times New Roman" w:hAnsi="Times New Roman"/>
        <w:sz w:val="18"/>
      </w:rPr>
      <w:instrText xml:space="preserve"> PAGE </w:instrText>
    </w:r>
    <w:r w:rsidRPr="00953EE9">
      <w:rPr>
        <w:rStyle w:val="Numrodepage"/>
        <w:rFonts w:ascii="Times New Roman" w:hAnsi="Times New Roman"/>
        <w:sz w:val="18"/>
      </w:rPr>
      <w:fldChar w:fldCharType="separate"/>
    </w:r>
    <w:r w:rsidR="00361AE4">
      <w:rPr>
        <w:rStyle w:val="Numrodepage"/>
        <w:rFonts w:ascii="Times New Roman" w:hAnsi="Times New Roman"/>
        <w:sz w:val="18"/>
      </w:rPr>
      <w:t>14</w:t>
    </w:r>
    <w:r w:rsidRPr="00953EE9">
      <w:rPr>
        <w:rStyle w:val="Numrodepage"/>
        <w:rFonts w:ascii="Times New Roman" w:hAnsi="Times New Roman"/>
        <w:sz w:val="18"/>
      </w:rPr>
      <w:fldChar w:fldCharType="end"/>
    </w:r>
    <w:r>
      <w:rPr>
        <w:rStyle w:val="Numrodepage"/>
        <w:rFonts w:ascii="Times New Roman" w:hAnsi="Times New Roman"/>
        <w:sz w:val="18"/>
      </w:rPr>
      <w:t xml:space="preserve"> sur </w:t>
    </w:r>
    <w:r w:rsidRPr="00953EE9">
      <w:rPr>
        <w:rStyle w:val="Numrodepage"/>
        <w:rFonts w:ascii="Times New Roman" w:hAnsi="Times New Roman"/>
        <w:sz w:val="18"/>
      </w:rPr>
      <w:fldChar w:fldCharType="begin"/>
    </w:r>
    <w:r w:rsidRPr="00953EE9">
      <w:rPr>
        <w:rStyle w:val="Numrodepage"/>
        <w:rFonts w:ascii="Times New Roman" w:hAnsi="Times New Roman"/>
        <w:sz w:val="18"/>
      </w:rPr>
      <w:instrText xml:space="preserve"> NUMPAGES </w:instrText>
    </w:r>
    <w:r w:rsidRPr="00953EE9">
      <w:rPr>
        <w:rStyle w:val="Numrodepage"/>
        <w:rFonts w:ascii="Times New Roman" w:hAnsi="Times New Roman"/>
        <w:sz w:val="18"/>
      </w:rPr>
      <w:fldChar w:fldCharType="separate"/>
    </w:r>
    <w:r w:rsidR="00361AE4">
      <w:rPr>
        <w:rStyle w:val="Numrodepage"/>
        <w:rFonts w:ascii="Times New Roman" w:hAnsi="Times New Roman"/>
        <w:sz w:val="18"/>
      </w:rPr>
      <w:t>20</w:t>
    </w:r>
    <w:r w:rsidRPr="00953EE9">
      <w:rPr>
        <w:rStyle w:val="Numrodepage"/>
        <w:rFonts w:ascii="Times New Roman" w:hAnsi="Times New Roman"/>
        <w:sz w:val="18"/>
      </w:rPr>
      <w:fldChar w:fldCharType="end"/>
    </w:r>
  </w:p>
  <w:p w14:paraId="518DBA28" w14:textId="2D0ACBBF" w:rsidR="00C951BF" w:rsidRPr="00953EE9" w:rsidRDefault="00D81A23" w:rsidP="00D81A23">
    <w:pPr>
      <w:pStyle w:val="Pieddepage"/>
      <w:tabs>
        <w:tab w:val="right" w:pos="8505"/>
      </w:tabs>
      <w:rPr>
        <w:rFonts w:ascii="Times New Roman" w:hAnsi="Times New Roman"/>
        <w:sz w:val="18"/>
        <w:szCs w:val="18"/>
      </w:rPr>
    </w:pPr>
    <w:r>
      <w:rPr>
        <w:rStyle w:val="Numrodepage"/>
        <w:rFonts w:ascii="Times New Roman" w:hAnsi="Times New Roman"/>
        <w:sz w:val="18"/>
      </w:rPr>
      <w:fldChar w:fldCharType="begin"/>
    </w:r>
    <w:r>
      <w:rPr>
        <w:rStyle w:val="Numrodepage"/>
        <w:rFonts w:ascii="Times New Roman" w:hAnsi="Times New Roman"/>
        <w:sz w:val="18"/>
      </w:rPr>
      <w:instrText xml:space="preserve"> FILENAME   \* MERGEFORMAT </w:instrText>
    </w:r>
    <w:r>
      <w:rPr>
        <w:rStyle w:val="Numrodepage"/>
        <w:rFonts w:ascii="Times New Roman" w:hAnsi="Times New Roman"/>
        <w:sz w:val="18"/>
      </w:rPr>
      <w:fldChar w:fldCharType="separate"/>
    </w:r>
    <w:r w:rsidR="004B1F05">
      <w:rPr>
        <w:rStyle w:val="Numrodepage"/>
        <w:rFonts w:ascii="Times New Roman" w:hAnsi="Times New Roman"/>
        <w:noProof/>
        <w:sz w:val="18"/>
      </w:rPr>
      <w:t>c4c_mainconditions_fr.docx</w:t>
    </w:r>
    <w:r>
      <w:rPr>
        <w:rStyle w:val="Numrodepage"/>
        <w:rFonts w:ascii="Times New Roman"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0449" w14:textId="715F3232" w:rsidR="00C951BF" w:rsidRPr="00953EE9" w:rsidRDefault="00D81A23" w:rsidP="00DB3187">
    <w:pPr>
      <w:pStyle w:val="Pieddepage"/>
      <w:tabs>
        <w:tab w:val="right" w:pos="8505"/>
      </w:tabs>
      <w:rPr>
        <w:rStyle w:val="Numrodepage"/>
        <w:rFonts w:ascii="Times New Roman" w:hAnsi="Times New Roman"/>
        <w:sz w:val="18"/>
        <w:szCs w:val="18"/>
      </w:rPr>
    </w:pPr>
    <w:r>
      <w:rPr>
        <w:rFonts w:ascii="Times New Roman" w:hAnsi="Times New Roman"/>
        <w:b/>
        <w:sz w:val="18"/>
      </w:rPr>
      <w:t>202</w:t>
    </w:r>
    <w:r w:rsidR="004318A8">
      <w:rPr>
        <w:rFonts w:ascii="Times New Roman" w:hAnsi="Times New Roman"/>
        <w:b/>
        <w:sz w:val="18"/>
      </w:rPr>
      <w:t>5</w:t>
    </w:r>
    <w:r>
      <w:rPr>
        <w:rFonts w:ascii="Times New Roman" w:hAnsi="Times New Roman"/>
        <w:sz w:val="18"/>
      </w:rPr>
      <w:tab/>
      <w:t>Page </w:t>
    </w:r>
    <w:r w:rsidR="00C951BF" w:rsidRPr="00953EE9">
      <w:rPr>
        <w:rStyle w:val="Numrodepage"/>
        <w:rFonts w:ascii="Times New Roman" w:hAnsi="Times New Roman"/>
        <w:sz w:val="18"/>
      </w:rPr>
      <w:fldChar w:fldCharType="begin"/>
    </w:r>
    <w:r w:rsidR="00C951BF" w:rsidRPr="00953EE9">
      <w:rPr>
        <w:rStyle w:val="Numrodepage"/>
        <w:rFonts w:ascii="Times New Roman" w:hAnsi="Times New Roman"/>
        <w:sz w:val="18"/>
      </w:rPr>
      <w:instrText xml:space="preserve"> PAGE </w:instrText>
    </w:r>
    <w:r w:rsidR="00C951BF" w:rsidRPr="00953EE9">
      <w:rPr>
        <w:rStyle w:val="Numrodepage"/>
        <w:rFonts w:ascii="Times New Roman" w:hAnsi="Times New Roman"/>
        <w:sz w:val="18"/>
      </w:rPr>
      <w:fldChar w:fldCharType="separate"/>
    </w:r>
    <w:r w:rsidR="00CA1710">
      <w:rPr>
        <w:rStyle w:val="Numrodepage"/>
        <w:rFonts w:ascii="Times New Roman" w:hAnsi="Times New Roman"/>
        <w:sz w:val="18"/>
      </w:rPr>
      <w:t>1</w:t>
    </w:r>
    <w:r w:rsidR="00C951BF" w:rsidRPr="00953EE9">
      <w:rPr>
        <w:rStyle w:val="Numrodepage"/>
        <w:rFonts w:ascii="Times New Roman" w:hAnsi="Times New Roman"/>
        <w:sz w:val="18"/>
      </w:rPr>
      <w:fldChar w:fldCharType="end"/>
    </w:r>
    <w:r>
      <w:rPr>
        <w:rStyle w:val="Numrodepage"/>
        <w:rFonts w:ascii="Times New Roman" w:hAnsi="Times New Roman"/>
        <w:sz w:val="18"/>
      </w:rPr>
      <w:t xml:space="preserve"> sur </w:t>
    </w:r>
    <w:r w:rsidR="00C951BF" w:rsidRPr="00953EE9">
      <w:rPr>
        <w:rStyle w:val="Numrodepage"/>
        <w:rFonts w:ascii="Times New Roman" w:hAnsi="Times New Roman"/>
        <w:sz w:val="18"/>
      </w:rPr>
      <w:fldChar w:fldCharType="begin"/>
    </w:r>
    <w:r w:rsidR="00C951BF" w:rsidRPr="00953EE9">
      <w:rPr>
        <w:rStyle w:val="Numrodepage"/>
        <w:rFonts w:ascii="Times New Roman" w:hAnsi="Times New Roman"/>
        <w:sz w:val="18"/>
      </w:rPr>
      <w:instrText xml:space="preserve"> NUMPAGES </w:instrText>
    </w:r>
    <w:r w:rsidR="00C951BF" w:rsidRPr="00953EE9">
      <w:rPr>
        <w:rStyle w:val="Numrodepage"/>
        <w:rFonts w:ascii="Times New Roman" w:hAnsi="Times New Roman"/>
        <w:sz w:val="18"/>
      </w:rPr>
      <w:fldChar w:fldCharType="separate"/>
    </w:r>
    <w:r w:rsidR="00CA1710">
      <w:rPr>
        <w:rStyle w:val="Numrodepage"/>
        <w:rFonts w:ascii="Times New Roman" w:hAnsi="Times New Roman"/>
        <w:sz w:val="18"/>
      </w:rPr>
      <w:t>20</w:t>
    </w:r>
    <w:r w:rsidR="00C951BF" w:rsidRPr="00953EE9">
      <w:rPr>
        <w:rStyle w:val="Numrodepage"/>
        <w:rFonts w:ascii="Times New Roman" w:hAnsi="Times New Roman"/>
        <w:sz w:val="18"/>
      </w:rPr>
      <w:fldChar w:fldCharType="end"/>
    </w:r>
  </w:p>
  <w:p w14:paraId="0BA24268" w14:textId="12373947" w:rsidR="00C951BF" w:rsidRPr="00953EE9" w:rsidRDefault="00D81A23" w:rsidP="00D81A23">
    <w:pPr>
      <w:pStyle w:val="Pieddepage"/>
      <w:tabs>
        <w:tab w:val="right" w:pos="8505"/>
      </w:tabs>
      <w:rPr>
        <w:rFonts w:ascii="Times New Roman" w:hAnsi="Times New Roman"/>
        <w:sz w:val="18"/>
        <w:szCs w:val="18"/>
      </w:rPr>
    </w:pPr>
    <w:r>
      <w:rPr>
        <w:rStyle w:val="Numrodepage"/>
        <w:rFonts w:ascii="Times New Roman" w:hAnsi="Times New Roman"/>
        <w:sz w:val="18"/>
      </w:rPr>
      <w:fldChar w:fldCharType="begin"/>
    </w:r>
    <w:r>
      <w:rPr>
        <w:rStyle w:val="Numrodepage"/>
        <w:rFonts w:ascii="Times New Roman" w:hAnsi="Times New Roman"/>
        <w:sz w:val="18"/>
      </w:rPr>
      <w:instrText xml:space="preserve"> FILENAME   \* MERGEFORMAT </w:instrText>
    </w:r>
    <w:r>
      <w:rPr>
        <w:rStyle w:val="Numrodepage"/>
        <w:rFonts w:ascii="Times New Roman" w:hAnsi="Times New Roman"/>
        <w:sz w:val="18"/>
      </w:rPr>
      <w:fldChar w:fldCharType="separate"/>
    </w:r>
    <w:r w:rsidR="00613710">
      <w:rPr>
        <w:rStyle w:val="Numrodepage"/>
        <w:rFonts w:ascii="Times New Roman" w:hAnsi="Times New Roman"/>
        <w:noProof/>
        <w:sz w:val="18"/>
      </w:rPr>
      <w:t>c4c_mainconditions_fr.docx</w:t>
    </w:r>
    <w:r>
      <w:rPr>
        <w:rStyle w:val="Numrodepage"/>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8330" w14:textId="77777777" w:rsidR="00C951BF" w:rsidRDefault="00C951BF" w:rsidP="004B7C2F">
      <w:pPr>
        <w:spacing w:before="120" w:after="0"/>
      </w:pPr>
      <w:r>
        <w:separator/>
      </w:r>
    </w:p>
  </w:footnote>
  <w:footnote w:type="continuationSeparator" w:id="0">
    <w:p w14:paraId="6C2D2809" w14:textId="77777777" w:rsidR="00C951BF" w:rsidRDefault="00C951BF">
      <w:r>
        <w:continuationSeparator/>
      </w:r>
    </w:p>
  </w:footnote>
  <w:footnote w:id="1">
    <w:p w14:paraId="51036C5A" w14:textId="57A70D83" w:rsidR="004E0A9B" w:rsidRPr="00954E4A" w:rsidRDefault="004E0A9B" w:rsidP="00D81A23">
      <w:pPr>
        <w:pStyle w:val="Notedebasdepage"/>
      </w:pPr>
      <w:r>
        <w:rPr>
          <w:rStyle w:val="Appelnotedebasdep"/>
        </w:rPr>
        <w:footnoteRef/>
      </w:r>
      <w:r>
        <w:tab/>
        <w:t>À condition qu’il s’agisse d’une monnaie librement convertible.</w:t>
      </w:r>
    </w:p>
  </w:footnote>
  <w:footnote w:id="2">
    <w:p w14:paraId="085E723D" w14:textId="77777777" w:rsidR="00302F63" w:rsidRPr="00B5440B" w:rsidRDefault="00302F63" w:rsidP="00302F63">
      <w:pPr>
        <w:pStyle w:val="Notedebasdepage"/>
      </w:pPr>
      <w:r w:rsidRPr="00302F63">
        <w:rPr>
          <w:rStyle w:val="Appelnotedebasdep"/>
        </w:rPr>
        <w:footnoteRef/>
      </w:r>
      <w:r w:rsidRPr="00302F63">
        <w:tab/>
        <w:t>DDP (</w:t>
      </w:r>
      <w:proofErr w:type="spellStart"/>
      <w:r w:rsidRPr="00302F63">
        <w:t>delivery</w:t>
      </w:r>
      <w:proofErr w:type="spellEnd"/>
      <w:r w:rsidRPr="00302F63">
        <w:t xml:space="preserve"> </w:t>
      </w:r>
      <w:proofErr w:type="spellStart"/>
      <w:r w:rsidRPr="00302F63">
        <w:t>duty</w:t>
      </w:r>
      <w:proofErr w:type="spellEnd"/>
      <w:r w:rsidRPr="00302F63">
        <w:t xml:space="preserve"> </w:t>
      </w:r>
      <w:proofErr w:type="spellStart"/>
      <w:r w:rsidRPr="00302F63">
        <w:t>paid</w:t>
      </w:r>
      <w:proofErr w:type="spellEnd"/>
      <w:r w:rsidRPr="00302F63">
        <w:t xml:space="preserve"> = rendu droits acquittés)</w:t>
      </w:r>
      <w:r w:rsidRPr="00302F63">
        <w:rPr>
          <w:sz w:val="22"/>
        </w:rPr>
        <w:t xml:space="preserve"> </w:t>
      </w:r>
      <w:r w:rsidRPr="00302F63">
        <w:t>-</w:t>
      </w:r>
      <w:r>
        <w:t xml:space="preserve"> Incoterms 2020, Chambre de commerce internationale - </w:t>
      </w:r>
      <w:hyperlink r:id="rId1" w:history="1">
        <w:r>
          <w:rPr>
            <w:rStyle w:val="Lienhypertexte"/>
          </w:rPr>
          <w:t>http://www.iccwbo.org/incoterms/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8A89" w14:textId="77777777" w:rsidR="004318A8" w:rsidRDefault="004318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9BB5" w14:textId="77777777" w:rsidR="004318A8" w:rsidRDefault="004318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3FB5" w14:textId="77777777" w:rsidR="004318A8" w:rsidRDefault="00431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653B67"/>
    <w:multiLevelType w:val="hybridMultilevel"/>
    <w:tmpl w:val="0E4E3AE2"/>
    <w:lvl w:ilvl="0" w:tplc="C60EA4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5FDE"/>
    <w:multiLevelType w:val="hybridMultilevel"/>
    <w:tmpl w:val="D4E859A8"/>
    <w:lvl w:ilvl="0" w:tplc="4A6C6422">
      <w:numFmt w:val="bullet"/>
      <w:lvlText w:val="•"/>
      <w:lvlJc w:val="left"/>
      <w:pPr>
        <w:ind w:left="1440" w:hanging="72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20" w15:restartNumberingAfterBreak="0">
    <w:nsid w:val="520D760F"/>
    <w:multiLevelType w:val="hybridMultilevel"/>
    <w:tmpl w:val="2BC0E8C8"/>
    <w:lvl w:ilvl="0" w:tplc="2CB48404">
      <w:start w:val="1"/>
      <w:numFmt w:val="bullet"/>
      <w:lvlText w:val="-"/>
      <w:lvlJc w:val="left"/>
      <w:pPr>
        <w:ind w:left="786" w:hanging="360"/>
      </w:pPr>
      <w:rPr>
        <w:rFonts w:ascii="Times New Roman" w:eastAsia="Times New Roman" w:hAnsi="Times New Roman" w:cs="Times New Roman"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9C21E1F"/>
    <w:multiLevelType w:val="hybridMultilevel"/>
    <w:tmpl w:val="1892FB70"/>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8" w15:restartNumberingAfterBreak="0">
    <w:nsid w:val="6A7B4BF1"/>
    <w:multiLevelType w:val="multilevel"/>
    <w:tmpl w:val="E9AC3122"/>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311063">
    <w:abstractNumId w:val="28"/>
  </w:num>
  <w:num w:numId="2" w16cid:durableId="1789079237">
    <w:abstractNumId w:val="1"/>
  </w:num>
  <w:num w:numId="3" w16cid:durableId="1541630581">
    <w:abstractNumId w:val="0"/>
  </w:num>
  <w:num w:numId="4" w16cid:durableId="1233156733">
    <w:abstractNumId w:val="24"/>
  </w:num>
  <w:num w:numId="5" w16cid:durableId="1552376157">
    <w:abstractNumId w:val="4"/>
  </w:num>
  <w:num w:numId="6" w16cid:durableId="719936210">
    <w:abstractNumId w:val="16"/>
  </w:num>
  <w:num w:numId="7" w16cid:durableId="908998598">
    <w:abstractNumId w:val="10"/>
  </w:num>
  <w:num w:numId="8" w16cid:durableId="376008253">
    <w:abstractNumId w:val="15"/>
  </w:num>
  <w:num w:numId="9" w16cid:durableId="848907291">
    <w:abstractNumId w:val="27"/>
  </w:num>
  <w:num w:numId="10" w16cid:durableId="798837810">
    <w:abstractNumId w:val="30"/>
  </w:num>
  <w:num w:numId="11" w16cid:durableId="1833712461">
    <w:abstractNumId w:val="12"/>
  </w:num>
  <w:num w:numId="12" w16cid:durableId="1583300331">
    <w:abstractNumId w:val="26"/>
  </w:num>
  <w:num w:numId="13" w16cid:durableId="1789548832">
    <w:abstractNumId w:val="25"/>
  </w:num>
  <w:num w:numId="14" w16cid:durableId="92283019">
    <w:abstractNumId w:val="17"/>
  </w:num>
  <w:num w:numId="15" w16cid:durableId="1426413487">
    <w:abstractNumId w:val="22"/>
  </w:num>
  <w:num w:numId="16" w16cid:durableId="93475965">
    <w:abstractNumId w:val="6"/>
  </w:num>
  <w:num w:numId="17" w16cid:durableId="1103767029">
    <w:abstractNumId w:val="14"/>
  </w:num>
  <w:num w:numId="18" w16cid:durableId="1530292540">
    <w:abstractNumId w:val="5"/>
  </w:num>
  <w:num w:numId="19" w16cid:durableId="315647216">
    <w:abstractNumId w:val="11"/>
  </w:num>
  <w:num w:numId="20" w16cid:durableId="129054300">
    <w:abstractNumId w:val="31"/>
  </w:num>
  <w:num w:numId="21" w16cid:durableId="1600945672">
    <w:abstractNumId w:val="32"/>
  </w:num>
  <w:num w:numId="22" w16cid:durableId="1854226116">
    <w:abstractNumId w:val="2"/>
  </w:num>
  <w:num w:numId="23" w16cid:durableId="589317499">
    <w:abstractNumId w:val="18"/>
  </w:num>
  <w:num w:numId="24" w16cid:durableId="13963419">
    <w:abstractNumId w:val="21"/>
  </w:num>
  <w:num w:numId="25" w16cid:durableId="1782990602">
    <w:abstractNumId w:val="19"/>
  </w:num>
  <w:num w:numId="26" w16cid:durableId="1811169800">
    <w:abstractNumId w:val="13"/>
  </w:num>
  <w:num w:numId="27" w16cid:durableId="770508670">
    <w:abstractNumId w:val="23"/>
  </w:num>
  <w:num w:numId="28" w16cid:durableId="1631092538">
    <w:abstractNumId w:val="9"/>
  </w:num>
  <w:num w:numId="29" w16cid:durableId="1367099332">
    <w:abstractNumId w:val="8"/>
  </w:num>
  <w:num w:numId="30" w16cid:durableId="1231188699">
    <w:abstractNumId w:val="7"/>
  </w:num>
  <w:num w:numId="31" w16cid:durableId="1202285303">
    <w:abstractNumId w:val="3"/>
  </w:num>
  <w:num w:numId="32" w16cid:durableId="10319548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58721"/>
  </w:hdrShapeDefaults>
  <w:footnotePr>
    <w:footnote w:id="-1"/>
    <w:footnote w:id="0"/>
  </w:footnotePr>
  <w:endnotePr>
    <w:endnote w:id="-1"/>
    <w:endnote w:id="0"/>
  </w:endnotePr>
  <w:compat>
    <w:usePrinterMetrics/>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22D99"/>
    <w:rsid w:val="00023094"/>
    <w:rsid w:val="0003176A"/>
    <w:rsid w:val="00032B00"/>
    <w:rsid w:val="000339D4"/>
    <w:rsid w:val="00033A20"/>
    <w:rsid w:val="000358A1"/>
    <w:rsid w:val="000366D7"/>
    <w:rsid w:val="0003789B"/>
    <w:rsid w:val="00040832"/>
    <w:rsid w:val="000427DA"/>
    <w:rsid w:val="00042DFE"/>
    <w:rsid w:val="00043496"/>
    <w:rsid w:val="00044E0D"/>
    <w:rsid w:val="00051D85"/>
    <w:rsid w:val="000530F1"/>
    <w:rsid w:val="00053401"/>
    <w:rsid w:val="000560CC"/>
    <w:rsid w:val="00057077"/>
    <w:rsid w:val="00061E96"/>
    <w:rsid w:val="00062765"/>
    <w:rsid w:val="00063B70"/>
    <w:rsid w:val="00070187"/>
    <w:rsid w:val="000701F2"/>
    <w:rsid w:val="00070FF1"/>
    <w:rsid w:val="00071FDC"/>
    <w:rsid w:val="000728CB"/>
    <w:rsid w:val="00072FCD"/>
    <w:rsid w:val="000751CA"/>
    <w:rsid w:val="0008054B"/>
    <w:rsid w:val="000824EE"/>
    <w:rsid w:val="0008449C"/>
    <w:rsid w:val="00086958"/>
    <w:rsid w:val="00087224"/>
    <w:rsid w:val="00090FC9"/>
    <w:rsid w:val="000934C6"/>
    <w:rsid w:val="000A20B7"/>
    <w:rsid w:val="000B121C"/>
    <w:rsid w:val="000B4FE6"/>
    <w:rsid w:val="000B6C51"/>
    <w:rsid w:val="000B7416"/>
    <w:rsid w:val="000C2BAA"/>
    <w:rsid w:val="000C2FFF"/>
    <w:rsid w:val="000C31E3"/>
    <w:rsid w:val="000C55F2"/>
    <w:rsid w:val="000D35DA"/>
    <w:rsid w:val="000D3BFD"/>
    <w:rsid w:val="000D3DA8"/>
    <w:rsid w:val="000D53C4"/>
    <w:rsid w:val="000E001E"/>
    <w:rsid w:val="000E35A3"/>
    <w:rsid w:val="000E4CB1"/>
    <w:rsid w:val="000F206E"/>
    <w:rsid w:val="000F2887"/>
    <w:rsid w:val="000F5076"/>
    <w:rsid w:val="00101CF7"/>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5D7E"/>
    <w:rsid w:val="00186098"/>
    <w:rsid w:val="00187039"/>
    <w:rsid w:val="001874DD"/>
    <w:rsid w:val="001930F1"/>
    <w:rsid w:val="001A1F99"/>
    <w:rsid w:val="001A5C4D"/>
    <w:rsid w:val="001C336C"/>
    <w:rsid w:val="001C7238"/>
    <w:rsid w:val="001C7559"/>
    <w:rsid w:val="001C7D7B"/>
    <w:rsid w:val="001D1474"/>
    <w:rsid w:val="001D1A9D"/>
    <w:rsid w:val="001D65C2"/>
    <w:rsid w:val="001E092F"/>
    <w:rsid w:val="001E0EC6"/>
    <w:rsid w:val="001E1D6E"/>
    <w:rsid w:val="001E1F77"/>
    <w:rsid w:val="001E201E"/>
    <w:rsid w:val="001E254A"/>
    <w:rsid w:val="001E26E5"/>
    <w:rsid w:val="001E6E0A"/>
    <w:rsid w:val="001F0D5E"/>
    <w:rsid w:val="001F1AD0"/>
    <w:rsid w:val="001F1B16"/>
    <w:rsid w:val="001F2638"/>
    <w:rsid w:val="001F27DE"/>
    <w:rsid w:val="0020418E"/>
    <w:rsid w:val="00205E35"/>
    <w:rsid w:val="00207D06"/>
    <w:rsid w:val="00212B1D"/>
    <w:rsid w:val="00213A97"/>
    <w:rsid w:val="0021555F"/>
    <w:rsid w:val="00221C38"/>
    <w:rsid w:val="002250E9"/>
    <w:rsid w:val="00226B14"/>
    <w:rsid w:val="0023063F"/>
    <w:rsid w:val="00232A40"/>
    <w:rsid w:val="00234418"/>
    <w:rsid w:val="0024276B"/>
    <w:rsid w:val="00243E49"/>
    <w:rsid w:val="002475FF"/>
    <w:rsid w:val="00247C14"/>
    <w:rsid w:val="002506DE"/>
    <w:rsid w:val="002520A5"/>
    <w:rsid w:val="0025367F"/>
    <w:rsid w:val="00256345"/>
    <w:rsid w:val="00257023"/>
    <w:rsid w:val="0025728B"/>
    <w:rsid w:val="00264115"/>
    <w:rsid w:val="002646BE"/>
    <w:rsid w:val="00266806"/>
    <w:rsid w:val="00266E92"/>
    <w:rsid w:val="002747C3"/>
    <w:rsid w:val="00290792"/>
    <w:rsid w:val="0029133D"/>
    <w:rsid w:val="002913CC"/>
    <w:rsid w:val="00295E15"/>
    <w:rsid w:val="002964A5"/>
    <w:rsid w:val="002972D0"/>
    <w:rsid w:val="002A34D3"/>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9DD"/>
    <w:rsid w:val="002E04CE"/>
    <w:rsid w:val="002E25DF"/>
    <w:rsid w:val="002E4657"/>
    <w:rsid w:val="002E755C"/>
    <w:rsid w:val="002F1723"/>
    <w:rsid w:val="002F4E6C"/>
    <w:rsid w:val="002F56E6"/>
    <w:rsid w:val="00302E94"/>
    <w:rsid w:val="00302F63"/>
    <w:rsid w:val="003110FE"/>
    <w:rsid w:val="00315232"/>
    <w:rsid w:val="00315FD3"/>
    <w:rsid w:val="003214BF"/>
    <w:rsid w:val="00322D9F"/>
    <w:rsid w:val="003246DC"/>
    <w:rsid w:val="00326294"/>
    <w:rsid w:val="00334324"/>
    <w:rsid w:val="00336848"/>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B6D34"/>
    <w:rsid w:val="003C141F"/>
    <w:rsid w:val="003C220B"/>
    <w:rsid w:val="003D1F31"/>
    <w:rsid w:val="003D30A3"/>
    <w:rsid w:val="003D6395"/>
    <w:rsid w:val="003E1845"/>
    <w:rsid w:val="003E1A9F"/>
    <w:rsid w:val="003E5714"/>
    <w:rsid w:val="003E60FF"/>
    <w:rsid w:val="003F4EF2"/>
    <w:rsid w:val="003F517E"/>
    <w:rsid w:val="004005B3"/>
    <w:rsid w:val="004050DA"/>
    <w:rsid w:val="004115B2"/>
    <w:rsid w:val="004212EA"/>
    <w:rsid w:val="0042392E"/>
    <w:rsid w:val="00424BB8"/>
    <w:rsid w:val="004302AD"/>
    <w:rsid w:val="00431188"/>
    <w:rsid w:val="004318A8"/>
    <w:rsid w:val="00433C9F"/>
    <w:rsid w:val="0043610E"/>
    <w:rsid w:val="00440E53"/>
    <w:rsid w:val="00442465"/>
    <w:rsid w:val="004443F8"/>
    <w:rsid w:val="004447AD"/>
    <w:rsid w:val="0044635D"/>
    <w:rsid w:val="00446C2A"/>
    <w:rsid w:val="00451C15"/>
    <w:rsid w:val="0045347B"/>
    <w:rsid w:val="004540D9"/>
    <w:rsid w:val="004659F6"/>
    <w:rsid w:val="004701B3"/>
    <w:rsid w:val="0047146D"/>
    <w:rsid w:val="0048291C"/>
    <w:rsid w:val="00483151"/>
    <w:rsid w:val="00485444"/>
    <w:rsid w:val="004953D9"/>
    <w:rsid w:val="00497C38"/>
    <w:rsid w:val="004A4E5A"/>
    <w:rsid w:val="004A4E88"/>
    <w:rsid w:val="004B0905"/>
    <w:rsid w:val="004B1F05"/>
    <w:rsid w:val="004B7527"/>
    <w:rsid w:val="004B7C2F"/>
    <w:rsid w:val="004C6B71"/>
    <w:rsid w:val="004D47B4"/>
    <w:rsid w:val="004D4E2C"/>
    <w:rsid w:val="004D6B3C"/>
    <w:rsid w:val="004E00C9"/>
    <w:rsid w:val="004E0A9B"/>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26967"/>
    <w:rsid w:val="0053254F"/>
    <w:rsid w:val="00533BD1"/>
    <w:rsid w:val="0053526F"/>
    <w:rsid w:val="0053793A"/>
    <w:rsid w:val="00542C5C"/>
    <w:rsid w:val="0054319A"/>
    <w:rsid w:val="00545963"/>
    <w:rsid w:val="00547AF0"/>
    <w:rsid w:val="00552C6E"/>
    <w:rsid w:val="00556095"/>
    <w:rsid w:val="005564B9"/>
    <w:rsid w:val="005605EB"/>
    <w:rsid w:val="00560679"/>
    <w:rsid w:val="0056134C"/>
    <w:rsid w:val="00563D8D"/>
    <w:rsid w:val="0056586F"/>
    <w:rsid w:val="005721D6"/>
    <w:rsid w:val="00573139"/>
    <w:rsid w:val="005765C2"/>
    <w:rsid w:val="0058059B"/>
    <w:rsid w:val="0058169D"/>
    <w:rsid w:val="005832D0"/>
    <w:rsid w:val="00584668"/>
    <w:rsid w:val="00586E35"/>
    <w:rsid w:val="0059045F"/>
    <w:rsid w:val="00592761"/>
    <w:rsid w:val="005936BC"/>
    <w:rsid w:val="00593F85"/>
    <w:rsid w:val="005A2780"/>
    <w:rsid w:val="005A4325"/>
    <w:rsid w:val="005A4501"/>
    <w:rsid w:val="005A46E9"/>
    <w:rsid w:val="005A65C7"/>
    <w:rsid w:val="005B17CD"/>
    <w:rsid w:val="005B2188"/>
    <w:rsid w:val="005B5044"/>
    <w:rsid w:val="005C0DEE"/>
    <w:rsid w:val="005C16CF"/>
    <w:rsid w:val="005C181B"/>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5ABD"/>
    <w:rsid w:val="00607ADB"/>
    <w:rsid w:val="006106D7"/>
    <w:rsid w:val="006113A8"/>
    <w:rsid w:val="00613710"/>
    <w:rsid w:val="00614005"/>
    <w:rsid w:val="006150FE"/>
    <w:rsid w:val="00616791"/>
    <w:rsid w:val="0062188E"/>
    <w:rsid w:val="00624C89"/>
    <w:rsid w:val="00626AE0"/>
    <w:rsid w:val="00626F72"/>
    <w:rsid w:val="0063324F"/>
    <w:rsid w:val="00636C8E"/>
    <w:rsid w:val="00640C03"/>
    <w:rsid w:val="00641D33"/>
    <w:rsid w:val="00641E20"/>
    <w:rsid w:val="00643046"/>
    <w:rsid w:val="006457F0"/>
    <w:rsid w:val="00650EA1"/>
    <w:rsid w:val="00661D04"/>
    <w:rsid w:val="0066296E"/>
    <w:rsid w:val="0066526D"/>
    <w:rsid w:val="00666F23"/>
    <w:rsid w:val="00667EB7"/>
    <w:rsid w:val="00671478"/>
    <w:rsid w:val="00672AD3"/>
    <w:rsid w:val="006863E0"/>
    <w:rsid w:val="006917DF"/>
    <w:rsid w:val="00694695"/>
    <w:rsid w:val="0069473B"/>
    <w:rsid w:val="0069567A"/>
    <w:rsid w:val="006A3247"/>
    <w:rsid w:val="006A554E"/>
    <w:rsid w:val="006A55E9"/>
    <w:rsid w:val="006B1997"/>
    <w:rsid w:val="006B2ECD"/>
    <w:rsid w:val="006B4D7E"/>
    <w:rsid w:val="006B5DEE"/>
    <w:rsid w:val="006B7FF1"/>
    <w:rsid w:val="006C0B5F"/>
    <w:rsid w:val="006C3EA2"/>
    <w:rsid w:val="006C5CAB"/>
    <w:rsid w:val="006C7400"/>
    <w:rsid w:val="006C7534"/>
    <w:rsid w:val="006D2B0D"/>
    <w:rsid w:val="006D34F6"/>
    <w:rsid w:val="006D388F"/>
    <w:rsid w:val="006D4356"/>
    <w:rsid w:val="006D5617"/>
    <w:rsid w:val="006D7813"/>
    <w:rsid w:val="006D7C0C"/>
    <w:rsid w:val="006E0249"/>
    <w:rsid w:val="006E5280"/>
    <w:rsid w:val="006F4931"/>
    <w:rsid w:val="006F6D30"/>
    <w:rsid w:val="00700A01"/>
    <w:rsid w:val="00700C7A"/>
    <w:rsid w:val="007010AA"/>
    <w:rsid w:val="007021C2"/>
    <w:rsid w:val="007076ED"/>
    <w:rsid w:val="00713272"/>
    <w:rsid w:val="00715864"/>
    <w:rsid w:val="00717ABD"/>
    <w:rsid w:val="0072097E"/>
    <w:rsid w:val="00723D0E"/>
    <w:rsid w:val="00725281"/>
    <w:rsid w:val="007259AD"/>
    <w:rsid w:val="00730322"/>
    <w:rsid w:val="00730A8A"/>
    <w:rsid w:val="00730FB1"/>
    <w:rsid w:val="00733D06"/>
    <w:rsid w:val="00734BEE"/>
    <w:rsid w:val="007375EA"/>
    <w:rsid w:val="0074334B"/>
    <w:rsid w:val="00743BBC"/>
    <w:rsid w:val="00745C7C"/>
    <w:rsid w:val="00745D2F"/>
    <w:rsid w:val="007466A6"/>
    <w:rsid w:val="00751FA6"/>
    <w:rsid w:val="007563C0"/>
    <w:rsid w:val="00756C42"/>
    <w:rsid w:val="007610A3"/>
    <w:rsid w:val="00762152"/>
    <w:rsid w:val="00771843"/>
    <w:rsid w:val="00772747"/>
    <w:rsid w:val="00773AC9"/>
    <w:rsid w:val="00776C00"/>
    <w:rsid w:val="007832C5"/>
    <w:rsid w:val="00783B6A"/>
    <w:rsid w:val="007906CE"/>
    <w:rsid w:val="00791488"/>
    <w:rsid w:val="00793229"/>
    <w:rsid w:val="00793B77"/>
    <w:rsid w:val="00794625"/>
    <w:rsid w:val="00797DB2"/>
    <w:rsid w:val="007A420A"/>
    <w:rsid w:val="007B1229"/>
    <w:rsid w:val="007B3A3F"/>
    <w:rsid w:val="007B4E02"/>
    <w:rsid w:val="007B65F1"/>
    <w:rsid w:val="007C72E0"/>
    <w:rsid w:val="007C768D"/>
    <w:rsid w:val="007C7AD1"/>
    <w:rsid w:val="007C7F72"/>
    <w:rsid w:val="007D1F16"/>
    <w:rsid w:val="007D4ACE"/>
    <w:rsid w:val="007D6530"/>
    <w:rsid w:val="007E6654"/>
    <w:rsid w:val="007F1A4B"/>
    <w:rsid w:val="007F596D"/>
    <w:rsid w:val="00800A10"/>
    <w:rsid w:val="008041B6"/>
    <w:rsid w:val="00805B43"/>
    <w:rsid w:val="008061CE"/>
    <w:rsid w:val="00810A62"/>
    <w:rsid w:val="00814CB1"/>
    <w:rsid w:val="00815A56"/>
    <w:rsid w:val="00823508"/>
    <w:rsid w:val="00826611"/>
    <w:rsid w:val="008307D8"/>
    <w:rsid w:val="00842AE9"/>
    <w:rsid w:val="008452E6"/>
    <w:rsid w:val="008467F0"/>
    <w:rsid w:val="00847302"/>
    <w:rsid w:val="00850711"/>
    <w:rsid w:val="00852B62"/>
    <w:rsid w:val="008570F7"/>
    <w:rsid w:val="008606ED"/>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222F"/>
    <w:rsid w:val="008F23BB"/>
    <w:rsid w:val="008F72C6"/>
    <w:rsid w:val="00902E5B"/>
    <w:rsid w:val="009076FD"/>
    <w:rsid w:val="0090799D"/>
    <w:rsid w:val="009104C5"/>
    <w:rsid w:val="00911BE8"/>
    <w:rsid w:val="00913350"/>
    <w:rsid w:val="009134C2"/>
    <w:rsid w:val="00914A87"/>
    <w:rsid w:val="00915D8C"/>
    <w:rsid w:val="009207C4"/>
    <w:rsid w:val="00920D3E"/>
    <w:rsid w:val="00921CFD"/>
    <w:rsid w:val="00926917"/>
    <w:rsid w:val="00930CB7"/>
    <w:rsid w:val="0093430F"/>
    <w:rsid w:val="00937BFD"/>
    <w:rsid w:val="00941403"/>
    <w:rsid w:val="0094153E"/>
    <w:rsid w:val="009416B7"/>
    <w:rsid w:val="009506A0"/>
    <w:rsid w:val="00953EE9"/>
    <w:rsid w:val="00954E4A"/>
    <w:rsid w:val="0095583E"/>
    <w:rsid w:val="009642E7"/>
    <w:rsid w:val="00972A66"/>
    <w:rsid w:val="009740B0"/>
    <w:rsid w:val="00976498"/>
    <w:rsid w:val="0097783A"/>
    <w:rsid w:val="00980511"/>
    <w:rsid w:val="009830C1"/>
    <w:rsid w:val="00984184"/>
    <w:rsid w:val="00986D80"/>
    <w:rsid w:val="009919AE"/>
    <w:rsid w:val="00993B69"/>
    <w:rsid w:val="00995043"/>
    <w:rsid w:val="00995C32"/>
    <w:rsid w:val="00995D7A"/>
    <w:rsid w:val="009A1B63"/>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A01755"/>
    <w:rsid w:val="00A02D95"/>
    <w:rsid w:val="00A1628E"/>
    <w:rsid w:val="00A16548"/>
    <w:rsid w:val="00A16DA4"/>
    <w:rsid w:val="00A20EF8"/>
    <w:rsid w:val="00A246DB"/>
    <w:rsid w:val="00A269E4"/>
    <w:rsid w:val="00A26DE5"/>
    <w:rsid w:val="00A34057"/>
    <w:rsid w:val="00A35342"/>
    <w:rsid w:val="00A35376"/>
    <w:rsid w:val="00A4059B"/>
    <w:rsid w:val="00A41141"/>
    <w:rsid w:val="00A41318"/>
    <w:rsid w:val="00A4220F"/>
    <w:rsid w:val="00A44781"/>
    <w:rsid w:val="00A44DBA"/>
    <w:rsid w:val="00A45F47"/>
    <w:rsid w:val="00A51690"/>
    <w:rsid w:val="00A52BB8"/>
    <w:rsid w:val="00A55104"/>
    <w:rsid w:val="00A57E03"/>
    <w:rsid w:val="00A620A0"/>
    <w:rsid w:val="00A70114"/>
    <w:rsid w:val="00A704E2"/>
    <w:rsid w:val="00A73B34"/>
    <w:rsid w:val="00A76782"/>
    <w:rsid w:val="00A770BA"/>
    <w:rsid w:val="00A80118"/>
    <w:rsid w:val="00A818D6"/>
    <w:rsid w:val="00A85F06"/>
    <w:rsid w:val="00A9070E"/>
    <w:rsid w:val="00A91FA0"/>
    <w:rsid w:val="00A960A2"/>
    <w:rsid w:val="00AA11F3"/>
    <w:rsid w:val="00AA1C67"/>
    <w:rsid w:val="00AA56AE"/>
    <w:rsid w:val="00AA6916"/>
    <w:rsid w:val="00AA78BD"/>
    <w:rsid w:val="00AB1331"/>
    <w:rsid w:val="00AC36DB"/>
    <w:rsid w:val="00AC6478"/>
    <w:rsid w:val="00AC6B40"/>
    <w:rsid w:val="00AD5AAD"/>
    <w:rsid w:val="00AD5D77"/>
    <w:rsid w:val="00AD5E8B"/>
    <w:rsid w:val="00AE5181"/>
    <w:rsid w:val="00AF2752"/>
    <w:rsid w:val="00AF4331"/>
    <w:rsid w:val="00B00173"/>
    <w:rsid w:val="00B0047A"/>
    <w:rsid w:val="00B055EB"/>
    <w:rsid w:val="00B06333"/>
    <w:rsid w:val="00B14DFC"/>
    <w:rsid w:val="00B15A6C"/>
    <w:rsid w:val="00B205DD"/>
    <w:rsid w:val="00B244FD"/>
    <w:rsid w:val="00B252A4"/>
    <w:rsid w:val="00B335C2"/>
    <w:rsid w:val="00B361C1"/>
    <w:rsid w:val="00B41F1A"/>
    <w:rsid w:val="00B43557"/>
    <w:rsid w:val="00B51AFB"/>
    <w:rsid w:val="00B52723"/>
    <w:rsid w:val="00B53842"/>
    <w:rsid w:val="00B547BD"/>
    <w:rsid w:val="00B54D21"/>
    <w:rsid w:val="00B62AF4"/>
    <w:rsid w:val="00B638D8"/>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B7E02"/>
    <w:rsid w:val="00BC0138"/>
    <w:rsid w:val="00BC45AB"/>
    <w:rsid w:val="00BC770C"/>
    <w:rsid w:val="00BD19DE"/>
    <w:rsid w:val="00BD49B1"/>
    <w:rsid w:val="00BD5D99"/>
    <w:rsid w:val="00BD6DF6"/>
    <w:rsid w:val="00BD7993"/>
    <w:rsid w:val="00BE1926"/>
    <w:rsid w:val="00BE49C2"/>
    <w:rsid w:val="00BE4E90"/>
    <w:rsid w:val="00BE5213"/>
    <w:rsid w:val="00BF0B6E"/>
    <w:rsid w:val="00BF3B0E"/>
    <w:rsid w:val="00BF3FA6"/>
    <w:rsid w:val="00BF4191"/>
    <w:rsid w:val="00BF49EF"/>
    <w:rsid w:val="00BF5A7C"/>
    <w:rsid w:val="00C0316C"/>
    <w:rsid w:val="00C1182E"/>
    <w:rsid w:val="00C2247A"/>
    <w:rsid w:val="00C233EC"/>
    <w:rsid w:val="00C238A2"/>
    <w:rsid w:val="00C23B3C"/>
    <w:rsid w:val="00C40236"/>
    <w:rsid w:val="00C43DB0"/>
    <w:rsid w:val="00C44833"/>
    <w:rsid w:val="00C45887"/>
    <w:rsid w:val="00C521B2"/>
    <w:rsid w:val="00C525EA"/>
    <w:rsid w:val="00C5294E"/>
    <w:rsid w:val="00C559EF"/>
    <w:rsid w:val="00C60BA7"/>
    <w:rsid w:val="00C630E7"/>
    <w:rsid w:val="00C66262"/>
    <w:rsid w:val="00C669A0"/>
    <w:rsid w:val="00C70B9B"/>
    <w:rsid w:val="00C71B92"/>
    <w:rsid w:val="00C73B43"/>
    <w:rsid w:val="00C82886"/>
    <w:rsid w:val="00C85171"/>
    <w:rsid w:val="00C86FEE"/>
    <w:rsid w:val="00C9016E"/>
    <w:rsid w:val="00C901C5"/>
    <w:rsid w:val="00C908C5"/>
    <w:rsid w:val="00C92B67"/>
    <w:rsid w:val="00C951BF"/>
    <w:rsid w:val="00C9543A"/>
    <w:rsid w:val="00CA0717"/>
    <w:rsid w:val="00CA1710"/>
    <w:rsid w:val="00CA272D"/>
    <w:rsid w:val="00CA4CA5"/>
    <w:rsid w:val="00CA4CD2"/>
    <w:rsid w:val="00CA4FB7"/>
    <w:rsid w:val="00CA58E8"/>
    <w:rsid w:val="00CA7A74"/>
    <w:rsid w:val="00CB06F5"/>
    <w:rsid w:val="00CB171A"/>
    <w:rsid w:val="00CB1A8F"/>
    <w:rsid w:val="00CB33D5"/>
    <w:rsid w:val="00CB68CD"/>
    <w:rsid w:val="00CC01E9"/>
    <w:rsid w:val="00CC0EFD"/>
    <w:rsid w:val="00CC21AC"/>
    <w:rsid w:val="00CD03CC"/>
    <w:rsid w:val="00CD0528"/>
    <w:rsid w:val="00CD1EE0"/>
    <w:rsid w:val="00CD682B"/>
    <w:rsid w:val="00CE2938"/>
    <w:rsid w:val="00CE32C4"/>
    <w:rsid w:val="00CE6163"/>
    <w:rsid w:val="00CF0319"/>
    <w:rsid w:val="00CF287E"/>
    <w:rsid w:val="00CF41D3"/>
    <w:rsid w:val="00CF45E8"/>
    <w:rsid w:val="00CF7A74"/>
    <w:rsid w:val="00D0207A"/>
    <w:rsid w:val="00D02B78"/>
    <w:rsid w:val="00D04871"/>
    <w:rsid w:val="00D05621"/>
    <w:rsid w:val="00D12BE1"/>
    <w:rsid w:val="00D142D3"/>
    <w:rsid w:val="00D21E68"/>
    <w:rsid w:val="00D249D3"/>
    <w:rsid w:val="00D3048F"/>
    <w:rsid w:val="00D3120D"/>
    <w:rsid w:val="00D32B0A"/>
    <w:rsid w:val="00D37A43"/>
    <w:rsid w:val="00D40487"/>
    <w:rsid w:val="00D407EA"/>
    <w:rsid w:val="00D47B33"/>
    <w:rsid w:val="00D50C2E"/>
    <w:rsid w:val="00D53A57"/>
    <w:rsid w:val="00D54561"/>
    <w:rsid w:val="00D61993"/>
    <w:rsid w:val="00D622CD"/>
    <w:rsid w:val="00D70A35"/>
    <w:rsid w:val="00D72E94"/>
    <w:rsid w:val="00D7349B"/>
    <w:rsid w:val="00D737B0"/>
    <w:rsid w:val="00D75B02"/>
    <w:rsid w:val="00D80DAF"/>
    <w:rsid w:val="00D81A23"/>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50B"/>
    <w:rsid w:val="00E11F30"/>
    <w:rsid w:val="00E12AE7"/>
    <w:rsid w:val="00E14A80"/>
    <w:rsid w:val="00E14A81"/>
    <w:rsid w:val="00E16271"/>
    <w:rsid w:val="00E17A8F"/>
    <w:rsid w:val="00E211BE"/>
    <w:rsid w:val="00E21237"/>
    <w:rsid w:val="00E21725"/>
    <w:rsid w:val="00E22DA5"/>
    <w:rsid w:val="00E2659C"/>
    <w:rsid w:val="00E31425"/>
    <w:rsid w:val="00E33812"/>
    <w:rsid w:val="00E341BA"/>
    <w:rsid w:val="00E351AC"/>
    <w:rsid w:val="00E37C96"/>
    <w:rsid w:val="00E40020"/>
    <w:rsid w:val="00E41ECD"/>
    <w:rsid w:val="00E44E44"/>
    <w:rsid w:val="00E4579B"/>
    <w:rsid w:val="00E46A71"/>
    <w:rsid w:val="00E5655A"/>
    <w:rsid w:val="00E57490"/>
    <w:rsid w:val="00E622C1"/>
    <w:rsid w:val="00E6405E"/>
    <w:rsid w:val="00E75AAC"/>
    <w:rsid w:val="00E82C1F"/>
    <w:rsid w:val="00E85CDC"/>
    <w:rsid w:val="00E86B52"/>
    <w:rsid w:val="00E91100"/>
    <w:rsid w:val="00E9449B"/>
    <w:rsid w:val="00E94DB2"/>
    <w:rsid w:val="00E9510C"/>
    <w:rsid w:val="00EA1229"/>
    <w:rsid w:val="00EA2398"/>
    <w:rsid w:val="00EA24C0"/>
    <w:rsid w:val="00EA397C"/>
    <w:rsid w:val="00EA6062"/>
    <w:rsid w:val="00EA624B"/>
    <w:rsid w:val="00EB033F"/>
    <w:rsid w:val="00EB0B15"/>
    <w:rsid w:val="00EB1C81"/>
    <w:rsid w:val="00EB31C1"/>
    <w:rsid w:val="00EB6A4A"/>
    <w:rsid w:val="00EC44AB"/>
    <w:rsid w:val="00EC71E0"/>
    <w:rsid w:val="00ED0F93"/>
    <w:rsid w:val="00ED174C"/>
    <w:rsid w:val="00ED3BE3"/>
    <w:rsid w:val="00ED4FB8"/>
    <w:rsid w:val="00EE1FA1"/>
    <w:rsid w:val="00EE27A8"/>
    <w:rsid w:val="00EE2D30"/>
    <w:rsid w:val="00EE398A"/>
    <w:rsid w:val="00EF2238"/>
    <w:rsid w:val="00EF293C"/>
    <w:rsid w:val="00EF3B57"/>
    <w:rsid w:val="00F010C3"/>
    <w:rsid w:val="00F0430A"/>
    <w:rsid w:val="00F109A6"/>
    <w:rsid w:val="00F124E9"/>
    <w:rsid w:val="00F2372F"/>
    <w:rsid w:val="00F23CF9"/>
    <w:rsid w:val="00F24B3C"/>
    <w:rsid w:val="00F25DA2"/>
    <w:rsid w:val="00F2778F"/>
    <w:rsid w:val="00F36D6F"/>
    <w:rsid w:val="00F37A08"/>
    <w:rsid w:val="00F40967"/>
    <w:rsid w:val="00F413A3"/>
    <w:rsid w:val="00F4720D"/>
    <w:rsid w:val="00F50685"/>
    <w:rsid w:val="00F50FE4"/>
    <w:rsid w:val="00F521BE"/>
    <w:rsid w:val="00F6276B"/>
    <w:rsid w:val="00F6376F"/>
    <w:rsid w:val="00F65C56"/>
    <w:rsid w:val="00F66030"/>
    <w:rsid w:val="00F662B1"/>
    <w:rsid w:val="00F6781F"/>
    <w:rsid w:val="00F74077"/>
    <w:rsid w:val="00F74459"/>
    <w:rsid w:val="00F74592"/>
    <w:rsid w:val="00F8178E"/>
    <w:rsid w:val="00F85EAD"/>
    <w:rsid w:val="00F866D0"/>
    <w:rsid w:val="00F90F24"/>
    <w:rsid w:val="00FA1B9F"/>
    <w:rsid w:val="00FA1FF7"/>
    <w:rsid w:val="00FA2B01"/>
    <w:rsid w:val="00FA3936"/>
    <w:rsid w:val="00FA48C9"/>
    <w:rsid w:val="00FB394E"/>
    <w:rsid w:val="00FB3CD6"/>
    <w:rsid w:val="00FB6E53"/>
    <w:rsid w:val="00FC06C6"/>
    <w:rsid w:val="00FC1331"/>
    <w:rsid w:val="00FD18A9"/>
    <w:rsid w:val="00FD2EAF"/>
    <w:rsid w:val="00FD3BE1"/>
    <w:rsid w:val="00FD3EF1"/>
    <w:rsid w:val="00FD75C5"/>
    <w:rsid w:val="00FD7744"/>
    <w:rsid w:val="00FE3698"/>
    <w:rsid w:val="00FE3A04"/>
    <w:rsid w:val="00FE40FD"/>
    <w:rsid w:val="00FE6E94"/>
    <w:rsid w:val="00FF2E73"/>
    <w:rsid w:val="00FF3E7F"/>
    <w:rsid w:val="00FF7112"/>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6DCE0A1E"/>
  <w15:docId w15:val="{50A8AAAE-6A3F-4BB6-A6AE-69474B2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E94"/>
    <w:pPr>
      <w:spacing w:after="240"/>
      <w:jc w:val="both"/>
    </w:pPr>
    <w:rPr>
      <w:sz w:val="24"/>
    </w:rPr>
  </w:style>
  <w:style w:type="paragraph" w:styleId="Titre1">
    <w:name w:val="heading 1"/>
    <w:basedOn w:val="Normal"/>
    <w:next w:val="Text1"/>
    <w:link w:val="Titre1Car"/>
    <w:qFormat/>
    <w:pPr>
      <w:keepNext/>
      <w:numPr>
        <w:numId w:val="1"/>
      </w:numPr>
      <w:tabs>
        <w:tab w:val="clear" w:pos="480"/>
      </w:tabs>
      <w:spacing w:before="240"/>
      <w:ind w:left="482" w:hanging="482"/>
      <w:outlineLvl w:val="0"/>
    </w:pPr>
    <w:rPr>
      <w:b/>
      <w:smallCaps/>
      <w:kern w:val="28"/>
    </w:rPr>
  </w:style>
  <w:style w:type="paragraph" w:styleId="Titre2">
    <w:name w:val="heading 2"/>
    <w:basedOn w:val="Normal"/>
    <w:next w:val="Text2"/>
    <w:qFormat/>
    <w:pPr>
      <w:keepNext/>
      <w:numPr>
        <w:ilvl w:val="1"/>
        <w:numId w:val="1"/>
      </w:numPr>
      <w:tabs>
        <w:tab w:val="clear" w:pos="1200"/>
      </w:tabs>
      <w:ind w:left="1202"/>
      <w:outlineLvl w:val="1"/>
    </w:pPr>
    <w:rPr>
      <w:b/>
    </w:rPr>
  </w:style>
  <w:style w:type="paragraph" w:styleId="Titre3">
    <w:name w:val="heading 3"/>
    <w:basedOn w:val="Normal"/>
    <w:next w:val="Text3"/>
    <w:qFormat/>
    <w:pPr>
      <w:keepNext/>
      <w:numPr>
        <w:ilvl w:val="2"/>
        <w:numId w:val="1"/>
      </w:numPr>
      <w:tabs>
        <w:tab w:val="clear" w:pos="1920"/>
      </w:tabs>
      <w:ind w:left="1984" w:hanging="782"/>
      <w:outlineLvl w:val="2"/>
    </w:pPr>
    <w:rPr>
      <w:i/>
    </w:rPr>
  </w:style>
  <w:style w:type="paragraph" w:styleId="Titre4">
    <w:name w:val="heading 4"/>
    <w:basedOn w:val="Normal"/>
    <w:next w:val="Text4"/>
    <w:qFormat/>
    <w:pPr>
      <w:keepNext/>
      <w:numPr>
        <w:ilvl w:val="3"/>
        <w:numId w:val="1"/>
      </w:numPr>
      <w:tabs>
        <w:tab w:val="clear" w:pos="1920"/>
      </w:tabs>
      <w:ind w:left="1984" w:hanging="782"/>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D81A23"/>
    <w:pPr>
      <w:spacing w:after="60"/>
      <w:ind w:left="142" w:hanging="142"/>
    </w:pPr>
    <w:rPr>
      <w:sz w:val="20"/>
    </w:rPr>
  </w:style>
  <w:style w:type="paragraph" w:styleId="En-tte">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0701F2"/>
    <w:pPr>
      <w:numPr>
        <w:numId w:val="6"/>
      </w:numPr>
    </w:pPr>
    <w:rPr>
      <w:lang w:eastAsia="en-US"/>
    </w:rPr>
  </w:style>
  <w:style w:type="paragraph" w:styleId="Listepuces2">
    <w:name w:val="List Bullet 2"/>
    <w:basedOn w:val="Text2"/>
    <w:rsid w:val="000701F2"/>
    <w:pPr>
      <w:numPr>
        <w:numId w:val="8"/>
      </w:numPr>
      <w:tabs>
        <w:tab w:val="clear" w:pos="2161"/>
      </w:tabs>
    </w:pPr>
    <w:rPr>
      <w:lang w:eastAsia="en-US"/>
    </w:rPr>
  </w:style>
  <w:style w:type="paragraph" w:styleId="Listepuces3">
    <w:name w:val="List Bullet 3"/>
    <w:basedOn w:val="Text3"/>
    <w:rsid w:val="000701F2"/>
    <w:pPr>
      <w:numPr>
        <w:numId w:val="9"/>
      </w:numPr>
      <w:tabs>
        <w:tab w:val="clear" w:pos="2302"/>
      </w:tabs>
    </w:pPr>
    <w:rPr>
      <w:lang w:eastAsia="en-US"/>
    </w:rPr>
  </w:style>
  <w:style w:type="paragraph" w:styleId="Listepuces4">
    <w:name w:val="List Bullet 4"/>
    <w:basedOn w:val="Text4"/>
    <w:rsid w:val="000701F2"/>
    <w:pPr>
      <w:numPr>
        <w:numId w:val="10"/>
      </w:numPr>
      <w:tabs>
        <w:tab w:val="clear" w:pos="2302"/>
      </w:tabs>
    </w:pPr>
    <w:rPr>
      <w:lang w:eastAsia="en-US"/>
    </w:rPr>
  </w:style>
  <w:style w:type="paragraph" w:styleId="Listepuces5">
    <w:name w:val="List Bullet 5"/>
    <w:basedOn w:val="Normal"/>
    <w:autoRedefine/>
    <w:pPr>
      <w:numPr>
        <w:numId w:val="2"/>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0701F2"/>
    <w:pPr>
      <w:numPr>
        <w:numId w:val="16"/>
      </w:numPr>
    </w:pPr>
    <w:rPr>
      <w:lang w:eastAsia="en-US"/>
    </w:rPr>
  </w:style>
  <w:style w:type="paragraph" w:styleId="Listenumros2">
    <w:name w:val="List Number 2"/>
    <w:basedOn w:val="Text2"/>
    <w:rsid w:val="000701F2"/>
    <w:pPr>
      <w:numPr>
        <w:numId w:val="18"/>
      </w:numPr>
      <w:tabs>
        <w:tab w:val="clear" w:pos="2161"/>
      </w:tabs>
    </w:pPr>
    <w:rPr>
      <w:lang w:eastAsia="en-US"/>
    </w:rPr>
  </w:style>
  <w:style w:type="paragraph" w:styleId="Listenumros3">
    <w:name w:val="List Number 3"/>
    <w:basedOn w:val="Text3"/>
    <w:rsid w:val="000701F2"/>
    <w:pPr>
      <w:numPr>
        <w:numId w:val="19"/>
      </w:numPr>
      <w:tabs>
        <w:tab w:val="clear" w:pos="2302"/>
      </w:tabs>
    </w:pPr>
    <w:rPr>
      <w:lang w:eastAsia="en-US"/>
    </w:rPr>
  </w:style>
  <w:style w:type="paragraph" w:styleId="Listenumros4">
    <w:name w:val="List Number 4"/>
    <w:basedOn w:val="Text4"/>
    <w:rsid w:val="000701F2"/>
    <w:pPr>
      <w:numPr>
        <w:numId w:val="20"/>
      </w:numPr>
      <w:tabs>
        <w:tab w:val="clear" w:pos="2302"/>
      </w:tabs>
    </w:pPr>
    <w:rPr>
      <w:lang w:eastAsia="en-US"/>
    </w:rPr>
  </w:style>
  <w:style w:type="paragraph" w:styleId="Listenumros5">
    <w:name w:val="List Number 5"/>
    <w:basedOn w:val="Normal"/>
    <w:pPr>
      <w:numPr>
        <w:numId w:val="3"/>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M2">
    <w:name w:val="toc 2"/>
    <w:basedOn w:val="Normal"/>
    <w:next w:val="Normal"/>
    <w:semiHidden/>
    <w:rsid w:val="00894E32"/>
    <w:pPr>
      <w:tabs>
        <w:tab w:val="right" w:leader="dot" w:pos="8640"/>
      </w:tabs>
      <w:spacing w:before="60" w:after="60"/>
      <w:ind w:left="1077" w:right="720" w:hanging="595"/>
    </w:pPr>
    <w:rPr>
      <w:lang w:eastAsia="en-US"/>
    </w:rPr>
  </w:style>
  <w:style w:type="paragraph" w:styleId="TM3">
    <w:name w:val="toc 3"/>
    <w:basedOn w:val="Normal"/>
    <w:next w:val="Normal"/>
    <w:semiHidden/>
    <w:rsid w:val="00894E32"/>
    <w:pPr>
      <w:tabs>
        <w:tab w:val="right" w:leader="dot" w:pos="8640"/>
      </w:tabs>
      <w:spacing w:before="60" w:after="60"/>
      <w:ind w:left="1916" w:right="720" w:hanging="839"/>
    </w:pPr>
    <w:rPr>
      <w:lang w:eastAsia="en-US"/>
    </w:rPr>
  </w:style>
  <w:style w:type="paragraph" w:styleId="TM4">
    <w:name w:val="toc 4"/>
    <w:basedOn w:val="Normal"/>
    <w:next w:val="Normal"/>
    <w:semiHidden/>
    <w:rsid w:val="00894E32"/>
    <w:pPr>
      <w:tabs>
        <w:tab w:val="right" w:leader="dot" w:pos="8641"/>
      </w:tabs>
      <w:spacing w:before="60" w:after="60"/>
      <w:ind w:left="2880" w:right="720" w:hanging="964"/>
    </w:pPr>
    <w:rPr>
      <w:lang w:eastAsia="en-US"/>
    </w:rPr>
  </w:style>
  <w:style w:type="paragraph" w:styleId="TM5">
    <w:name w:val="toc 5"/>
    <w:basedOn w:val="Normal"/>
    <w:next w:val="Normal"/>
    <w:semiHidden/>
    <w:rsid w:val="000701F2"/>
    <w:pPr>
      <w:tabs>
        <w:tab w:val="right" w:leader="dot" w:pos="8641"/>
      </w:tabs>
      <w:spacing w:before="240" w:after="120"/>
      <w:ind w:right="720"/>
    </w:pPr>
    <w:rPr>
      <w:caps/>
      <w:lang w:eastAsia="en-U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Titre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Lienhypertexte">
    <w:name w:val="Hyperlink"/>
    <w:uiPriority w:val="99"/>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En-ttedetabledesmatires">
    <w:name w:val="TOC Heading"/>
    <w:basedOn w:val="Normal"/>
    <w:next w:val="Normal"/>
    <w:qFormat/>
    <w:rsid w:val="000701F2"/>
    <w:pPr>
      <w:keepNext/>
      <w:spacing w:before="240"/>
      <w:jc w:val="center"/>
    </w:pPr>
    <w:rPr>
      <w:b/>
      <w:lang w:eastAsia="en-US"/>
    </w:rPr>
  </w:style>
  <w:style w:type="character" w:styleId="Lienhypertextesuivivisit">
    <w:name w:val="FollowedHyperlink"/>
    <w:rsid w:val="00AA6916"/>
    <w:rPr>
      <w:color w:val="606420"/>
      <w:u w:val="single"/>
    </w:rPr>
  </w:style>
  <w:style w:type="character" w:styleId="Marquedecommentaire">
    <w:name w:val="annotation reference"/>
    <w:rsid w:val="0037119C"/>
    <w:rPr>
      <w:sz w:val="16"/>
      <w:szCs w:val="16"/>
    </w:rPr>
  </w:style>
  <w:style w:type="paragraph" w:styleId="Objetducommentaire">
    <w:name w:val="annotation subject"/>
    <w:basedOn w:val="Commentaire"/>
    <w:next w:val="Commentaire"/>
    <w:semiHidden/>
    <w:rsid w:val="0037119C"/>
    <w:rPr>
      <w:b/>
      <w:bCs/>
    </w:rPr>
  </w:style>
  <w:style w:type="paragraph" w:styleId="Textedebulles">
    <w:name w:val="Balloon Text"/>
    <w:basedOn w:val="Normal"/>
    <w:semiHidden/>
    <w:rsid w:val="0037119C"/>
    <w:rPr>
      <w:rFonts w:ascii="Tahoma" w:hAnsi="Tahoma"/>
      <w:sz w:val="16"/>
      <w:szCs w:val="16"/>
    </w:rPr>
  </w:style>
  <w:style w:type="character" w:styleId="Accentuation">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fr-FR"/>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Titre1Car">
    <w:name w:val="Titre 1 Car"/>
    <w:link w:val="Titre1"/>
    <w:rsid w:val="00C233EC"/>
    <w:rPr>
      <w:b/>
      <w:smallCaps/>
      <w:kern w:val="28"/>
      <w:sz w:val="24"/>
    </w:rPr>
  </w:style>
  <w:style w:type="paragraph" w:customStyle="1" w:styleId="StyleListNumber11ptBold">
    <w:name w:val="Style List Number + 11 pt Bold"/>
    <w:basedOn w:val="Listenumros"/>
    <w:autoRedefine/>
    <w:rsid w:val="00954E4A"/>
    <w:pPr>
      <w:numPr>
        <w:numId w:val="0"/>
      </w:numPr>
      <w:spacing w:before="120" w:after="0"/>
    </w:pPr>
    <w:rPr>
      <w:b/>
      <w:bCs/>
      <w:sz w:val="14"/>
      <w:szCs w:val="1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aireCar">
    <w:name w:val="Commentaire Car"/>
    <w:link w:val="Commentaire"/>
    <w:uiPriority w:val="99"/>
    <w:semiHidden/>
    <w:rsid w:val="00F90F24"/>
  </w:style>
  <w:style w:type="paragraph" w:styleId="Rvision">
    <w:name w:val="Revision"/>
    <w:hidden/>
    <w:uiPriority w:val="99"/>
    <w:semiHidden/>
    <w:rsid w:val="00016DC6"/>
    <w:rPr>
      <w:sz w:val="24"/>
    </w:rPr>
  </w:style>
  <w:style w:type="paragraph" w:styleId="Paragraphedeliste">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D81A23"/>
  </w:style>
  <w:style w:type="paragraph" w:customStyle="1" w:styleId="Char2">
    <w:name w:val="Char2"/>
    <w:basedOn w:val="Normal"/>
    <w:link w:val="Appelnotedebasdep"/>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eastAsia="fr-BE"/>
    </w:rPr>
  </w:style>
  <w:style w:type="character" w:customStyle="1" w:styleId="eop">
    <w:name w:val="eop"/>
    <w:rsid w:val="00516597"/>
  </w:style>
  <w:style w:type="paragraph" w:customStyle="1" w:styleId="ZCom">
    <w:name w:val="Z_Com"/>
    <w:basedOn w:val="Normal"/>
    <w:next w:val="Normal"/>
    <w:uiPriority w:val="2"/>
    <w:rsid w:val="00022D99"/>
    <w:pPr>
      <w:widowControl w:val="0"/>
      <w:spacing w:before="90" w:after="0"/>
      <w:ind w:right="85"/>
      <w:jc w:val="left"/>
    </w:pPr>
    <w:rPr>
      <w:lang w:eastAsia="en-IE"/>
    </w:rPr>
  </w:style>
  <w:style w:type="paragraph" w:customStyle="1" w:styleId="ZDGName">
    <w:name w:val="Z_DGName"/>
    <w:basedOn w:val="Normal"/>
    <w:uiPriority w:val="2"/>
    <w:rsid w:val="00022D99"/>
    <w:pPr>
      <w:widowControl w:val="0"/>
      <w:spacing w:after="0"/>
      <w:ind w:right="85"/>
      <w:jc w:val="left"/>
    </w:pPr>
    <w:rPr>
      <w:sz w:val="16"/>
      <w:lang w:eastAsia="en-IE"/>
    </w:rPr>
  </w:style>
  <w:style w:type="paragraph" w:customStyle="1" w:styleId="ZFlag">
    <w:name w:val="Z_Flag"/>
    <w:basedOn w:val="Normal"/>
    <w:next w:val="Normal"/>
    <w:uiPriority w:val="2"/>
    <w:rsid w:val="00022D99"/>
    <w:pPr>
      <w:widowControl w:val="0"/>
      <w:spacing w:after="0"/>
      <w:ind w:right="85"/>
    </w:pPr>
    <w:rPr>
      <w:lang w:eastAsia="en-IE"/>
    </w:rPr>
  </w:style>
  <w:style w:type="table" w:customStyle="1" w:styleId="TableLetterhead">
    <w:name w:val="Table Letterhead"/>
    <w:basedOn w:val="TableauNormal"/>
    <w:semiHidden/>
    <w:rsid w:val="00022D99"/>
    <w:rPr>
      <w:sz w:val="24"/>
      <w:lang w:eastAsia="en-IE"/>
    </w:rPr>
    <w:tblPr>
      <w:tblCellMar>
        <w:left w:w="0" w:type="dxa"/>
        <w:bottom w:w="340" w:type="dxa"/>
        <w:right w:w="0" w:type="dxa"/>
      </w:tblCellMar>
    </w:tblPr>
  </w:style>
  <w:style w:type="paragraph" w:customStyle="1" w:styleId="StyleHeading1TimesNewRoman14ptItalic">
    <w:name w:val="Style Heading 1 + Times New Roman 14 pt Italic"/>
    <w:basedOn w:val="Titre1"/>
    <w:autoRedefine/>
    <w:rsid w:val="00302F63"/>
    <w:pPr>
      <w:numPr>
        <w:numId w:val="30"/>
      </w:numPr>
      <w:tabs>
        <w:tab w:val="right" w:pos="567"/>
      </w:tabs>
    </w:pPr>
    <w:rPr>
      <w:bCs/>
      <w:iCs/>
      <w:smallCaps w:val="0"/>
      <w:snapToGrid w:val="0"/>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130510560">
          <w:marLeft w:val="0"/>
          <w:marRight w:val="0"/>
          <w:marTop w:val="0"/>
          <w:marBottom w:val="0"/>
          <w:divBdr>
            <w:top w:val="none" w:sz="0" w:space="0" w:color="auto"/>
            <w:left w:val="none" w:sz="0" w:space="0" w:color="auto"/>
            <w:bottom w:val="none" w:sz="0" w:space="0" w:color="auto"/>
            <w:right w:val="none" w:sz="0" w:space="0" w:color="auto"/>
          </w:divBdr>
        </w:div>
        <w:div w:id="1468357628">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sChild>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1990403197">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5" ma:contentTypeDescription="Create a new document." ma:contentTypeScope="" ma:versionID="7e2cb215493bbea409af78f120e41f44">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2810d99ae243e026ddce1b1966c1bb25"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2d6be-c142-4a6a-ab3b-cbe854385faa}" ma:internalName="TaxCatchAll" ma:showField="CatchAllData" ma:web="f34a3906-e2fe-45dd-be63-435c876240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a4a1d-4eb8-49d3-b465-be101281b0f3">
      <Terms xmlns="http://schemas.microsoft.com/office/infopath/2007/PartnerControls"/>
    </lcf76f155ced4ddcb4097134ff3c332f>
    <TaxCatchAll xmlns="f34a3906-e2fe-45dd-be63-435c8762400b" xsi:nil="true"/>
  </documentManagement>
</p:properties>
</file>

<file path=customXml/itemProps1.xml><?xml version="1.0" encoding="utf-8"?>
<ds:datastoreItem xmlns:ds="http://schemas.openxmlformats.org/officeDocument/2006/customXml" ds:itemID="{13C5D2AC-04A2-4729-9AA4-FE53E82DD653}">
  <ds:schemaRefs>
    <ds:schemaRef ds:uri="http://schemas.microsoft.com/sharepoint/v3/contenttype/forms"/>
  </ds:schemaRefs>
</ds:datastoreItem>
</file>

<file path=customXml/itemProps2.xml><?xml version="1.0" encoding="utf-8"?>
<ds:datastoreItem xmlns:ds="http://schemas.openxmlformats.org/officeDocument/2006/customXml" ds:itemID="{4D8070B2-DCC6-4C39-A741-EAE93B31F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DF0BD-ACBF-48C6-BE93-8C4A37410A52}">
  <ds:schemaRefs>
    <ds:schemaRef ds:uri="http://schemas.openxmlformats.org/officeDocument/2006/bibliography"/>
  </ds:schemaRefs>
</ds:datastoreItem>
</file>

<file path=customXml/itemProps4.xml><?xml version="1.0" encoding="utf-8"?>
<ds:datastoreItem xmlns:ds="http://schemas.openxmlformats.org/officeDocument/2006/customXml" ds:itemID="{7BD79ED3-FD01-4172-9007-AE5F1BCD8E2C}">
  <ds:schemaRefs>
    <ds:schemaRef ds:uri="http://schemas.microsoft.com/office/2006/metadata/properties"/>
    <ds:schemaRef ds:uri="http://schemas.microsoft.com/office/infopath/2007/PartnerControls"/>
    <ds:schemaRef ds:uri="b21a4a1d-4eb8-49d3-b465-be101281b0f3"/>
    <ds:schemaRef ds:uri="f34a3906-e2fe-45dd-be63-435c8762400b"/>
  </ds:schemaRefs>
</ds:datastoreItem>
</file>

<file path=docProps/app.xml><?xml version="1.0" encoding="utf-8"?>
<Properties xmlns="http://schemas.openxmlformats.org/officeDocument/2006/extended-properties" xmlns:vt="http://schemas.openxmlformats.org/officeDocument/2006/docPropsVTypes">
  <Template>REP</Template>
  <TotalTime>149</TotalTime>
  <Pages>10</Pages>
  <Words>2879</Words>
  <Characters>15836</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GRANT CONTRACT FOR A DECENTRALISED PROGRAMME :</vt:lpstr>
      <vt:lpstr>GRANT CONTRACT FOR A DECENTRALISED PROGRAMME :</vt:lpstr>
    </vt:vector>
  </TitlesOfParts>
  <Company>XXXXXXX</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XXXXXXX</dc:creator>
  <cp:keywords>EL3</cp:keywords>
  <dc:description/>
  <cp:lastModifiedBy>Fernando Fernandez</cp:lastModifiedBy>
  <cp:revision>21</cp:revision>
  <cp:lastPrinted>2014-03-20T14:50:00Z</cp:lastPrinted>
  <dcterms:created xsi:type="dcterms:W3CDTF">2024-12-10T11:25:00Z</dcterms:created>
  <dcterms:modified xsi:type="dcterms:W3CDTF">2025-05-30T15:21:00Z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y fmtid="{D5CDD505-2E9C-101B-9397-08002B2CF9AE}" pid="16" name="ContentTypeId">
    <vt:lpwstr>0x010100724FDE23FB365D4CB8B2901107175F9F</vt:lpwstr>
  </property>
</Properties>
</file>