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42CF9" w14:textId="7E77E5F4" w:rsidR="0038536F" w:rsidRPr="001B7941" w:rsidRDefault="0038536F" w:rsidP="00FE61B0">
      <w:pPr>
        <w:tabs>
          <w:tab w:val="left" w:pos="-1440"/>
          <w:tab w:val="left" w:pos="-720"/>
        </w:tabs>
        <w:spacing w:before="120" w:after="600"/>
        <w:jc w:val="center"/>
        <w:rPr>
          <w:b/>
          <w:sz w:val="22"/>
          <w:szCs w:val="22"/>
        </w:rPr>
      </w:pPr>
      <w:bookmarkStart w:id="0" w:name="_GoBack"/>
      <w:bookmarkEnd w:id="0"/>
      <w:r w:rsidRPr="00602B45">
        <w:rPr>
          <w:b/>
          <w:highlight w:val="yellow"/>
        </w:rPr>
        <w:t xml:space="preserve">APPENDIX I – to </w:t>
      </w:r>
      <w:r>
        <w:rPr>
          <w:b/>
          <w:highlight w:val="yellow"/>
        </w:rPr>
        <w:t xml:space="preserve">include in the Special Conditions </w:t>
      </w:r>
      <w:r w:rsidR="003D6B45">
        <w:rPr>
          <w:b/>
          <w:highlight w:val="yellow"/>
        </w:rPr>
        <w:t xml:space="preserve">(Articles 7.3 and/or 7.4) </w:t>
      </w:r>
      <w:r>
        <w:rPr>
          <w:b/>
          <w:highlight w:val="yellow"/>
        </w:rPr>
        <w:t xml:space="preserve">when </w:t>
      </w:r>
      <w:r w:rsidRPr="00971DC7">
        <w:rPr>
          <w:b/>
          <w:highlight w:val="yellow"/>
        </w:rPr>
        <w:t xml:space="preserve">one of the </w:t>
      </w:r>
      <w:r w:rsidR="00A13B0C">
        <w:rPr>
          <w:b/>
          <w:highlight w:val="yellow"/>
        </w:rPr>
        <w:t>b</w:t>
      </w:r>
      <w:r w:rsidRPr="00971DC7">
        <w:rPr>
          <w:b/>
          <w:highlight w:val="yellow"/>
        </w:rPr>
        <w:t>eneficiaries is an international organisation</w:t>
      </w:r>
      <w:r w:rsidR="00A13B0C">
        <w:rPr>
          <w:b/>
          <w:highlight w:val="yellow"/>
        </w:rPr>
        <w:t>/pillar assessed organisation</w:t>
      </w:r>
      <w:r w:rsidR="00842EDC">
        <w:rPr>
          <w:rStyle w:val="FootnoteReference"/>
          <w:b/>
          <w:highlight w:val="yellow"/>
        </w:rPr>
        <w:footnoteReference w:id="1"/>
      </w:r>
      <w:r w:rsidRPr="001B7941">
        <w:rPr>
          <w:b/>
          <w:highlight w:val="yellow"/>
        </w:rPr>
        <w:t>.</w:t>
      </w:r>
    </w:p>
    <w:p w14:paraId="1B5E06D4" w14:textId="3665C8FB" w:rsidR="0038536F" w:rsidRDefault="0038536F" w:rsidP="00FE61B0">
      <w:pPr>
        <w:tabs>
          <w:tab w:val="left" w:pos="-1440"/>
          <w:tab w:val="left" w:pos="-720"/>
        </w:tabs>
        <w:spacing w:before="120" w:after="240"/>
        <w:ind w:left="567" w:hanging="567"/>
        <w:jc w:val="both"/>
        <w:rPr>
          <w:sz w:val="22"/>
          <w:szCs w:val="22"/>
        </w:rPr>
      </w:pPr>
      <w:r w:rsidRPr="00942529">
        <w:rPr>
          <w:sz w:val="22"/>
          <w:szCs w:val="22"/>
        </w:rPr>
        <w:t>7.3</w:t>
      </w:r>
      <w:r>
        <w:rPr>
          <w:sz w:val="22"/>
          <w:szCs w:val="22"/>
        </w:rPr>
        <w:tab/>
      </w:r>
      <w:r w:rsidRPr="00942529">
        <w:rPr>
          <w:sz w:val="22"/>
          <w:szCs w:val="22"/>
        </w:rPr>
        <w:t>The following modification</w:t>
      </w:r>
      <w:r>
        <w:rPr>
          <w:sz w:val="22"/>
          <w:szCs w:val="22"/>
        </w:rPr>
        <w:t>s</w:t>
      </w:r>
      <w:r w:rsidRPr="00942529">
        <w:rPr>
          <w:sz w:val="22"/>
          <w:szCs w:val="22"/>
        </w:rPr>
        <w:t xml:space="preserve"> to </w:t>
      </w:r>
      <w:r w:rsidR="00A13B0C">
        <w:rPr>
          <w:sz w:val="22"/>
          <w:szCs w:val="22"/>
        </w:rPr>
        <w:t>Annex II</w:t>
      </w:r>
      <w:r w:rsidRPr="00942529">
        <w:rPr>
          <w:sz w:val="22"/>
          <w:szCs w:val="22"/>
        </w:rPr>
        <w:t xml:space="preserve"> shall apply to:</w:t>
      </w:r>
      <w:r>
        <w:rPr>
          <w:sz w:val="22"/>
          <w:szCs w:val="22"/>
        </w:rPr>
        <w:t xml:space="preserve"> </w:t>
      </w:r>
      <w:r w:rsidRPr="00384AAD">
        <w:rPr>
          <w:sz w:val="22"/>
          <w:szCs w:val="22"/>
          <w:highlight w:val="yellow"/>
        </w:rPr>
        <w:t>&lt;include here the</w:t>
      </w:r>
      <w:r w:rsidRPr="00942529">
        <w:rPr>
          <w:sz w:val="22"/>
          <w:szCs w:val="22"/>
          <w:highlight w:val="yellow"/>
        </w:rPr>
        <w:t xml:space="preserve"> international organisation(s</w:t>
      </w:r>
      <w:r w:rsidRPr="00D51735">
        <w:rPr>
          <w:sz w:val="22"/>
          <w:szCs w:val="22"/>
          <w:highlight w:val="yellow"/>
        </w:rPr>
        <w:t xml:space="preserve">) </w:t>
      </w:r>
      <w:r w:rsidRPr="00384AAD">
        <w:rPr>
          <w:sz w:val="22"/>
          <w:szCs w:val="22"/>
          <w:highlight w:val="yellow"/>
        </w:rPr>
        <w:t xml:space="preserve">who are beneficiary(ies) of the grant&gt; </w:t>
      </w:r>
      <w:r w:rsidRPr="00A40B38">
        <w:rPr>
          <w:sz w:val="22"/>
          <w:szCs w:val="22"/>
        </w:rPr>
        <w:t>(hereinafter the “</w:t>
      </w:r>
      <w:r w:rsidR="00FA25E8">
        <w:rPr>
          <w:sz w:val="22"/>
          <w:szCs w:val="22"/>
        </w:rPr>
        <w:t>O</w:t>
      </w:r>
      <w:r w:rsidR="009775C8" w:rsidRPr="00A40B38">
        <w:rPr>
          <w:sz w:val="22"/>
          <w:szCs w:val="22"/>
        </w:rPr>
        <w:t>rganisation</w:t>
      </w:r>
      <w:r w:rsidRPr="00A40B38">
        <w:rPr>
          <w:sz w:val="22"/>
          <w:szCs w:val="22"/>
        </w:rPr>
        <w:t>”)</w:t>
      </w:r>
      <w:r w:rsidR="003C7E64" w:rsidRPr="00FE61B0">
        <w:rPr>
          <w:rStyle w:val="FootnoteReference"/>
          <w:szCs w:val="22"/>
          <w:highlight w:val="yellow"/>
        </w:rPr>
        <w:footnoteReference w:id="2"/>
      </w:r>
    </w:p>
    <w:p w14:paraId="0138B99A" w14:textId="79DC23E4" w:rsidR="0038536F" w:rsidRDefault="0038536F" w:rsidP="00FE61B0">
      <w:pPr>
        <w:numPr>
          <w:ilvl w:val="0"/>
          <w:numId w:val="32"/>
        </w:numPr>
        <w:spacing w:before="120"/>
        <w:ind w:left="1134"/>
        <w:jc w:val="both"/>
        <w:rPr>
          <w:sz w:val="22"/>
          <w:szCs w:val="22"/>
        </w:rPr>
      </w:pPr>
      <w:r w:rsidRPr="00C22FFB">
        <w:rPr>
          <w:sz w:val="22"/>
          <w:szCs w:val="22"/>
        </w:rPr>
        <w:t xml:space="preserve">Nothing in this </w:t>
      </w:r>
      <w:r w:rsidR="009775C8">
        <w:rPr>
          <w:sz w:val="22"/>
          <w:szCs w:val="22"/>
        </w:rPr>
        <w:t>c</w:t>
      </w:r>
      <w:r w:rsidR="009775C8" w:rsidRPr="00C22FFB">
        <w:rPr>
          <w:sz w:val="22"/>
          <w:szCs w:val="22"/>
        </w:rPr>
        <w:t xml:space="preserve">ontract </w:t>
      </w:r>
      <w:r w:rsidRPr="00C22FFB">
        <w:rPr>
          <w:sz w:val="22"/>
          <w:szCs w:val="22"/>
        </w:rPr>
        <w:t xml:space="preserve">shall be interpreted as a waiver of the </w:t>
      </w:r>
      <w:r w:rsidR="00FA25E8">
        <w:rPr>
          <w:sz w:val="22"/>
          <w:szCs w:val="22"/>
        </w:rPr>
        <w:t>O</w:t>
      </w:r>
      <w:r w:rsidR="009775C8" w:rsidRPr="00C22FFB">
        <w:rPr>
          <w:sz w:val="22"/>
          <w:szCs w:val="22"/>
        </w:rPr>
        <w:t xml:space="preserve">rganisation's </w:t>
      </w:r>
      <w:r w:rsidRPr="00C22FFB">
        <w:rPr>
          <w:sz w:val="22"/>
          <w:szCs w:val="22"/>
        </w:rPr>
        <w:t>privileges and immunities or of any specific agreement</w:t>
      </w:r>
      <w:r>
        <w:rPr>
          <w:sz w:val="22"/>
          <w:szCs w:val="22"/>
        </w:rPr>
        <w:t xml:space="preserve">, </w:t>
      </w:r>
      <w:r w:rsidRPr="00921B86">
        <w:rPr>
          <w:sz w:val="22"/>
          <w:szCs w:val="22"/>
        </w:rPr>
        <w:t>including on</w:t>
      </w:r>
      <w:r w:rsidRPr="00C22FFB">
        <w:rPr>
          <w:sz w:val="22"/>
          <w:szCs w:val="22"/>
        </w:rPr>
        <w:t xml:space="preserve"> verification</w:t>
      </w:r>
      <w:r>
        <w:rPr>
          <w:sz w:val="22"/>
          <w:szCs w:val="22"/>
        </w:rPr>
        <w:t>,</w:t>
      </w:r>
      <w:r w:rsidRPr="00C22FFB">
        <w:rPr>
          <w:sz w:val="22"/>
          <w:szCs w:val="22"/>
        </w:rPr>
        <w:t xml:space="preserve"> concluded in this respect with the European Union</w:t>
      </w:r>
      <w:r w:rsidR="00A13B0C">
        <w:rPr>
          <w:sz w:val="22"/>
          <w:szCs w:val="22"/>
        </w:rPr>
        <w:t>;</w:t>
      </w:r>
    </w:p>
    <w:p w14:paraId="245FC5ED" w14:textId="16F2BDCF" w:rsidR="0038536F" w:rsidRPr="00C22FFB" w:rsidRDefault="0038536F" w:rsidP="0038536F">
      <w:pPr>
        <w:numPr>
          <w:ilvl w:val="0"/>
          <w:numId w:val="32"/>
        </w:numPr>
        <w:spacing w:before="120"/>
        <w:ind w:left="1134"/>
        <w:jc w:val="both"/>
        <w:rPr>
          <w:sz w:val="22"/>
          <w:szCs w:val="22"/>
        </w:rPr>
      </w:pPr>
      <w:r w:rsidRPr="00EA539E">
        <w:rPr>
          <w:sz w:val="22"/>
          <w:szCs w:val="22"/>
        </w:rPr>
        <w:t xml:space="preserve">Article 3 of </w:t>
      </w:r>
      <w:r w:rsidR="00851FEF">
        <w:rPr>
          <w:sz w:val="22"/>
          <w:szCs w:val="22"/>
        </w:rPr>
        <w:t>Annex II</w:t>
      </w:r>
      <w:r w:rsidR="009775C8">
        <w:rPr>
          <w:sz w:val="22"/>
          <w:szCs w:val="22"/>
        </w:rPr>
        <w:t xml:space="preserve"> </w:t>
      </w:r>
      <w:r w:rsidRPr="00C22FFB">
        <w:rPr>
          <w:sz w:val="22"/>
          <w:szCs w:val="22"/>
        </w:rPr>
        <w:t>shall be supplemented as follows:</w:t>
      </w:r>
    </w:p>
    <w:p w14:paraId="0938DB4F" w14:textId="79687035" w:rsidR="00FA25E8" w:rsidRDefault="003C7E64" w:rsidP="0054622E">
      <w:pPr>
        <w:spacing w:before="120"/>
        <w:ind w:left="1134"/>
        <w:jc w:val="both"/>
        <w:rPr>
          <w:sz w:val="22"/>
          <w:szCs w:val="22"/>
        </w:rPr>
      </w:pPr>
      <w:r>
        <w:rPr>
          <w:sz w:val="22"/>
          <w:szCs w:val="22"/>
        </w:rPr>
        <w:t>“</w:t>
      </w:r>
      <w:r w:rsidR="0038536F" w:rsidRPr="00FE61B0">
        <w:rPr>
          <w:i/>
          <w:iCs/>
          <w:sz w:val="22"/>
          <w:szCs w:val="22"/>
        </w:rPr>
        <w:t xml:space="preserve">The </w:t>
      </w:r>
      <w:r w:rsidRPr="00FE61B0">
        <w:rPr>
          <w:i/>
          <w:iCs/>
          <w:sz w:val="22"/>
          <w:szCs w:val="22"/>
        </w:rPr>
        <w:t xml:space="preserve">Organisation </w:t>
      </w:r>
      <w:r w:rsidR="0038536F" w:rsidRPr="00FE61B0">
        <w:rPr>
          <w:i/>
          <w:iCs/>
          <w:sz w:val="22"/>
          <w:szCs w:val="22"/>
        </w:rPr>
        <w:t xml:space="preserve">liability is subject to the rules governing the </w:t>
      </w:r>
      <w:r w:rsidR="009775C8" w:rsidRPr="00FE61B0">
        <w:rPr>
          <w:i/>
          <w:iCs/>
          <w:sz w:val="22"/>
          <w:szCs w:val="22"/>
        </w:rPr>
        <w:t xml:space="preserve">organisation’s </w:t>
      </w:r>
      <w:r w:rsidR="0038536F" w:rsidRPr="00FE61B0">
        <w:rPr>
          <w:i/>
          <w:iCs/>
          <w:sz w:val="22"/>
          <w:szCs w:val="22"/>
        </w:rPr>
        <w:t>privileges and immunities</w:t>
      </w:r>
      <w:r w:rsidR="0038536F" w:rsidRPr="00C22FFB">
        <w:rPr>
          <w:sz w:val="22"/>
          <w:szCs w:val="22"/>
        </w:rPr>
        <w:t>.</w:t>
      </w:r>
      <w:r>
        <w:rPr>
          <w:sz w:val="22"/>
          <w:szCs w:val="22"/>
        </w:rPr>
        <w:t>”</w:t>
      </w:r>
    </w:p>
    <w:p w14:paraId="654220BE" w14:textId="0B553580" w:rsidR="0038536F" w:rsidRPr="00C22FFB" w:rsidRDefault="0038536F" w:rsidP="001604A5">
      <w:pPr>
        <w:numPr>
          <w:ilvl w:val="0"/>
          <w:numId w:val="32"/>
        </w:numPr>
        <w:spacing w:before="120" w:after="80"/>
        <w:ind w:left="1134" w:hanging="357"/>
        <w:jc w:val="both"/>
        <w:rPr>
          <w:sz w:val="22"/>
          <w:szCs w:val="22"/>
        </w:rPr>
      </w:pPr>
      <w:r w:rsidRPr="00C22FFB">
        <w:rPr>
          <w:sz w:val="22"/>
          <w:szCs w:val="22"/>
        </w:rPr>
        <w:t>Article 6</w:t>
      </w:r>
      <w:r>
        <w:rPr>
          <w:sz w:val="22"/>
          <w:szCs w:val="22"/>
        </w:rPr>
        <w:t xml:space="preserve"> of </w:t>
      </w:r>
      <w:r w:rsidR="00851FEF">
        <w:rPr>
          <w:sz w:val="22"/>
          <w:szCs w:val="22"/>
        </w:rPr>
        <w:t>Annex II</w:t>
      </w:r>
      <w:r w:rsidR="009775C8" w:rsidRPr="00C22FFB">
        <w:rPr>
          <w:sz w:val="22"/>
          <w:szCs w:val="22"/>
        </w:rPr>
        <w:t xml:space="preserve"> </w:t>
      </w:r>
      <w:r w:rsidRPr="00C22FFB">
        <w:rPr>
          <w:sz w:val="22"/>
          <w:szCs w:val="22"/>
        </w:rPr>
        <w:t>shall be supplemented as follows:</w:t>
      </w:r>
    </w:p>
    <w:p w14:paraId="34EEF7F5" w14:textId="72363996" w:rsidR="0038536F" w:rsidRDefault="003C7E64" w:rsidP="00033011">
      <w:pPr>
        <w:spacing w:before="120" w:after="120"/>
        <w:ind w:left="1134"/>
        <w:jc w:val="both"/>
        <w:rPr>
          <w:sz w:val="22"/>
          <w:szCs w:val="22"/>
        </w:rPr>
      </w:pPr>
      <w:r>
        <w:rPr>
          <w:sz w:val="22"/>
          <w:szCs w:val="22"/>
        </w:rPr>
        <w:t>“</w:t>
      </w:r>
      <w:r w:rsidR="0038536F" w:rsidRPr="00FE61B0">
        <w:rPr>
          <w:i/>
          <w:iCs/>
          <w:sz w:val="22"/>
          <w:szCs w:val="22"/>
        </w:rPr>
        <w:t xml:space="preserve">Equipment and vehicles of the Organisation may routinely carry its emblem and other indications of ownership prominently displayed. </w:t>
      </w:r>
      <w:r w:rsidR="009775C8" w:rsidRPr="00FE61B0">
        <w:rPr>
          <w:i/>
          <w:iCs/>
          <w:sz w:val="22"/>
          <w:szCs w:val="22"/>
        </w:rPr>
        <w:t xml:space="preserve">If during the implementation of the </w:t>
      </w:r>
      <w:r w:rsidR="00851FEF" w:rsidRPr="00FE61B0">
        <w:rPr>
          <w:i/>
          <w:iCs/>
          <w:sz w:val="22"/>
          <w:szCs w:val="22"/>
        </w:rPr>
        <w:t>action</w:t>
      </w:r>
      <w:r w:rsidR="009775C8" w:rsidRPr="00FE61B0">
        <w:rPr>
          <w:i/>
          <w:iCs/>
          <w:sz w:val="22"/>
          <w:szCs w:val="22"/>
        </w:rPr>
        <w:t xml:space="preserve">, </w:t>
      </w:r>
      <w:r w:rsidR="00F96CF0" w:rsidRPr="00FE61B0">
        <w:rPr>
          <w:i/>
          <w:iCs/>
          <w:sz w:val="22"/>
          <w:szCs w:val="22"/>
        </w:rPr>
        <w:t>equipment, vehicles,</w:t>
      </w:r>
      <w:r w:rsidR="0038536F" w:rsidRPr="00FE61B0">
        <w:rPr>
          <w:i/>
          <w:iCs/>
          <w:sz w:val="22"/>
          <w:szCs w:val="22"/>
        </w:rPr>
        <w:t xml:space="preserve"> </w:t>
      </w:r>
      <w:r w:rsidR="008D1CFE" w:rsidRPr="00FE61B0">
        <w:rPr>
          <w:i/>
          <w:iCs/>
          <w:sz w:val="22"/>
          <w:szCs w:val="22"/>
        </w:rPr>
        <w:t xml:space="preserve">or </w:t>
      </w:r>
      <w:r w:rsidR="0038536F" w:rsidRPr="00FE61B0">
        <w:rPr>
          <w:i/>
          <w:iCs/>
          <w:sz w:val="22"/>
          <w:szCs w:val="22"/>
        </w:rPr>
        <w:t xml:space="preserve">major supplies </w:t>
      </w:r>
      <w:r w:rsidR="008D1CFE" w:rsidRPr="00FE61B0">
        <w:rPr>
          <w:i/>
          <w:iCs/>
          <w:sz w:val="22"/>
          <w:szCs w:val="22"/>
        </w:rPr>
        <w:t>are</w:t>
      </w:r>
      <w:r w:rsidR="0038536F" w:rsidRPr="00FE61B0">
        <w:rPr>
          <w:i/>
          <w:iCs/>
          <w:sz w:val="22"/>
          <w:szCs w:val="22"/>
        </w:rPr>
        <w:t xml:space="preserve"> purchased, the </w:t>
      </w:r>
      <w:r w:rsidR="00851FEF" w:rsidRPr="00FE61B0">
        <w:rPr>
          <w:i/>
          <w:iCs/>
          <w:sz w:val="22"/>
          <w:szCs w:val="22"/>
        </w:rPr>
        <w:t xml:space="preserve">Organisation </w:t>
      </w:r>
      <w:r w:rsidR="0038536F" w:rsidRPr="00FE61B0">
        <w:rPr>
          <w:i/>
          <w:iCs/>
          <w:sz w:val="22"/>
          <w:szCs w:val="22"/>
        </w:rPr>
        <w:t xml:space="preserve">shall, however, display appropriate acknowledgement on such vehicles, equipment and major supplies (including display of the European Union </w:t>
      </w:r>
      <w:r w:rsidR="00851FEF" w:rsidRPr="00FE61B0">
        <w:rPr>
          <w:i/>
          <w:iCs/>
          <w:sz w:val="22"/>
          <w:szCs w:val="22"/>
        </w:rPr>
        <w:t>emblem</w:t>
      </w:r>
      <w:r w:rsidR="0038536F" w:rsidRPr="00FE61B0">
        <w:rPr>
          <w:i/>
          <w:iCs/>
          <w:sz w:val="22"/>
          <w:szCs w:val="22"/>
        </w:rPr>
        <w:t xml:space="preserve">). Where such display could jeopardise the </w:t>
      </w:r>
      <w:r w:rsidR="00851FEF" w:rsidRPr="00FE61B0">
        <w:rPr>
          <w:i/>
          <w:iCs/>
          <w:sz w:val="22"/>
          <w:szCs w:val="22"/>
        </w:rPr>
        <w:t xml:space="preserve">Organisation’s </w:t>
      </w:r>
      <w:r w:rsidR="0038536F" w:rsidRPr="00FE61B0">
        <w:rPr>
          <w:i/>
          <w:iCs/>
          <w:sz w:val="22"/>
          <w:szCs w:val="22"/>
        </w:rPr>
        <w:t xml:space="preserve">privileges and immunities or the safety and security of the </w:t>
      </w:r>
      <w:r w:rsidR="008D1CFE" w:rsidRPr="00FE61B0">
        <w:rPr>
          <w:i/>
          <w:iCs/>
          <w:sz w:val="22"/>
          <w:szCs w:val="22"/>
        </w:rPr>
        <w:t xml:space="preserve">organisation’s </w:t>
      </w:r>
      <w:r w:rsidR="0038536F" w:rsidRPr="00FE61B0">
        <w:rPr>
          <w:i/>
          <w:iCs/>
          <w:sz w:val="22"/>
          <w:szCs w:val="22"/>
        </w:rPr>
        <w:t>staff</w:t>
      </w:r>
      <w:r w:rsidR="008D1CFE" w:rsidRPr="00FE61B0">
        <w:rPr>
          <w:i/>
          <w:iCs/>
          <w:sz w:val="22"/>
          <w:szCs w:val="22"/>
        </w:rPr>
        <w:t xml:space="preserve"> or of the final beneficiaries</w:t>
      </w:r>
      <w:r w:rsidR="0038536F" w:rsidRPr="00FE61B0">
        <w:rPr>
          <w:i/>
          <w:iCs/>
          <w:sz w:val="22"/>
          <w:szCs w:val="22"/>
        </w:rPr>
        <w:t xml:space="preserve">, the </w:t>
      </w:r>
      <w:r w:rsidR="00851FEF" w:rsidRPr="00FE61B0">
        <w:rPr>
          <w:i/>
          <w:iCs/>
          <w:sz w:val="22"/>
          <w:szCs w:val="22"/>
        </w:rPr>
        <w:t xml:space="preserve">Organisation </w:t>
      </w:r>
      <w:r w:rsidR="0038536F" w:rsidRPr="00FE61B0">
        <w:rPr>
          <w:i/>
          <w:iCs/>
          <w:sz w:val="22"/>
          <w:szCs w:val="22"/>
        </w:rPr>
        <w:t xml:space="preserve">shall propose appropriate alternative arrangements. The acknowledgement and European Union </w:t>
      </w:r>
      <w:r w:rsidR="00851FEF" w:rsidRPr="00FE61B0">
        <w:rPr>
          <w:i/>
          <w:iCs/>
          <w:sz w:val="22"/>
          <w:szCs w:val="22"/>
        </w:rPr>
        <w:t xml:space="preserve">emblem </w:t>
      </w:r>
      <w:r w:rsidR="0038536F" w:rsidRPr="00FE61B0">
        <w:rPr>
          <w:i/>
          <w:iCs/>
          <w:sz w:val="22"/>
          <w:szCs w:val="22"/>
        </w:rPr>
        <w:t xml:space="preserve">shall be clearly visible in a manner that does not create any confusion regarding the identification of the </w:t>
      </w:r>
      <w:r w:rsidR="008D1CFE" w:rsidRPr="00FE61B0">
        <w:rPr>
          <w:i/>
          <w:iCs/>
          <w:sz w:val="22"/>
          <w:szCs w:val="22"/>
        </w:rPr>
        <w:t xml:space="preserve">action </w:t>
      </w:r>
      <w:r w:rsidR="0038536F" w:rsidRPr="00FE61B0">
        <w:rPr>
          <w:i/>
          <w:iCs/>
          <w:sz w:val="22"/>
          <w:szCs w:val="22"/>
        </w:rPr>
        <w:t xml:space="preserve">as an activity of the </w:t>
      </w:r>
      <w:r w:rsidR="00851FEF" w:rsidRPr="00FE61B0">
        <w:rPr>
          <w:i/>
          <w:iCs/>
          <w:sz w:val="22"/>
          <w:szCs w:val="22"/>
        </w:rPr>
        <w:t>Organisation</w:t>
      </w:r>
      <w:r w:rsidR="0038536F" w:rsidRPr="00FE61B0">
        <w:rPr>
          <w:i/>
          <w:iCs/>
          <w:sz w:val="22"/>
          <w:szCs w:val="22"/>
        </w:rPr>
        <w:t xml:space="preserve">, the ownership of the equipment and supplies by the </w:t>
      </w:r>
      <w:r w:rsidR="00FA25E8" w:rsidRPr="00FE61B0">
        <w:rPr>
          <w:i/>
          <w:iCs/>
          <w:sz w:val="22"/>
          <w:szCs w:val="22"/>
        </w:rPr>
        <w:t>O</w:t>
      </w:r>
      <w:r w:rsidR="008D1CFE" w:rsidRPr="00FE61B0">
        <w:rPr>
          <w:i/>
          <w:iCs/>
          <w:sz w:val="22"/>
          <w:szCs w:val="22"/>
        </w:rPr>
        <w:t>rganisation</w:t>
      </w:r>
      <w:r w:rsidR="0038536F" w:rsidRPr="00FE61B0">
        <w:rPr>
          <w:i/>
          <w:iCs/>
          <w:sz w:val="22"/>
          <w:szCs w:val="22"/>
        </w:rPr>
        <w:t xml:space="preserve">, and the application to the </w:t>
      </w:r>
      <w:r w:rsidR="00851FEF" w:rsidRPr="00FE61B0">
        <w:rPr>
          <w:i/>
          <w:iCs/>
          <w:sz w:val="22"/>
          <w:szCs w:val="22"/>
        </w:rPr>
        <w:t xml:space="preserve">action </w:t>
      </w:r>
      <w:r w:rsidR="0038536F" w:rsidRPr="00FE61B0">
        <w:rPr>
          <w:i/>
          <w:iCs/>
          <w:sz w:val="22"/>
          <w:szCs w:val="22"/>
        </w:rPr>
        <w:t xml:space="preserve">of the </w:t>
      </w:r>
      <w:r w:rsidR="00FA25E8" w:rsidRPr="00FE61B0">
        <w:rPr>
          <w:i/>
          <w:iCs/>
          <w:sz w:val="22"/>
          <w:szCs w:val="22"/>
        </w:rPr>
        <w:t>O</w:t>
      </w:r>
      <w:r w:rsidR="008D1CFE" w:rsidRPr="00FE61B0">
        <w:rPr>
          <w:i/>
          <w:iCs/>
          <w:sz w:val="22"/>
          <w:szCs w:val="22"/>
        </w:rPr>
        <w:t xml:space="preserve">rganisation’s </w:t>
      </w:r>
      <w:r w:rsidR="0038536F" w:rsidRPr="00FE61B0">
        <w:rPr>
          <w:i/>
          <w:iCs/>
          <w:sz w:val="22"/>
          <w:szCs w:val="22"/>
        </w:rPr>
        <w:t>privileges and immunities</w:t>
      </w:r>
      <w:r w:rsidR="0038536F" w:rsidRPr="00C22FFB">
        <w:rPr>
          <w:sz w:val="22"/>
          <w:szCs w:val="22"/>
        </w:rPr>
        <w:t>.</w:t>
      </w:r>
      <w:r>
        <w:rPr>
          <w:sz w:val="22"/>
          <w:szCs w:val="22"/>
        </w:rPr>
        <w:t>”</w:t>
      </w:r>
    </w:p>
    <w:p w14:paraId="4EAB512A" w14:textId="560A1CD5" w:rsidR="0038536F" w:rsidRPr="00715EEC" w:rsidRDefault="0038536F" w:rsidP="0038536F">
      <w:pPr>
        <w:numPr>
          <w:ilvl w:val="0"/>
          <w:numId w:val="32"/>
        </w:numPr>
        <w:spacing w:after="80"/>
        <w:ind w:left="1134" w:hanging="357"/>
        <w:jc w:val="both"/>
        <w:rPr>
          <w:sz w:val="22"/>
          <w:szCs w:val="22"/>
        </w:rPr>
      </w:pPr>
      <w:r w:rsidRPr="00715EEC">
        <w:rPr>
          <w:sz w:val="22"/>
          <w:szCs w:val="22"/>
        </w:rPr>
        <w:t xml:space="preserve">Article 7.5 of </w:t>
      </w:r>
      <w:r w:rsidR="00851FEF">
        <w:rPr>
          <w:sz w:val="22"/>
          <w:szCs w:val="22"/>
        </w:rPr>
        <w:t>Annex II</w:t>
      </w:r>
      <w:r w:rsidR="00175C88" w:rsidRPr="00715EEC">
        <w:rPr>
          <w:sz w:val="22"/>
          <w:szCs w:val="22"/>
        </w:rPr>
        <w:t xml:space="preserve"> </w:t>
      </w:r>
      <w:r w:rsidRPr="00715EEC">
        <w:rPr>
          <w:sz w:val="22"/>
          <w:szCs w:val="22"/>
        </w:rPr>
        <w:t xml:space="preserve">shall be </w:t>
      </w:r>
      <w:r>
        <w:rPr>
          <w:sz w:val="22"/>
          <w:szCs w:val="22"/>
        </w:rPr>
        <w:t>supplemented</w:t>
      </w:r>
      <w:r w:rsidRPr="00715EEC">
        <w:rPr>
          <w:sz w:val="22"/>
          <w:szCs w:val="22"/>
        </w:rPr>
        <w:t xml:space="preserve"> by the following:</w:t>
      </w:r>
    </w:p>
    <w:p w14:paraId="1D5585F6" w14:textId="39D5AF73" w:rsidR="0038536F" w:rsidRPr="00FE61B0" w:rsidRDefault="003C7E64" w:rsidP="00033011">
      <w:pPr>
        <w:spacing w:after="80"/>
        <w:ind w:left="1134"/>
        <w:jc w:val="both"/>
        <w:rPr>
          <w:i/>
          <w:iCs/>
          <w:sz w:val="22"/>
          <w:szCs w:val="22"/>
        </w:rPr>
      </w:pPr>
      <w:r w:rsidRPr="00FE61B0">
        <w:rPr>
          <w:i/>
          <w:iCs/>
          <w:sz w:val="22"/>
          <w:szCs w:val="22"/>
        </w:rPr>
        <w:t>“</w:t>
      </w:r>
      <w:r w:rsidR="0038536F" w:rsidRPr="00FE61B0">
        <w:rPr>
          <w:i/>
          <w:iCs/>
          <w:sz w:val="22"/>
          <w:szCs w:val="22"/>
        </w:rPr>
        <w:t xml:space="preserve">When the </w:t>
      </w:r>
      <w:r w:rsidR="00851FEF" w:rsidRPr="00FE61B0">
        <w:rPr>
          <w:i/>
          <w:iCs/>
          <w:sz w:val="22"/>
          <w:szCs w:val="22"/>
        </w:rPr>
        <w:t xml:space="preserve">action </w:t>
      </w:r>
      <w:r w:rsidR="0038536F" w:rsidRPr="00FE61B0">
        <w:rPr>
          <w:i/>
          <w:iCs/>
          <w:sz w:val="22"/>
          <w:szCs w:val="22"/>
        </w:rPr>
        <w:t xml:space="preserve">funded by the EU contributes to a larger action, the </w:t>
      </w:r>
      <w:r w:rsidR="00FA25E8" w:rsidRPr="00FE61B0">
        <w:rPr>
          <w:i/>
          <w:iCs/>
          <w:sz w:val="22"/>
          <w:szCs w:val="22"/>
        </w:rPr>
        <w:t>O</w:t>
      </w:r>
      <w:r w:rsidR="00175C88" w:rsidRPr="00FE61B0">
        <w:rPr>
          <w:i/>
          <w:iCs/>
          <w:sz w:val="22"/>
          <w:szCs w:val="22"/>
        </w:rPr>
        <w:t xml:space="preserve">rganisation </w:t>
      </w:r>
      <w:r w:rsidR="0038536F" w:rsidRPr="00FE61B0">
        <w:rPr>
          <w:i/>
          <w:iCs/>
          <w:sz w:val="22"/>
          <w:szCs w:val="22"/>
        </w:rPr>
        <w:t xml:space="preserve">may transfer the equipment, vehicles and supplies paid by the </w:t>
      </w:r>
      <w:r w:rsidR="00175C88" w:rsidRPr="00FE61B0">
        <w:rPr>
          <w:i/>
          <w:iCs/>
          <w:sz w:val="22"/>
          <w:szCs w:val="22"/>
        </w:rPr>
        <w:t xml:space="preserve">budget </w:t>
      </w:r>
      <w:r w:rsidR="0038536F" w:rsidRPr="00FE61B0">
        <w:rPr>
          <w:i/>
          <w:iCs/>
          <w:sz w:val="22"/>
          <w:szCs w:val="22"/>
        </w:rPr>
        <w:t xml:space="preserve">of the </w:t>
      </w:r>
      <w:r w:rsidR="00851FEF" w:rsidRPr="00FE61B0">
        <w:rPr>
          <w:i/>
          <w:iCs/>
          <w:sz w:val="22"/>
          <w:szCs w:val="22"/>
        </w:rPr>
        <w:t xml:space="preserve">action </w:t>
      </w:r>
      <w:r w:rsidR="0038536F" w:rsidRPr="00FE61B0">
        <w:rPr>
          <w:i/>
          <w:iCs/>
          <w:sz w:val="22"/>
          <w:szCs w:val="22"/>
        </w:rPr>
        <w:t xml:space="preserve">to this larger action, if so provided for in the </w:t>
      </w:r>
      <w:r w:rsidRPr="00FE61B0">
        <w:rPr>
          <w:i/>
          <w:iCs/>
          <w:sz w:val="22"/>
          <w:szCs w:val="22"/>
        </w:rPr>
        <w:t>special conditions</w:t>
      </w:r>
      <w:r w:rsidR="0038536F" w:rsidRPr="00FE61B0">
        <w:rPr>
          <w:i/>
          <w:iCs/>
          <w:sz w:val="22"/>
          <w:szCs w:val="22"/>
        </w:rPr>
        <w:t>. In such case, it shall submit an inventory listing the items concerned and their use with the submission of the final report. The</w:t>
      </w:r>
      <w:r w:rsidR="00F96CF0" w:rsidRPr="00FE61B0">
        <w:rPr>
          <w:i/>
          <w:iCs/>
          <w:sz w:val="22"/>
          <w:szCs w:val="22"/>
        </w:rPr>
        <w:t xml:space="preserve"> </w:t>
      </w:r>
      <w:r w:rsidR="0038536F" w:rsidRPr="00FE61B0">
        <w:rPr>
          <w:i/>
          <w:iCs/>
          <w:sz w:val="22"/>
          <w:szCs w:val="22"/>
        </w:rPr>
        <w:t xml:space="preserve">visibility requirements regarding the equipment, vehicles and supplies </w:t>
      </w:r>
      <w:r w:rsidR="00851FEF" w:rsidRPr="00FE61B0">
        <w:rPr>
          <w:i/>
          <w:iCs/>
          <w:sz w:val="22"/>
          <w:szCs w:val="22"/>
        </w:rPr>
        <w:t xml:space="preserve">and compliance with EU values referred to in Article 4 of Annex II </w:t>
      </w:r>
      <w:r w:rsidR="0038536F" w:rsidRPr="00FE61B0">
        <w:rPr>
          <w:i/>
          <w:iCs/>
          <w:sz w:val="22"/>
          <w:szCs w:val="22"/>
        </w:rPr>
        <w:t>shall continue to apply at least until the end of the larger action.</w:t>
      </w:r>
    </w:p>
    <w:p w14:paraId="7500EFB4" w14:textId="24A00FCF" w:rsidR="0038536F" w:rsidRPr="00FE61B0" w:rsidRDefault="0038536F" w:rsidP="00033011">
      <w:pPr>
        <w:spacing w:before="120"/>
        <w:ind w:left="1134"/>
        <w:jc w:val="both"/>
        <w:rPr>
          <w:i/>
          <w:iCs/>
          <w:sz w:val="22"/>
          <w:szCs w:val="22"/>
        </w:rPr>
      </w:pPr>
      <w:r w:rsidRPr="00FE61B0">
        <w:rPr>
          <w:i/>
          <w:iCs/>
          <w:sz w:val="22"/>
          <w:szCs w:val="22"/>
        </w:rPr>
        <w:t xml:space="preserve">Proofs of transfer of any equipment and goods transferred by the </w:t>
      </w:r>
      <w:r w:rsidR="00FA25E8" w:rsidRPr="00FE61B0">
        <w:rPr>
          <w:i/>
          <w:iCs/>
          <w:sz w:val="22"/>
          <w:szCs w:val="22"/>
        </w:rPr>
        <w:t>O</w:t>
      </w:r>
      <w:r w:rsidR="00613EB2" w:rsidRPr="00FE61B0">
        <w:rPr>
          <w:i/>
          <w:iCs/>
          <w:sz w:val="22"/>
          <w:szCs w:val="22"/>
        </w:rPr>
        <w:t xml:space="preserve">rganisation </w:t>
      </w:r>
      <w:r w:rsidRPr="00FE61B0">
        <w:rPr>
          <w:i/>
          <w:iCs/>
          <w:sz w:val="22"/>
          <w:szCs w:val="22"/>
        </w:rPr>
        <w:t xml:space="preserve">shall not be </w:t>
      </w:r>
      <w:r w:rsidR="00A13B0C" w:rsidRPr="00FE61B0">
        <w:rPr>
          <w:i/>
          <w:iCs/>
          <w:sz w:val="22"/>
          <w:szCs w:val="22"/>
        </w:rPr>
        <w:t xml:space="preserve">enclosed </w:t>
      </w:r>
      <w:r w:rsidRPr="00FE61B0">
        <w:rPr>
          <w:i/>
          <w:iCs/>
          <w:sz w:val="22"/>
          <w:szCs w:val="22"/>
        </w:rPr>
        <w:t xml:space="preserve">to the final report but kept for </w:t>
      </w:r>
      <w:r w:rsidR="00851FEF" w:rsidRPr="00FE61B0">
        <w:rPr>
          <w:i/>
          <w:iCs/>
          <w:sz w:val="22"/>
          <w:szCs w:val="22"/>
        </w:rPr>
        <w:t xml:space="preserve">control purposes </w:t>
      </w:r>
      <w:r w:rsidRPr="00FE61B0">
        <w:rPr>
          <w:i/>
          <w:iCs/>
          <w:sz w:val="22"/>
          <w:szCs w:val="22"/>
        </w:rPr>
        <w:t xml:space="preserve">according to </w:t>
      </w:r>
      <w:r w:rsidR="00851FEF" w:rsidRPr="00FE61B0">
        <w:rPr>
          <w:i/>
          <w:iCs/>
          <w:sz w:val="22"/>
          <w:szCs w:val="22"/>
        </w:rPr>
        <w:t xml:space="preserve">in accordance with the record keeping obligations laid down in </w:t>
      </w:r>
      <w:r w:rsidRPr="00FE61B0">
        <w:rPr>
          <w:i/>
          <w:iCs/>
          <w:sz w:val="22"/>
          <w:szCs w:val="22"/>
        </w:rPr>
        <w:t>Article 16.</w:t>
      </w:r>
      <w:r w:rsidR="003C7E64" w:rsidRPr="00FE61B0">
        <w:rPr>
          <w:i/>
          <w:iCs/>
          <w:sz w:val="22"/>
          <w:szCs w:val="22"/>
        </w:rPr>
        <w:t>”</w:t>
      </w:r>
    </w:p>
    <w:p w14:paraId="3FF8B537" w14:textId="72C48874" w:rsidR="009366C4" w:rsidRDefault="009366C4" w:rsidP="009366C4">
      <w:pPr>
        <w:numPr>
          <w:ilvl w:val="0"/>
          <w:numId w:val="34"/>
        </w:numPr>
        <w:spacing w:before="120"/>
        <w:ind w:left="1134"/>
        <w:jc w:val="both"/>
        <w:rPr>
          <w:sz w:val="22"/>
          <w:szCs w:val="22"/>
        </w:rPr>
      </w:pPr>
      <w:r w:rsidRPr="000A7D2D">
        <w:rPr>
          <w:sz w:val="22"/>
          <w:szCs w:val="22"/>
        </w:rPr>
        <w:t>Articles 12.8 to 12.</w:t>
      </w:r>
      <w:r w:rsidR="00851FEF" w:rsidRPr="000A7D2D">
        <w:rPr>
          <w:sz w:val="22"/>
          <w:szCs w:val="22"/>
        </w:rPr>
        <w:t>1</w:t>
      </w:r>
      <w:r w:rsidR="00851FEF">
        <w:rPr>
          <w:sz w:val="22"/>
          <w:szCs w:val="22"/>
        </w:rPr>
        <w:t>1</w:t>
      </w:r>
      <w:r w:rsidR="00851FEF" w:rsidRPr="000A7D2D">
        <w:rPr>
          <w:sz w:val="22"/>
          <w:szCs w:val="22"/>
        </w:rPr>
        <w:t xml:space="preserve"> </w:t>
      </w:r>
      <w:r>
        <w:rPr>
          <w:sz w:val="22"/>
          <w:szCs w:val="22"/>
        </w:rPr>
        <w:t xml:space="preserve">(Administrative </w:t>
      </w:r>
      <w:r w:rsidR="00851FEF">
        <w:rPr>
          <w:sz w:val="22"/>
          <w:szCs w:val="22"/>
        </w:rPr>
        <w:t>measures</w:t>
      </w:r>
      <w:r>
        <w:rPr>
          <w:sz w:val="22"/>
          <w:szCs w:val="22"/>
        </w:rPr>
        <w:t xml:space="preserve">) of </w:t>
      </w:r>
      <w:r w:rsidR="00851FEF">
        <w:rPr>
          <w:sz w:val="22"/>
          <w:szCs w:val="22"/>
        </w:rPr>
        <w:t>Annex II</w:t>
      </w:r>
      <w:r>
        <w:rPr>
          <w:sz w:val="22"/>
          <w:szCs w:val="22"/>
        </w:rPr>
        <w:t xml:space="preserve"> </w:t>
      </w:r>
      <w:r w:rsidRPr="000A7D2D">
        <w:rPr>
          <w:sz w:val="22"/>
          <w:szCs w:val="22"/>
        </w:rPr>
        <w:t xml:space="preserve">shall </w:t>
      </w:r>
      <w:r>
        <w:rPr>
          <w:sz w:val="22"/>
          <w:szCs w:val="22"/>
        </w:rPr>
        <w:t>be subject to the privileges and immunities of the Organisation</w:t>
      </w:r>
      <w:r w:rsidRPr="000A7D2D">
        <w:rPr>
          <w:sz w:val="22"/>
          <w:szCs w:val="22"/>
        </w:rPr>
        <w:t>.</w:t>
      </w:r>
    </w:p>
    <w:p w14:paraId="434CDD51" w14:textId="1ED7DD8A" w:rsidR="009366C4" w:rsidRPr="00C22FFB" w:rsidRDefault="009366C4" w:rsidP="009366C4">
      <w:pPr>
        <w:numPr>
          <w:ilvl w:val="0"/>
          <w:numId w:val="34"/>
        </w:numPr>
        <w:spacing w:before="120"/>
        <w:ind w:left="1134"/>
        <w:jc w:val="both"/>
        <w:rPr>
          <w:sz w:val="22"/>
          <w:szCs w:val="22"/>
        </w:rPr>
      </w:pPr>
      <w:r w:rsidRPr="00C22FFB">
        <w:rPr>
          <w:sz w:val="22"/>
          <w:szCs w:val="22"/>
        </w:rPr>
        <w:t>Article</w:t>
      </w:r>
      <w:r>
        <w:rPr>
          <w:sz w:val="22"/>
          <w:szCs w:val="22"/>
        </w:rPr>
        <w:t>s</w:t>
      </w:r>
      <w:r w:rsidRPr="00C22FFB">
        <w:rPr>
          <w:sz w:val="22"/>
          <w:szCs w:val="22"/>
        </w:rPr>
        <w:t xml:space="preserve"> </w:t>
      </w:r>
      <w:r>
        <w:rPr>
          <w:sz w:val="22"/>
          <w:szCs w:val="22"/>
        </w:rPr>
        <w:t>13.1</w:t>
      </w:r>
      <w:r w:rsidR="00851FEF">
        <w:rPr>
          <w:sz w:val="22"/>
          <w:szCs w:val="22"/>
        </w:rPr>
        <w:t xml:space="preserve"> </w:t>
      </w:r>
      <w:r w:rsidRPr="00C22FFB">
        <w:rPr>
          <w:sz w:val="22"/>
          <w:szCs w:val="22"/>
        </w:rPr>
        <w:t xml:space="preserve">and 13.4 </w:t>
      </w:r>
      <w:r>
        <w:rPr>
          <w:sz w:val="22"/>
          <w:szCs w:val="22"/>
        </w:rPr>
        <w:t xml:space="preserve">of </w:t>
      </w:r>
      <w:r w:rsidR="00851FEF">
        <w:rPr>
          <w:sz w:val="22"/>
          <w:szCs w:val="22"/>
        </w:rPr>
        <w:t>Annex II</w:t>
      </w:r>
      <w:r>
        <w:rPr>
          <w:sz w:val="22"/>
          <w:szCs w:val="22"/>
        </w:rPr>
        <w:t xml:space="preserve"> shall be</w:t>
      </w:r>
      <w:r w:rsidRPr="00C22FFB">
        <w:rPr>
          <w:sz w:val="22"/>
          <w:szCs w:val="22"/>
        </w:rPr>
        <w:t xml:space="preserve"> replaced by</w:t>
      </w:r>
      <w:r>
        <w:rPr>
          <w:sz w:val="22"/>
          <w:szCs w:val="22"/>
        </w:rPr>
        <w:t xml:space="preserve"> the following:</w:t>
      </w:r>
    </w:p>
    <w:p w14:paraId="76D33A33" w14:textId="70A4B4A2" w:rsidR="009366C4" w:rsidRDefault="003C7E64" w:rsidP="009366C4">
      <w:pPr>
        <w:spacing w:before="120"/>
        <w:ind w:left="1134"/>
        <w:jc w:val="both"/>
        <w:rPr>
          <w:sz w:val="22"/>
          <w:szCs w:val="22"/>
        </w:rPr>
      </w:pPr>
      <w:r>
        <w:rPr>
          <w:sz w:val="22"/>
          <w:szCs w:val="22"/>
        </w:rPr>
        <w:t>“</w:t>
      </w:r>
      <w:r w:rsidR="000D03E3" w:rsidRPr="00FE61B0">
        <w:rPr>
          <w:i/>
          <w:iCs/>
          <w:sz w:val="22"/>
          <w:szCs w:val="22"/>
        </w:rPr>
        <w:t xml:space="preserve">Without prejudice to any related Financial Framework Partnership Agreement, </w:t>
      </w:r>
      <w:r w:rsidR="00851FEF" w:rsidRPr="00FE61B0">
        <w:rPr>
          <w:i/>
          <w:iCs/>
          <w:sz w:val="22"/>
          <w:szCs w:val="22"/>
        </w:rPr>
        <w:t xml:space="preserve">in the absence of an amicable settlement pursuant to Article 13.2 above, any dispute, controversy or claim arising out of or in relation to this agreement, or the existence, interpretation, application, breach, termination, or invalidity thereof, shall be settled by final and binding arbitration in </w:t>
      </w:r>
      <w:r w:rsidR="00851FEF" w:rsidRPr="00FE61B0">
        <w:rPr>
          <w:i/>
          <w:iCs/>
          <w:sz w:val="22"/>
          <w:szCs w:val="22"/>
        </w:rPr>
        <w:lastRenderedPageBreak/>
        <w:t>accordance with the 2012 Permanent Court of Arbitration Rules for Arbitration, as in effect on the date of entry into force of this Agreement. The appointing authority shall be the Secretary General of the Permanent Court of Arbitration. The arbitration proceedings must take place in the Hague and the language used in the arbitral proceedings will be English. The arbitrator’s decision shall be binding on all Parties and there shall be no appeal.</w:t>
      </w:r>
      <w:r>
        <w:rPr>
          <w:sz w:val="22"/>
          <w:szCs w:val="22"/>
        </w:rPr>
        <w:t>“</w:t>
      </w:r>
    </w:p>
    <w:p w14:paraId="206CA533" w14:textId="666E2F19" w:rsidR="00124C31" w:rsidRPr="00715EEC" w:rsidRDefault="00124C31" w:rsidP="001604A5">
      <w:pPr>
        <w:numPr>
          <w:ilvl w:val="0"/>
          <w:numId w:val="32"/>
        </w:numPr>
        <w:spacing w:before="120" w:after="80"/>
        <w:ind w:left="1134" w:hanging="357"/>
        <w:jc w:val="both"/>
        <w:rPr>
          <w:sz w:val="22"/>
          <w:szCs w:val="22"/>
        </w:rPr>
      </w:pPr>
      <w:r w:rsidRPr="00715EEC">
        <w:rPr>
          <w:sz w:val="22"/>
          <w:szCs w:val="22"/>
        </w:rPr>
        <w:t xml:space="preserve">Article </w:t>
      </w:r>
      <w:r>
        <w:rPr>
          <w:sz w:val="22"/>
          <w:szCs w:val="22"/>
        </w:rPr>
        <w:t>14.</w:t>
      </w:r>
      <w:r w:rsidR="003C7E64">
        <w:rPr>
          <w:sz w:val="22"/>
          <w:szCs w:val="22"/>
        </w:rPr>
        <w:t xml:space="preserve">9 i) </w:t>
      </w:r>
      <w:r w:rsidRPr="00715EEC">
        <w:rPr>
          <w:sz w:val="22"/>
          <w:szCs w:val="22"/>
        </w:rPr>
        <w:t xml:space="preserve">of </w:t>
      </w:r>
      <w:r w:rsidR="003C7E64">
        <w:rPr>
          <w:sz w:val="22"/>
          <w:szCs w:val="22"/>
        </w:rPr>
        <w:t>Annex II</w:t>
      </w:r>
      <w:r w:rsidRPr="00715EEC">
        <w:rPr>
          <w:sz w:val="22"/>
          <w:szCs w:val="22"/>
        </w:rPr>
        <w:t xml:space="preserve"> shall be </w:t>
      </w:r>
      <w:r>
        <w:rPr>
          <w:sz w:val="22"/>
          <w:szCs w:val="22"/>
        </w:rPr>
        <w:t>supplemented</w:t>
      </w:r>
      <w:r w:rsidRPr="00715EEC">
        <w:rPr>
          <w:sz w:val="22"/>
          <w:szCs w:val="22"/>
        </w:rPr>
        <w:t xml:space="preserve"> by the following:</w:t>
      </w:r>
    </w:p>
    <w:p w14:paraId="030A53F2" w14:textId="429E59D1" w:rsidR="00124C31" w:rsidRDefault="003C7E64" w:rsidP="003C7E64">
      <w:pPr>
        <w:spacing w:after="80"/>
        <w:ind w:left="1134"/>
        <w:jc w:val="both"/>
        <w:rPr>
          <w:sz w:val="22"/>
          <w:szCs w:val="22"/>
        </w:rPr>
      </w:pPr>
      <w:r>
        <w:rPr>
          <w:sz w:val="22"/>
          <w:szCs w:val="22"/>
        </w:rPr>
        <w:t>“</w:t>
      </w:r>
      <w:r w:rsidR="00124C31" w:rsidRPr="00FE61B0">
        <w:rPr>
          <w:i/>
          <w:iCs/>
          <w:sz w:val="22"/>
          <w:szCs w:val="22"/>
        </w:rPr>
        <w:t xml:space="preserve">provisions, reserves or non-remuneration related costs. </w:t>
      </w:r>
      <w:r w:rsidRPr="00FE61B0">
        <w:rPr>
          <w:i/>
          <w:iCs/>
          <w:sz w:val="22"/>
          <w:szCs w:val="22"/>
        </w:rPr>
        <w:t>Employers' contributions to pension or to any other employee insurance funds run by the Organisation shall only be eligible to the extent they do not exceed the cost incurred during the reporting period, calculated following applicable international accounting standards</w:t>
      </w:r>
      <w:r w:rsidRPr="003C7E64">
        <w:rPr>
          <w:sz w:val="22"/>
          <w:szCs w:val="22"/>
        </w:rPr>
        <w:t>;</w:t>
      </w:r>
      <w:r>
        <w:rPr>
          <w:sz w:val="22"/>
          <w:szCs w:val="22"/>
        </w:rPr>
        <w:t>”</w:t>
      </w:r>
    </w:p>
    <w:p w14:paraId="3E432A27" w14:textId="3C334121" w:rsidR="00424BEB" w:rsidRPr="00F25554" w:rsidRDefault="003C7E64" w:rsidP="00FE61B0">
      <w:pPr>
        <w:keepNext/>
        <w:tabs>
          <w:tab w:val="left" w:pos="1134"/>
        </w:tabs>
        <w:spacing w:before="120"/>
        <w:ind w:left="1134" w:hanging="567"/>
        <w:jc w:val="both"/>
        <w:rPr>
          <w:sz w:val="22"/>
          <w:szCs w:val="22"/>
        </w:rPr>
      </w:pPr>
      <w:r w:rsidRPr="003C7E64">
        <w:rPr>
          <w:sz w:val="22"/>
          <w:szCs w:val="22"/>
        </w:rPr>
        <w:t>-</w:t>
      </w:r>
      <w:r w:rsidRPr="003C7E64">
        <w:rPr>
          <w:sz w:val="22"/>
          <w:szCs w:val="22"/>
        </w:rPr>
        <w:tab/>
      </w:r>
      <w:r>
        <w:rPr>
          <w:sz w:val="22"/>
          <w:szCs w:val="22"/>
        </w:rPr>
        <w:t>For the purposes of Article 15.14 of Annex II, w</w:t>
      </w:r>
      <w:r w:rsidRPr="003C7E64">
        <w:rPr>
          <w:sz w:val="22"/>
          <w:szCs w:val="22"/>
        </w:rPr>
        <w:t xml:space="preserve">here the Organisation is the coordinator, as a public body, it does not have to submit a pre-financing guarantee, thus Annex VIII does not apply to it. </w:t>
      </w:r>
    </w:p>
    <w:p w14:paraId="31B4FFB3" w14:textId="019C4406" w:rsidR="009045C9" w:rsidRDefault="003C7E64" w:rsidP="009045C9">
      <w:pPr>
        <w:tabs>
          <w:tab w:val="left" w:pos="-1440"/>
          <w:tab w:val="left" w:pos="-720"/>
        </w:tabs>
        <w:spacing w:before="120" w:after="240"/>
        <w:ind w:left="567" w:hanging="567"/>
        <w:jc w:val="both"/>
        <w:rPr>
          <w:sz w:val="22"/>
          <w:szCs w:val="22"/>
        </w:rPr>
      </w:pPr>
      <w:r w:rsidRPr="00FE61B0">
        <w:rPr>
          <w:bCs/>
          <w:sz w:val="22"/>
          <w:szCs w:val="22"/>
        </w:rPr>
        <w:t>7.4</w:t>
      </w:r>
      <w:r w:rsidRPr="00FE61B0">
        <w:rPr>
          <w:bCs/>
          <w:sz w:val="22"/>
          <w:szCs w:val="22"/>
        </w:rPr>
        <w:tab/>
      </w:r>
      <w:r w:rsidR="009045C9" w:rsidRPr="009045C9">
        <w:rPr>
          <w:bCs/>
          <w:sz w:val="22"/>
          <w:szCs w:val="22"/>
        </w:rPr>
        <w:t xml:space="preserve">The following modifications shall apply to: </w:t>
      </w:r>
      <w:r w:rsidR="009045C9" w:rsidRPr="009045C9">
        <w:rPr>
          <w:bCs/>
          <w:sz w:val="22"/>
          <w:szCs w:val="22"/>
          <w:highlight w:val="yellow"/>
        </w:rPr>
        <w:t>&lt;include here the pillar assessed entities who</w:t>
      </w:r>
      <w:r w:rsidR="009045C9" w:rsidRPr="00384AAD">
        <w:rPr>
          <w:sz w:val="22"/>
          <w:szCs w:val="22"/>
          <w:highlight w:val="yellow"/>
        </w:rPr>
        <w:t xml:space="preserve"> are beneficiary(ies) of the grant&gt; </w:t>
      </w:r>
      <w:r w:rsidR="009045C9" w:rsidRPr="00A40B38">
        <w:rPr>
          <w:sz w:val="22"/>
          <w:szCs w:val="22"/>
        </w:rPr>
        <w:t>(hereinafter the “</w:t>
      </w:r>
      <w:r w:rsidR="009045C9">
        <w:rPr>
          <w:sz w:val="22"/>
          <w:szCs w:val="22"/>
        </w:rPr>
        <w:t>O</w:t>
      </w:r>
      <w:r w:rsidR="009045C9" w:rsidRPr="00A40B38">
        <w:rPr>
          <w:sz w:val="22"/>
          <w:szCs w:val="22"/>
        </w:rPr>
        <w:t>rganisation”)</w:t>
      </w:r>
      <w:r w:rsidR="009045C9" w:rsidRPr="0061319F">
        <w:rPr>
          <w:rStyle w:val="FootnoteReference"/>
          <w:szCs w:val="22"/>
          <w:highlight w:val="yellow"/>
        </w:rPr>
        <w:footnoteReference w:id="3"/>
      </w:r>
    </w:p>
    <w:p w14:paraId="07C2453B" w14:textId="77777777" w:rsidR="001D4F0F" w:rsidRPr="001D4F0F" w:rsidRDefault="009045C9" w:rsidP="001D4F0F">
      <w:pPr>
        <w:tabs>
          <w:tab w:val="left" w:pos="1134"/>
        </w:tabs>
        <w:spacing w:after="80"/>
        <w:ind w:left="1134" w:hanging="567"/>
        <w:jc w:val="both"/>
        <w:rPr>
          <w:bCs/>
          <w:sz w:val="22"/>
          <w:szCs w:val="22"/>
        </w:rPr>
      </w:pPr>
      <w:r w:rsidRPr="00FE61B0">
        <w:rPr>
          <w:bCs/>
          <w:sz w:val="22"/>
          <w:szCs w:val="22"/>
        </w:rPr>
        <w:t>-</w:t>
      </w:r>
      <w:r w:rsidRPr="00FE61B0">
        <w:rPr>
          <w:bCs/>
          <w:sz w:val="22"/>
          <w:szCs w:val="22"/>
        </w:rPr>
        <w:tab/>
      </w:r>
      <w:r w:rsidR="001D4F0F" w:rsidRPr="001D4F0F">
        <w:rPr>
          <w:bCs/>
          <w:sz w:val="22"/>
          <w:szCs w:val="22"/>
        </w:rPr>
        <w:t xml:space="preserve">In the performance of the activities and subject to ad-hoc provisions stipulated </w:t>
      </w:r>
      <w:r w:rsidR="001D4F0F">
        <w:rPr>
          <w:bCs/>
          <w:sz w:val="22"/>
          <w:szCs w:val="22"/>
        </w:rPr>
        <w:t>below</w:t>
      </w:r>
      <w:r w:rsidR="001D4F0F" w:rsidRPr="001D4F0F">
        <w:rPr>
          <w:bCs/>
          <w:sz w:val="22"/>
          <w:szCs w:val="22"/>
        </w:rPr>
        <w:t xml:space="preserve">, if any, the Organisation shall apply its own rules and procedures, which have been subject to the </w:t>
      </w:r>
      <w:r w:rsidR="001D4F0F">
        <w:rPr>
          <w:bCs/>
          <w:sz w:val="22"/>
          <w:szCs w:val="22"/>
        </w:rPr>
        <w:t>p</w:t>
      </w:r>
      <w:r w:rsidR="001D4F0F" w:rsidRPr="001D4F0F">
        <w:rPr>
          <w:bCs/>
          <w:sz w:val="22"/>
          <w:szCs w:val="22"/>
        </w:rPr>
        <w:t>illar-</w:t>
      </w:r>
      <w:r w:rsidR="001D4F0F">
        <w:rPr>
          <w:bCs/>
          <w:sz w:val="22"/>
          <w:szCs w:val="22"/>
        </w:rPr>
        <w:t>a</w:t>
      </w:r>
      <w:r w:rsidR="001D4F0F" w:rsidRPr="001D4F0F">
        <w:rPr>
          <w:bCs/>
          <w:sz w:val="22"/>
          <w:szCs w:val="22"/>
        </w:rPr>
        <w:t>ssessment, as regards:</w:t>
      </w:r>
    </w:p>
    <w:p w14:paraId="42E69BAF" w14:textId="1556648F" w:rsidR="001D4F0F" w:rsidRPr="001D4F0F" w:rsidRDefault="001D4F0F" w:rsidP="00FE61B0">
      <w:pPr>
        <w:spacing w:after="80"/>
        <w:ind w:left="1560"/>
        <w:jc w:val="both"/>
        <w:rPr>
          <w:bCs/>
          <w:sz w:val="22"/>
          <w:szCs w:val="22"/>
        </w:rPr>
      </w:pPr>
      <w:r w:rsidRPr="001D4F0F">
        <w:rPr>
          <w:bCs/>
          <w:sz w:val="22"/>
          <w:szCs w:val="22"/>
        </w:rPr>
        <w:t>a)</w:t>
      </w:r>
      <w:r w:rsidR="00CA3159">
        <w:rPr>
          <w:bCs/>
          <w:sz w:val="22"/>
          <w:szCs w:val="22"/>
        </w:rPr>
        <w:tab/>
      </w:r>
      <w:r w:rsidRPr="001D4F0F">
        <w:rPr>
          <w:bCs/>
          <w:sz w:val="22"/>
          <w:szCs w:val="22"/>
        </w:rPr>
        <w:t>internal control;</w:t>
      </w:r>
    </w:p>
    <w:p w14:paraId="23EF6BB5" w14:textId="2E5C860F" w:rsidR="001D4F0F" w:rsidRPr="001D4F0F" w:rsidRDefault="001D4F0F" w:rsidP="00FE61B0">
      <w:pPr>
        <w:spacing w:after="80"/>
        <w:ind w:left="1560"/>
        <w:jc w:val="both"/>
        <w:rPr>
          <w:bCs/>
          <w:sz w:val="22"/>
          <w:szCs w:val="22"/>
        </w:rPr>
      </w:pPr>
      <w:r w:rsidRPr="001D4F0F">
        <w:rPr>
          <w:bCs/>
          <w:sz w:val="22"/>
          <w:szCs w:val="22"/>
        </w:rPr>
        <w:t>b)</w:t>
      </w:r>
      <w:r w:rsidR="00CA3159">
        <w:rPr>
          <w:bCs/>
          <w:sz w:val="22"/>
          <w:szCs w:val="22"/>
        </w:rPr>
        <w:tab/>
      </w:r>
      <w:r w:rsidRPr="001D4F0F">
        <w:rPr>
          <w:bCs/>
          <w:sz w:val="22"/>
          <w:szCs w:val="22"/>
        </w:rPr>
        <w:t>accounting system</w:t>
      </w:r>
      <w:r>
        <w:rPr>
          <w:bCs/>
          <w:sz w:val="22"/>
          <w:szCs w:val="22"/>
        </w:rPr>
        <w:t>;</w:t>
      </w:r>
    </w:p>
    <w:p w14:paraId="3303BE25" w14:textId="2E8FCB8F" w:rsidR="001D4F0F" w:rsidRPr="001D4F0F" w:rsidRDefault="001D4F0F" w:rsidP="00FE61B0">
      <w:pPr>
        <w:spacing w:after="80"/>
        <w:ind w:left="1560"/>
        <w:jc w:val="both"/>
        <w:rPr>
          <w:bCs/>
          <w:sz w:val="22"/>
          <w:szCs w:val="22"/>
        </w:rPr>
      </w:pPr>
      <w:r w:rsidRPr="001D4F0F">
        <w:rPr>
          <w:bCs/>
          <w:sz w:val="22"/>
          <w:szCs w:val="22"/>
        </w:rPr>
        <w:t>c)</w:t>
      </w:r>
      <w:r w:rsidR="00CA3159">
        <w:rPr>
          <w:bCs/>
          <w:sz w:val="22"/>
          <w:szCs w:val="22"/>
        </w:rPr>
        <w:tab/>
      </w:r>
      <w:r w:rsidRPr="001D4F0F">
        <w:rPr>
          <w:bCs/>
          <w:sz w:val="22"/>
          <w:szCs w:val="22"/>
        </w:rPr>
        <w:t>independent external audit;</w:t>
      </w:r>
    </w:p>
    <w:p w14:paraId="31A25E8B" w14:textId="5D810C2E" w:rsidR="001D4F0F" w:rsidRDefault="001D4F0F" w:rsidP="00FE61B0">
      <w:pPr>
        <w:spacing w:after="240"/>
        <w:ind w:left="1559"/>
        <w:jc w:val="both"/>
        <w:rPr>
          <w:bCs/>
          <w:sz w:val="22"/>
          <w:szCs w:val="22"/>
        </w:rPr>
      </w:pPr>
      <w:r w:rsidRPr="001D4F0F">
        <w:rPr>
          <w:bCs/>
          <w:sz w:val="22"/>
          <w:szCs w:val="22"/>
        </w:rPr>
        <w:t>f)</w:t>
      </w:r>
      <w:r w:rsidR="00CA3159">
        <w:rPr>
          <w:bCs/>
          <w:sz w:val="22"/>
          <w:szCs w:val="22"/>
        </w:rPr>
        <w:tab/>
      </w:r>
      <w:r w:rsidRPr="001D4F0F">
        <w:rPr>
          <w:bCs/>
          <w:sz w:val="22"/>
          <w:szCs w:val="22"/>
        </w:rPr>
        <w:t>protection of personal data</w:t>
      </w:r>
      <w:r>
        <w:rPr>
          <w:bCs/>
          <w:sz w:val="22"/>
          <w:szCs w:val="22"/>
        </w:rPr>
        <w:t>.</w:t>
      </w:r>
    </w:p>
    <w:p w14:paraId="3D11D0D0" w14:textId="77777777" w:rsidR="001D4F0F" w:rsidRDefault="001D4F0F" w:rsidP="00FE61B0">
      <w:pPr>
        <w:tabs>
          <w:tab w:val="left" w:pos="1134"/>
        </w:tabs>
        <w:spacing w:after="80"/>
        <w:ind w:left="1134"/>
        <w:jc w:val="both"/>
        <w:rPr>
          <w:bCs/>
          <w:sz w:val="22"/>
          <w:szCs w:val="22"/>
        </w:rPr>
      </w:pPr>
      <w:r>
        <w:rPr>
          <w:bCs/>
          <w:sz w:val="22"/>
          <w:szCs w:val="22"/>
        </w:rPr>
        <w:t>[</w:t>
      </w:r>
      <w:r w:rsidRPr="00FE61B0">
        <w:rPr>
          <w:bCs/>
          <w:sz w:val="22"/>
          <w:szCs w:val="22"/>
          <w:highlight w:val="lightGray"/>
        </w:rPr>
        <w:t>The Organisation shall apply the following ad hoc measures</w:t>
      </w:r>
      <w:r>
        <w:rPr>
          <w:bCs/>
          <w:sz w:val="22"/>
          <w:szCs w:val="22"/>
        </w:rPr>
        <w:t xml:space="preserve"> &lt;</w:t>
      </w:r>
      <w:r>
        <w:rPr>
          <w:bCs/>
          <w:sz w:val="22"/>
          <w:szCs w:val="22"/>
          <w:highlight w:val="yellow"/>
        </w:rPr>
        <w:t>insert</w:t>
      </w:r>
      <w:r w:rsidRPr="00FE61B0">
        <w:rPr>
          <w:bCs/>
          <w:sz w:val="22"/>
          <w:szCs w:val="22"/>
          <w:highlight w:val="yellow"/>
        </w:rPr>
        <w:t xml:space="preserve"> ad hoc measures stemming from the pillar assessment</w:t>
      </w:r>
      <w:r>
        <w:rPr>
          <w:bCs/>
          <w:sz w:val="22"/>
          <w:szCs w:val="22"/>
        </w:rPr>
        <w:t>&gt;]</w:t>
      </w:r>
    </w:p>
    <w:p w14:paraId="4DD45189" w14:textId="76B5449B" w:rsidR="000D03E3" w:rsidRDefault="005B757F" w:rsidP="00FE61B0">
      <w:pPr>
        <w:tabs>
          <w:tab w:val="left" w:pos="1134"/>
        </w:tabs>
        <w:spacing w:after="80"/>
        <w:ind w:left="1134" w:hanging="567"/>
        <w:jc w:val="both"/>
        <w:rPr>
          <w:sz w:val="22"/>
          <w:szCs w:val="22"/>
        </w:rPr>
      </w:pPr>
      <w:r>
        <w:rPr>
          <w:bCs/>
          <w:sz w:val="22"/>
          <w:szCs w:val="22"/>
        </w:rPr>
        <w:t>-</w:t>
      </w:r>
      <w:r>
        <w:rPr>
          <w:bCs/>
          <w:sz w:val="22"/>
          <w:szCs w:val="22"/>
        </w:rPr>
        <w:tab/>
      </w:r>
      <w:r w:rsidR="009045C9" w:rsidRPr="00FE61B0">
        <w:rPr>
          <w:bCs/>
          <w:sz w:val="22"/>
          <w:szCs w:val="22"/>
        </w:rPr>
        <w:t>Article 1.5 of Annex II shall be supplemented as follows: “</w:t>
      </w:r>
      <w:r w:rsidR="009045C9" w:rsidRPr="00FE61B0">
        <w:rPr>
          <w:bCs/>
          <w:i/>
          <w:iCs/>
          <w:sz w:val="22"/>
          <w:szCs w:val="22"/>
        </w:rPr>
        <w:t xml:space="preserve">e) </w:t>
      </w:r>
      <w:r w:rsidR="000D03E3" w:rsidRPr="00FE61B0">
        <w:rPr>
          <w:i/>
          <w:iCs/>
          <w:sz w:val="22"/>
          <w:szCs w:val="22"/>
        </w:rPr>
        <w:t xml:space="preserve">The Organisation shall notify the contracting authority and the European Commission where it is not the contracting authority, without delay of any substantial change in the rules, procedures and systems applied in the implementation of the </w:t>
      </w:r>
      <w:r w:rsidR="009045C9">
        <w:rPr>
          <w:i/>
          <w:iCs/>
          <w:sz w:val="22"/>
          <w:szCs w:val="22"/>
        </w:rPr>
        <w:t>a</w:t>
      </w:r>
      <w:r w:rsidR="009045C9" w:rsidRPr="00FE61B0">
        <w:rPr>
          <w:i/>
          <w:iCs/>
          <w:sz w:val="22"/>
          <w:szCs w:val="22"/>
        </w:rPr>
        <w:t>ction</w:t>
      </w:r>
      <w:r w:rsidR="000D03E3" w:rsidRPr="00FE61B0">
        <w:rPr>
          <w:i/>
          <w:iCs/>
          <w:sz w:val="22"/>
          <w:szCs w:val="22"/>
        </w:rPr>
        <w:t xml:space="preserve">. This obligation concerns in particular (i) </w:t>
      </w:r>
      <w:r w:rsidR="009045C9">
        <w:rPr>
          <w:i/>
          <w:iCs/>
          <w:sz w:val="22"/>
          <w:szCs w:val="22"/>
        </w:rPr>
        <w:t>substantial</w:t>
      </w:r>
      <w:r w:rsidR="009045C9" w:rsidRPr="00FE61B0">
        <w:rPr>
          <w:i/>
          <w:iCs/>
          <w:sz w:val="22"/>
          <w:szCs w:val="22"/>
        </w:rPr>
        <w:t xml:space="preserve"> </w:t>
      </w:r>
      <w:r w:rsidR="000D03E3" w:rsidRPr="00FE61B0">
        <w:rPr>
          <w:i/>
          <w:iCs/>
          <w:sz w:val="22"/>
          <w:szCs w:val="22"/>
        </w:rPr>
        <w:t xml:space="preserve">changes affecting the pillar assessment undergone by the </w:t>
      </w:r>
      <w:r w:rsidR="009045C9">
        <w:rPr>
          <w:i/>
          <w:iCs/>
          <w:sz w:val="22"/>
          <w:szCs w:val="22"/>
        </w:rPr>
        <w:t>O</w:t>
      </w:r>
      <w:r w:rsidR="009045C9" w:rsidRPr="00FE61B0">
        <w:rPr>
          <w:i/>
          <w:iCs/>
          <w:sz w:val="22"/>
          <w:szCs w:val="22"/>
        </w:rPr>
        <w:t>rganisation</w:t>
      </w:r>
      <w:r w:rsidR="000D03E3" w:rsidRPr="00FE61B0">
        <w:rPr>
          <w:i/>
          <w:iCs/>
          <w:sz w:val="22"/>
          <w:szCs w:val="22"/>
        </w:rPr>
        <w:t xml:space="preserve">, where applicable (ii) those which may affect the conditions for eligibility provided for in the applicable legal instruments of the EU. The contracting authority reserves the right to adopt </w:t>
      </w:r>
      <w:r w:rsidR="009045C9">
        <w:rPr>
          <w:i/>
          <w:iCs/>
          <w:sz w:val="22"/>
          <w:szCs w:val="22"/>
        </w:rPr>
        <w:t xml:space="preserve">or require </w:t>
      </w:r>
      <w:r w:rsidR="000D03E3" w:rsidRPr="00FE61B0">
        <w:rPr>
          <w:i/>
          <w:iCs/>
          <w:sz w:val="22"/>
          <w:szCs w:val="22"/>
        </w:rPr>
        <w:t xml:space="preserve">additional measures in response to </w:t>
      </w:r>
      <w:r w:rsidR="009045C9">
        <w:rPr>
          <w:i/>
          <w:iCs/>
          <w:sz w:val="22"/>
          <w:szCs w:val="22"/>
        </w:rPr>
        <w:t xml:space="preserve">such </w:t>
      </w:r>
      <w:r w:rsidR="000D03E3" w:rsidRPr="00FE61B0">
        <w:rPr>
          <w:i/>
          <w:iCs/>
          <w:sz w:val="22"/>
          <w:szCs w:val="22"/>
        </w:rPr>
        <w:t>changes or to terminate the contract</w:t>
      </w:r>
      <w:r w:rsidR="009045C9">
        <w:rPr>
          <w:i/>
          <w:iCs/>
          <w:sz w:val="22"/>
          <w:szCs w:val="22"/>
        </w:rPr>
        <w:t xml:space="preserve"> or participation of the Organisation, where no agreement on such measures or other solutions can be reached”</w:t>
      </w:r>
      <w:r w:rsidR="000D03E3" w:rsidRPr="00FB3791">
        <w:rPr>
          <w:sz w:val="22"/>
          <w:szCs w:val="22"/>
        </w:rPr>
        <w:t>.</w:t>
      </w:r>
    </w:p>
    <w:p w14:paraId="6B774CAD" w14:textId="218C7740" w:rsidR="00951F58" w:rsidRDefault="00951F58" w:rsidP="001D4F0F">
      <w:pPr>
        <w:numPr>
          <w:ilvl w:val="0"/>
          <w:numId w:val="32"/>
        </w:numPr>
        <w:spacing w:after="80"/>
        <w:ind w:left="1134" w:hanging="357"/>
        <w:jc w:val="both"/>
        <w:rPr>
          <w:sz w:val="22"/>
          <w:szCs w:val="22"/>
        </w:rPr>
      </w:pPr>
      <w:r>
        <w:rPr>
          <w:sz w:val="22"/>
          <w:szCs w:val="22"/>
        </w:rPr>
        <w:t>First subparagraph of Article 1.6 of Annex II shall be supplemented as follows: “</w:t>
      </w:r>
      <w:r w:rsidRPr="00FE61B0">
        <w:rPr>
          <w:i/>
          <w:iCs/>
          <w:sz w:val="22"/>
          <w:szCs w:val="22"/>
        </w:rPr>
        <w:t>Where the European Commission and the Organisation have concluded a financial Framework Partnership Agreement, this subparagraph shall be applied in accordance with the related provisions laid down therein</w:t>
      </w:r>
      <w:r>
        <w:rPr>
          <w:sz w:val="22"/>
          <w:szCs w:val="22"/>
        </w:rPr>
        <w:t>”.</w:t>
      </w:r>
    </w:p>
    <w:p w14:paraId="6548D7E6" w14:textId="2315E5D2" w:rsidR="000D03E3" w:rsidRPr="0054622E" w:rsidRDefault="000D03E3" w:rsidP="001D4F0F">
      <w:pPr>
        <w:numPr>
          <w:ilvl w:val="0"/>
          <w:numId w:val="32"/>
        </w:numPr>
        <w:spacing w:after="80"/>
        <w:ind w:left="1134" w:hanging="357"/>
        <w:jc w:val="both"/>
        <w:rPr>
          <w:sz w:val="22"/>
          <w:szCs w:val="22"/>
        </w:rPr>
      </w:pPr>
      <w:r w:rsidRPr="001604A5">
        <w:rPr>
          <w:sz w:val="22"/>
          <w:szCs w:val="22"/>
        </w:rPr>
        <w:t xml:space="preserve">Articles 4.3 and 4.4. of </w:t>
      </w:r>
      <w:r w:rsidR="005B757F">
        <w:rPr>
          <w:sz w:val="22"/>
          <w:szCs w:val="22"/>
        </w:rPr>
        <w:t>Annex II</w:t>
      </w:r>
      <w:r w:rsidRPr="001604A5">
        <w:rPr>
          <w:sz w:val="22"/>
          <w:szCs w:val="22"/>
        </w:rPr>
        <w:t xml:space="preserve"> shall be applied according to the Organisation's rules and regulations positively assessed in the pillar assessment.</w:t>
      </w:r>
    </w:p>
    <w:p w14:paraId="368F784F" w14:textId="77777777" w:rsidR="005B757F" w:rsidRPr="00C22FFB" w:rsidRDefault="005B757F" w:rsidP="005B757F">
      <w:pPr>
        <w:numPr>
          <w:ilvl w:val="0"/>
          <w:numId w:val="32"/>
        </w:numPr>
        <w:spacing w:before="120" w:after="80"/>
        <w:ind w:left="1134" w:hanging="357"/>
        <w:jc w:val="both"/>
        <w:rPr>
          <w:sz w:val="22"/>
          <w:szCs w:val="22"/>
        </w:rPr>
      </w:pPr>
      <w:r w:rsidRPr="00C22FFB">
        <w:rPr>
          <w:sz w:val="22"/>
          <w:szCs w:val="22"/>
        </w:rPr>
        <w:t>Article 6</w:t>
      </w:r>
      <w:r>
        <w:rPr>
          <w:sz w:val="22"/>
          <w:szCs w:val="22"/>
        </w:rPr>
        <w:t xml:space="preserve"> of Annex II</w:t>
      </w:r>
      <w:r w:rsidRPr="00C22FFB">
        <w:rPr>
          <w:sz w:val="22"/>
          <w:szCs w:val="22"/>
        </w:rPr>
        <w:t xml:space="preserve"> shall be supplemented as follows:</w:t>
      </w:r>
    </w:p>
    <w:p w14:paraId="39073BCD" w14:textId="77777777" w:rsidR="005B757F" w:rsidRDefault="005B757F" w:rsidP="005B757F">
      <w:pPr>
        <w:spacing w:before="120" w:after="120"/>
        <w:ind w:left="1134"/>
        <w:jc w:val="both"/>
        <w:rPr>
          <w:sz w:val="22"/>
          <w:szCs w:val="22"/>
        </w:rPr>
      </w:pPr>
      <w:r>
        <w:rPr>
          <w:sz w:val="22"/>
          <w:szCs w:val="22"/>
        </w:rPr>
        <w:t>“</w:t>
      </w:r>
      <w:r w:rsidRPr="0061319F">
        <w:rPr>
          <w:i/>
          <w:iCs/>
          <w:sz w:val="22"/>
          <w:szCs w:val="22"/>
        </w:rPr>
        <w:t xml:space="preserve">Equipment and vehicles of the Organisation may routinely carry its emblem and other indications of ownership prominently displayed. If during the implementation of the action, equipment, vehicles, or major supplies are purchased, the Organisation shall, however, display appropriate acknowledgement on such vehicles, equipment and major supplies (including display of the European Union emblem). Where such display could jeopardise the Organisation’s privileges and immunities or the safety and security of the organisation’s staff or of the final beneficiaries, the Organisation shall propose appropriate alternative arrangements. The acknowledgement and European Union emblem shall be clearly visible in a manner that does not </w:t>
      </w:r>
      <w:r w:rsidRPr="0061319F">
        <w:rPr>
          <w:i/>
          <w:iCs/>
          <w:sz w:val="22"/>
          <w:szCs w:val="22"/>
        </w:rPr>
        <w:lastRenderedPageBreak/>
        <w:t>create any confusion regarding the identification of the action as an activity of the Organisation, the ownership of the equipment and supplies by the Organisation, and the application to the action of the Organisation’s privileges and immunities</w:t>
      </w:r>
      <w:r w:rsidRPr="00C22FFB">
        <w:rPr>
          <w:sz w:val="22"/>
          <w:szCs w:val="22"/>
        </w:rPr>
        <w:t>.</w:t>
      </w:r>
      <w:r>
        <w:rPr>
          <w:sz w:val="22"/>
          <w:szCs w:val="22"/>
        </w:rPr>
        <w:t>”</w:t>
      </w:r>
    </w:p>
    <w:p w14:paraId="658DFDCA" w14:textId="77777777" w:rsidR="005B757F" w:rsidRPr="00715EEC" w:rsidRDefault="005B757F" w:rsidP="005B757F">
      <w:pPr>
        <w:numPr>
          <w:ilvl w:val="0"/>
          <w:numId w:val="32"/>
        </w:numPr>
        <w:spacing w:after="80"/>
        <w:ind w:left="1134" w:hanging="357"/>
        <w:jc w:val="both"/>
        <w:rPr>
          <w:sz w:val="22"/>
          <w:szCs w:val="22"/>
        </w:rPr>
      </w:pPr>
      <w:r w:rsidRPr="00715EEC">
        <w:rPr>
          <w:sz w:val="22"/>
          <w:szCs w:val="22"/>
        </w:rPr>
        <w:t xml:space="preserve">Article 7.5 of </w:t>
      </w:r>
      <w:r>
        <w:rPr>
          <w:sz w:val="22"/>
          <w:szCs w:val="22"/>
        </w:rPr>
        <w:t>Annex II</w:t>
      </w:r>
      <w:r w:rsidRPr="00715EEC">
        <w:rPr>
          <w:sz w:val="22"/>
          <w:szCs w:val="22"/>
        </w:rPr>
        <w:t xml:space="preserve"> shall be </w:t>
      </w:r>
      <w:r>
        <w:rPr>
          <w:sz w:val="22"/>
          <w:szCs w:val="22"/>
        </w:rPr>
        <w:t>supplemented</w:t>
      </w:r>
      <w:r w:rsidRPr="00715EEC">
        <w:rPr>
          <w:sz w:val="22"/>
          <w:szCs w:val="22"/>
        </w:rPr>
        <w:t xml:space="preserve"> by the following:</w:t>
      </w:r>
    </w:p>
    <w:p w14:paraId="134E11D1" w14:textId="77777777" w:rsidR="005B757F" w:rsidRPr="0061319F" w:rsidRDefault="005B757F" w:rsidP="005B757F">
      <w:pPr>
        <w:spacing w:after="80"/>
        <w:ind w:left="1134"/>
        <w:jc w:val="both"/>
        <w:rPr>
          <w:i/>
          <w:iCs/>
          <w:sz w:val="22"/>
          <w:szCs w:val="22"/>
        </w:rPr>
      </w:pPr>
      <w:r w:rsidRPr="0061319F">
        <w:rPr>
          <w:i/>
          <w:iCs/>
          <w:sz w:val="22"/>
          <w:szCs w:val="22"/>
        </w:rPr>
        <w:t>“When the action funded by the EU contributes to a larger action, the Organisation may transfer the equipment, vehicles and supplies paid by the budget of the action to this larger action, if so provided for in the special conditions. In such case, it shall submit an inventory listing the items concerned and their use with the submission of the final report. The visibility requirements regarding the equipment, vehicles and supplies and compliance with EU values referred to in Article 4 of Annex II shall continue to apply at least until the end of the larger action.</w:t>
      </w:r>
    </w:p>
    <w:p w14:paraId="350E33D3" w14:textId="77777777" w:rsidR="005B757F" w:rsidRDefault="005B757F" w:rsidP="005B757F">
      <w:pPr>
        <w:spacing w:before="120"/>
        <w:ind w:left="1134"/>
        <w:jc w:val="both"/>
        <w:rPr>
          <w:i/>
          <w:iCs/>
          <w:sz w:val="22"/>
          <w:szCs w:val="22"/>
        </w:rPr>
      </w:pPr>
      <w:r w:rsidRPr="0061319F">
        <w:rPr>
          <w:i/>
          <w:iCs/>
          <w:sz w:val="22"/>
          <w:szCs w:val="22"/>
        </w:rPr>
        <w:t>Proofs of transfer of any equipment and goods transferred by the Organisation shall not be enclosed to the final report but kept for control purposes according to in accordance with the record keeping obligations laid down in Article 16.</w:t>
      </w:r>
      <w:r>
        <w:rPr>
          <w:i/>
          <w:iCs/>
          <w:sz w:val="22"/>
          <w:szCs w:val="22"/>
        </w:rPr>
        <w:t xml:space="preserve"> Annex </w:t>
      </w:r>
      <w:r w:rsidR="00404179">
        <w:rPr>
          <w:i/>
          <w:iCs/>
          <w:sz w:val="22"/>
          <w:szCs w:val="22"/>
        </w:rPr>
        <w:t>IX does not apply to the Organisation</w:t>
      </w:r>
      <w:r w:rsidRPr="0061319F">
        <w:rPr>
          <w:i/>
          <w:iCs/>
          <w:sz w:val="22"/>
          <w:szCs w:val="22"/>
        </w:rPr>
        <w:t>”</w:t>
      </w:r>
      <w:r w:rsidR="00404179">
        <w:rPr>
          <w:i/>
          <w:iCs/>
          <w:sz w:val="22"/>
          <w:szCs w:val="22"/>
        </w:rPr>
        <w:t>.</w:t>
      </w:r>
    </w:p>
    <w:p w14:paraId="7CE708A1" w14:textId="77777777" w:rsidR="005B757F" w:rsidRDefault="00404179" w:rsidP="00FE61B0">
      <w:pPr>
        <w:spacing w:before="120" w:after="120" w:line="276" w:lineRule="auto"/>
        <w:ind w:left="1134" w:hanging="567"/>
        <w:jc w:val="both"/>
        <w:rPr>
          <w:sz w:val="22"/>
          <w:szCs w:val="22"/>
        </w:rPr>
      </w:pPr>
      <w:r>
        <w:rPr>
          <w:sz w:val="22"/>
          <w:szCs w:val="22"/>
        </w:rPr>
        <w:t xml:space="preserve">- </w:t>
      </w:r>
      <w:r>
        <w:rPr>
          <w:sz w:val="22"/>
          <w:szCs w:val="22"/>
        </w:rPr>
        <w:tab/>
      </w:r>
      <w:r>
        <w:rPr>
          <w:rFonts w:eastAsia="Calibri"/>
          <w:sz w:val="22"/>
          <w:szCs w:val="22"/>
          <w:highlight w:val="yellow"/>
        </w:rPr>
        <w:t>If the pillar assessment covers procurement and/or grants add</w:t>
      </w:r>
      <w:r w:rsidRPr="00404179">
        <w:rPr>
          <w:rFonts w:eastAsia="Calibri"/>
          <w:sz w:val="22"/>
          <w:szCs w:val="22"/>
          <w:highlight w:val="yellow"/>
        </w:rPr>
        <w:t>:</w:t>
      </w:r>
      <w:r>
        <w:rPr>
          <w:rFonts w:eastAsia="Calibri"/>
          <w:sz w:val="22"/>
          <w:szCs w:val="22"/>
        </w:rPr>
        <w:t xml:space="preserve"> [</w:t>
      </w:r>
      <w:r>
        <w:rPr>
          <w:sz w:val="22"/>
          <w:szCs w:val="22"/>
        </w:rPr>
        <w:t>Article 10 of Annex II shall be supplemented as follows:</w:t>
      </w:r>
    </w:p>
    <w:p w14:paraId="464306AB" w14:textId="77777777" w:rsidR="00404179" w:rsidRPr="00404179" w:rsidRDefault="00404179" w:rsidP="00FE61B0">
      <w:pPr>
        <w:spacing w:before="120" w:after="120" w:line="276" w:lineRule="auto"/>
        <w:ind w:left="939" w:firstLine="141"/>
        <w:jc w:val="both"/>
        <w:rPr>
          <w:rFonts w:eastAsia="Calibri"/>
          <w:sz w:val="22"/>
          <w:szCs w:val="22"/>
        </w:rPr>
      </w:pPr>
      <w:r>
        <w:rPr>
          <w:rFonts w:eastAsia="Calibri"/>
          <w:sz w:val="22"/>
          <w:szCs w:val="22"/>
        </w:rPr>
        <w:t>T</w:t>
      </w:r>
      <w:r w:rsidRPr="00404179">
        <w:rPr>
          <w:rFonts w:eastAsia="Calibri"/>
          <w:sz w:val="22"/>
          <w:szCs w:val="22"/>
        </w:rPr>
        <w:t xml:space="preserve">he Organisation </w:t>
      </w:r>
      <w:r>
        <w:rPr>
          <w:rFonts w:eastAsia="Calibri"/>
          <w:sz w:val="22"/>
          <w:szCs w:val="22"/>
        </w:rPr>
        <w:t>may</w:t>
      </w:r>
      <w:r w:rsidRPr="00404179">
        <w:rPr>
          <w:rFonts w:eastAsia="Calibri"/>
          <w:sz w:val="22"/>
          <w:szCs w:val="22"/>
        </w:rPr>
        <w:t xml:space="preserve">: </w:t>
      </w:r>
    </w:p>
    <w:p w14:paraId="1463A378" w14:textId="43517B12" w:rsidR="00404179" w:rsidRPr="00404179" w:rsidRDefault="00404179" w:rsidP="00FE61B0">
      <w:pPr>
        <w:numPr>
          <w:ilvl w:val="0"/>
          <w:numId w:val="37"/>
        </w:numPr>
        <w:tabs>
          <w:tab w:val="left" w:pos="1701"/>
        </w:tabs>
        <w:spacing w:before="120" w:after="120" w:line="276" w:lineRule="auto"/>
        <w:ind w:left="1701" w:hanging="567"/>
        <w:jc w:val="both"/>
        <w:rPr>
          <w:rFonts w:eastAsia="Calibri"/>
          <w:sz w:val="22"/>
          <w:szCs w:val="22"/>
        </w:rPr>
      </w:pPr>
      <w:r w:rsidRPr="00404179">
        <w:rPr>
          <w:rFonts w:eastAsia="Calibri"/>
          <w:sz w:val="22"/>
          <w:szCs w:val="22"/>
          <w:highlight w:val="lightGray"/>
        </w:rPr>
        <w:t>[</w:t>
      </w:r>
      <w:r>
        <w:rPr>
          <w:rFonts w:eastAsia="Calibri"/>
          <w:sz w:val="22"/>
          <w:szCs w:val="22"/>
          <w:highlight w:val="lightGray"/>
        </w:rPr>
        <w:t>a</w:t>
      </w:r>
      <w:r w:rsidRPr="00404179">
        <w:rPr>
          <w:rFonts w:eastAsia="Calibri"/>
          <w:sz w:val="22"/>
          <w:szCs w:val="22"/>
          <w:highlight w:val="lightGray"/>
        </w:rPr>
        <w:t xml:space="preserve">pply its own rules and procedures for the award and management of </w:t>
      </w:r>
      <w:r>
        <w:rPr>
          <w:rFonts w:eastAsia="Calibri"/>
          <w:sz w:val="22"/>
          <w:szCs w:val="22"/>
          <w:highlight w:val="lightGray"/>
        </w:rPr>
        <w:t>p</w:t>
      </w:r>
      <w:r w:rsidRPr="00404179">
        <w:rPr>
          <w:rFonts w:eastAsia="Calibri"/>
          <w:sz w:val="22"/>
          <w:szCs w:val="22"/>
          <w:highlight w:val="lightGray"/>
        </w:rPr>
        <w:t xml:space="preserve">rocurement </w:t>
      </w:r>
      <w:r>
        <w:rPr>
          <w:rFonts w:eastAsia="Calibri"/>
          <w:sz w:val="22"/>
          <w:szCs w:val="22"/>
          <w:highlight w:val="lightGray"/>
        </w:rPr>
        <w:t>c</w:t>
      </w:r>
      <w:r w:rsidRPr="00404179">
        <w:rPr>
          <w:rFonts w:eastAsia="Calibri"/>
          <w:sz w:val="22"/>
          <w:szCs w:val="22"/>
          <w:highlight w:val="lightGray"/>
        </w:rPr>
        <w:t xml:space="preserve">ontracts which have been </w:t>
      </w:r>
      <w:r>
        <w:rPr>
          <w:rFonts w:eastAsia="Calibri"/>
          <w:sz w:val="22"/>
          <w:szCs w:val="22"/>
          <w:highlight w:val="lightGray"/>
        </w:rPr>
        <w:t xml:space="preserve">pillar </w:t>
      </w:r>
      <w:r w:rsidRPr="00404179">
        <w:rPr>
          <w:rFonts w:eastAsia="Calibri"/>
          <w:sz w:val="22"/>
          <w:szCs w:val="22"/>
          <w:highlight w:val="lightGray"/>
        </w:rPr>
        <w:t>assessed</w:t>
      </w:r>
      <w:r w:rsidR="00F41498">
        <w:rPr>
          <w:rFonts w:eastAsia="Calibri"/>
          <w:sz w:val="22"/>
          <w:szCs w:val="22"/>
          <w:highlight w:val="lightGray"/>
        </w:rPr>
        <w:t>, instead of section 1 Principles of Annex IV</w:t>
      </w:r>
      <w:r w:rsidRPr="00404179">
        <w:rPr>
          <w:rFonts w:eastAsia="Calibri"/>
          <w:sz w:val="22"/>
          <w:szCs w:val="22"/>
          <w:highlight w:val="lightGray"/>
        </w:rPr>
        <w:t xml:space="preserve"> </w:t>
      </w:r>
      <w:r w:rsidRPr="00404179">
        <w:rPr>
          <w:rFonts w:eastAsia="Calibri"/>
          <w:sz w:val="22"/>
          <w:szCs w:val="22"/>
          <w:highlight w:val="yellow"/>
        </w:rPr>
        <w:t>If applicable, insert:</w:t>
      </w:r>
      <w:r>
        <w:rPr>
          <w:rFonts w:eastAsia="Calibri"/>
          <w:sz w:val="22"/>
          <w:szCs w:val="22"/>
          <w:highlight w:val="yellow"/>
        </w:rPr>
        <w:t xml:space="preserve"> </w:t>
      </w:r>
      <w:r w:rsidRPr="00404179">
        <w:rPr>
          <w:rFonts w:eastAsia="Calibri"/>
          <w:sz w:val="22"/>
          <w:szCs w:val="22"/>
          <w:highlight w:val="lightGray"/>
        </w:rPr>
        <w:t xml:space="preserve">[, complemented with the </w:t>
      </w:r>
      <w:r>
        <w:rPr>
          <w:rFonts w:eastAsia="Calibri"/>
          <w:sz w:val="22"/>
          <w:szCs w:val="22"/>
          <w:highlight w:val="lightGray"/>
        </w:rPr>
        <w:t xml:space="preserve">following </w:t>
      </w:r>
      <w:r w:rsidRPr="00404179">
        <w:rPr>
          <w:rFonts w:eastAsia="Calibri"/>
          <w:sz w:val="22"/>
          <w:szCs w:val="22"/>
          <w:highlight w:val="lightGray"/>
        </w:rPr>
        <w:t xml:space="preserve">ad-hoc measures </w:t>
      </w:r>
      <w:r>
        <w:rPr>
          <w:rFonts w:eastAsia="Calibri"/>
          <w:sz w:val="22"/>
          <w:szCs w:val="22"/>
          <w:highlight w:val="lightGray"/>
        </w:rPr>
        <w:t>&lt;i</w:t>
      </w:r>
      <w:r w:rsidRPr="00FE61B0">
        <w:rPr>
          <w:rFonts w:eastAsia="Calibri"/>
          <w:sz w:val="22"/>
          <w:szCs w:val="22"/>
          <w:highlight w:val="yellow"/>
        </w:rPr>
        <w:t>nsert</w:t>
      </w:r>
      <w:r>
        <w:rPr>
          <w:rFonts w:eastAsia="Calibri"/>
          <w:sz w:val="22"/>
          <w:szCs w:val="22"/>
          <w:highlight w:val="lightGray"/>
        </w:rPr>
        <w:t>&gt;</w:t>
      </w:r>
      <w:r w:rsidRPr="00404179">
        <w:rPr>
          <w:rFonts w:eastAsia="Calibri"/>
          <w:sz w:val="22"/>
          <w:szCs w:val="22"/>
          <w:highlight w:val="lightGray"/>
        </w:rPr>
        <w:t>]</w:t>
      </w:r>
      <w:r>
        <w:rPr>
          <w:rFonts w:eastAsia="Calibri"/>
          <w:sz w:val="22"/>
          <w:szCs w:val="22"/>
          <w:highlight w:val="lightGray"/>
        </w:rPr>
        <w:t xml:space="preserve"> as regards implementation contracts and subcontracting</w:t>
      </w:r>
      <w:r w:rsidRPr="00404179">
        <w:rPr>
          <w:rFonts w:eastAsia="Calibri"/>
          <w:sz w:val="22"/>
          <w:szCs w:val="22"/>
          <w:highlight w:val="lightGray"/>
        </w:rPr>
        <w:t>][, and]</w:t>
      </w:r>
    </w:p>
    <w:p w14:paraId="4D82E1CC" w14:textId="77777777" w:rsidR="00404179" w:rsidRPr="00400F9A" w:rsidRDefault="00404179" w:rsidP="00FE61B0">
      <w:pPr>
        <w:numPr>
          <w:ilvl w:val="0"/>
          <w:numId w:val="37"/>
        </w:numPr>
        <w:tabs>
          <w:tab w:val="left" w:pos="567"/>
          <w:tab w:val="left" w:pos="1701"/>
        </w:tabs>
        <w:spacing w:before="120" w:after="120" w:line="276" w:lineRule="auto"/>
        <w:ind w:left="1701" w:hanging="567"/>
        <w:jc w:val="both"/>
        <w:rPr>
          <w:sz w:val="22"/>
          <w:szCs w:val="22"/>
        </w:rPr>
      </w:pPr>
      <w:r w:rsidRPr="00400F9A">
        <w:rPr>
          <w:rFonts w:eastAsia="Calibri"/>
          <w:sz w:val="22"/>
          <w:szCs w:val="22"/>
          <w:highlight w:val="lightGray"/>
        </w:rPr>
        <w:t xml:space="preserve">[apply its own rules and procedures for the award and management of grants, which have been pillar assessed </w:t>
      </w:r>
      <w:r w:rsidRPr="00400F9A">
        <w:rPr>
          <w:rFonts w:eastAsia="Calibri"/>
          <w:sz w:val="22"/>
          <w:szCs w:val="22"/>
          <w:highlight w:val="yellow"/>
        </w:rPr>
        <w:t>If applicable, insert:</w:t>
      </w:r>
      <w:r w:rsidRPr="00400F9A">
        <w:rPr>
          <w:rFonts w:eastAsia="Calibri"/>
          <w:sz w:val="22"/>
          <w:szCs w:val="22"/>
          <w:highlight w:val="lightGray"/>
        </w:rPr>
        <w:t>[, complemented with the following ad-hoc measures &lt;</w:t>
      </w:r>
      <w:r w:rsidRPr="00FE61B0">
        <w:rPr>
          <w:rFonts w:eastAsia="Calibri"/>
          <w:sz w:val="22"/>
          <w:szCs w:val="22"/>
          <w:highlight w:val="yellow"/>
        </w:rPr>
        <w:t>insert</w:t>
      </w:r>
      <w:r w:rsidRPr="00400F9A">
        <w:rPr>
          <w:rFonts w:eastAsia="Calibri"/>
          <w:sz w:val="22"/>
          <w:szCs w:val="22"/>
          <w:highlight w:val="lightGray"/>
        </w:rPr>
        <w:t>&gt;]]</w:t>
      </w:r>
      <w:r w:rsidR="00400F9A" w:rsidRPr="00400F9A">
        <w:rPr>
          <w:rFonts w:eastAsia="Calibri"/>
          <w:sz w:val="22"/>
          <w:szCs w:val="22"/>
          <w:highlight w:val="lightGray"/>
        </w:rPr>
        <w:t xml:space="preserve"> as regards financial support to third parties</w:t>
      </w:r>
      <w:r w:rsidRPr="00400F9A">
        <w:rPr>
          <w:rFonts w:eastAsia="Calibri"/>
          <w:sz w:val="22"/>
          <w:szCs w:val="22"/>
          <w:highlight w:val="lightGray"/>
        </w:rPr>
        <w:t>.]</w:t>
      </w:r>
      <w:r w:rsidR="00400F9A" w:rsidRPr="00400F9A">
        <w:rPr>
          <w:sz w:val="22"/>
          <w:szCs w:val="22"/>
        </w:rPr>
        <w:t>]</w:t>
      </w:r>
    </w:p>
    <w:p w14:paraId="311D3995" w14:textId="519C4E87" w:rsidR="005D62F4" w:rsidRPr="001604A5" w:rsidRDefault="000D03E3" w:rsidP="001D4F0F">
      <w:pPr>
        <w:numPr>
          <w:ilvl w:val="0"/>
          <w:numId w:val="32"/>
        </w:numPr>
        <w:spacing w:after="80"/>
        <w:ind w:left="1134" w:hanging="357"/>
        <w:jc w:val="both"/>
        <w:rPr>
          <w:sz w:val="22"/>
          <w:szCs w:val="22"/>
        </w:rPr>
      </w:pPr>
      <w:r w:rsidRPr="0054622E">
        <w:rPr>
          <w:sz w:val="22"/>
          <w:szCs w:val="22"/>
        </w:rPr>
        <w:t xml:space="preserve">Article </w:t>
      </w:r>
      <w:r w:rsidR="006753AE">
        <w:rPr>
          <w:sz w:val="22"/>
          <w:szCs w:val="22"/>
        </w:rPr>
        <w:t>2</w:t>
      </w:r>
      <w:r w:rsidRPr="0054622E">
        <w:rPr>
          <w:sz w:val="22"/>
          <w:szCs w:val="22"/>
        </w:rPr>
        <w:t>.</w:t>
      </w:r>
      <w:r w:rsidR="005B757F">
        <w:rPr>
          <w:sz w:val="22"/>
          <w:szCs w:val="22"/>
        </w:rPr>
        <w:t>9</w:t>
      </w:r>
      <w:r w:rsidR="005B757F" w:rsidRPr="0054622E">
        <w:rPr>
          <w:sz w:val="22"/>
          <w:szCs w:val="22"/>
        </w:rPr>
        <w:t xml:space="preserve"> </w:t>
      </w:r>
      <w:r w:rsidRPr="0054622E">
        <w:rPr>
          <w:sz w:val="22"/>
          <w:szCs w:val="22"/>
        </w:rPr>
        <w:t xml:space="preserve">of </w:t>
      </w:r>
      <w:r w:rsidR="005B757F">
        <w:rPr>
          <w:sz w:val="22"/>
          <w:szCs w:val="22"/>
        </w:rPr>
        <w:t>Annex II</w:t>
      </w:r>
      <w:r w:rsidRPr="0054622E">
        <w:rPr>
          <w:sz w:val="22"/>
          <w:szCs w:val="22"/>
        </w:rPr>
        <w:t xml:space="preserve"> shall be supplemented as follows:</w:t>
      </w:r>
    </w:p>
    <w:p w14:paraId="4936E73D" w14:textId="747D760B" w:rsidR="0054622E" w:rsidRDefault="005B757F" w:rsidP="001D4F0F">
      <w:pPr>
        <w:spacing w:after="80"/>
        <w:ind w:left="1134"/>
        <w:jc w:val="both"/>
        <w:rPr>
          <w:sz w:val="22"/>
          <w:szCs w:val="22"/>
        </w:rPr>
      </w:pPr>
      <w:r>
        <w:rPr>
          <w:sz w:val="22"/>
          <w:szCs w:val="22"/>
        </w:rPr>
        <w:t>“</w:t>
      </w:r>
      <w:r w:rsidR="000D03E3" w:rsidRPr="00FE61B0">
        <w:rPr>
          <w:i/>
          <w:iCs/>
          <w:sz w:val="22"/>
          <w:szCs w:val="22"/>
        </w:rPr>
        <w:t xml:space="preserve">The </w:t>
      </w:r>
      <w:r w:rsidRPr="00FE61B0">
        <w:rPr>
          <w:i/>
          <w:iCs/>
          <w:sz w:val="22"/>
          <w:szCs w:val="22"/>
        </w:rPr>
        <w:t xml:space="preserve">coordinator in agreement with the </w:t>
      </w:r>
      <w:r w:rsidR="000D03E3" w:rsidRPr="00FE61B0">
        <w:rPr>
          <w:i/>
          <w:iCs/>
          <w:sz w:val="22"/>
          <w:szCs w:val="22"/>
        </w:rPr>
        <w:t>Organisation may decide to substitute the</w:t>
      </w:r>
      <w:r w:rsidRPr="00FE61B0">
        <w:rPr>
          <w:i/>
          <w:iCs/>
          <w:sz w:val="22"/>
          <w:szCs w:val="22"/>
        </w:rPr>
        <w:t xml:space="preserve"> contractual</w:t>
      </w:r>
      <w:r w:rsidR="000D03E3" w:rsidRPr="00FE61B0">
        <w:rPr>
          <w:i/>
          <w:iCs/>
          <w:sz w:val="22"/>
          <w:szCs w:val="22"/>
        </w:rPr>
        <w:t xml:space="preserve"> expenditure verification report and/or the detailed breakdown of expenditure for the part of incurred expenditure of the action that is implemented by the </w:t>
      </w:r>
      <w:r w:rsidRPr="00FE61B0">
        <w:rPr>
          <w:i/>
          <w:iCs/>
          <w:sz w:val="22"/>
          <w:szCs w:val="22"/>
        </w:rPr>
        <w:t xml:space="preserve">Organisation </w:t>
      </w:r>
      <w:r w:rsidR="000D03E3" w:rsidRPr="00FE61B0">
        <w:rPr>
          <w:i/>
          <w:iCs/>
          <w:sz w:val="22"/>
          <w:szCs w:val="22"/>
        </w:rPr>
        <w:t xml:space="preserve">by a management declaration </w:t>
      </w:r>
      <w:r w:rsidR="000D05FD" w:rsidRPr="00FE61B0">
        <w:rPr>
          <w:i/>
          <w:iCs/>
          <w:sz w:val="22"/>
          <w:szCs w:val="22"/>
        </w:rPr>
        <w:t xml:space="preserve">stating </w:t>
      </w:r>
      <w:r w:rsidR="000D03E3" w:rsidRPr="00FE61B0">
        <w:rPr>
          <w:i/>
          <w:iCs/>
          <w:sz w:val="22"/>
          <w:szCs w:val="22"/>
        </w:rPr>
        <w:t>that during the period c</w:t>
      </w:r>
      <w:r w:rsidR="00CB52E0" w:rsidRPr="00FE61B0">
        <w:rPr>
          <w:i/>
          <w:iCs/>
          <w:sz w:val="22"/>
          <w:szCs w:val="22"/>
        </w:rPr>
        <w:t>overed</w:t>
      </w:r>
      <w:r w:rsidR="000D03E3" w:rsidRPr="00FE61B0">
        <w:rPr>
          <w:i/>
          <w:iCs/>
          <w:sz w:val="22"/>
          <w:szCs w:val="22"/>
        </w:rPr>
        <w:t xml:space="preserve"> by the co</w:t>
      </w:r>
      <w:r w:rsidR="00CB52E0" w:rsidRPr="00FE61B0">
        <w:rPr>
          <w:i/>
          <w:iCs/>
          <w:sz w:val="22"/>
          <w:szCs w:val="22"/>
        </w:rPr>
        <w:t>rresponding</w:t>
      </w:r>
      <w:r w:rsidR="000D03E3" w:rsidRPr="00FE61B0">
        <w:rPr>
          <w:i/>
          <w:iCs/>
          <w:sz w:val="22"/>
          <w:szCs w:val="22"/>
        </w:rPr>
        <w:t xml:space="preserve"> report the contribution has been used and accounted for in compliance with the systems and rules positively assessed in the pillar assessment and with the obligations laid down in this contract. In that case, Annex VII is not applicable to the organisation</w:t>
      </w:r>
      <w:r w:rsidR="0054622E">
        <w:rPr>
          <w:sz w:val="22"/>
          <w:szCs w:val="22"/>
        </w:rPr>
        <w:t>.</w:t>
      </w:r>
      <w:r>
        <w:rPr>
          <w:sz w:val="22"/>
          <w:szCs w:val="22"/>
        </w:rPr>
        <w:t>”</w:t>
      </w:r>
    </w:p>
    <w:p w14:paraId="5A51EE65" w14:textId="77777777" w:rsidR="005D62F4" w:rsidRPr="005D62F4" w:rsidRDefault="005D62F4" w:rsidP="005D62F4">
      <w:pPr>
        <w:spacing w:after="80"/>
        <w:ind w:left="1134"/>
        <w:jc w:val="both"/>
        <w:rPr>
          <w:sz w:val="22"/>
          <w:szCs w:val="22"/>
          <w:highlight w:val="yellow"/>
        </w:rPr>
      </w:pPr>
      <w:r w:rsidRPr="005D62F4">
        <w:rPr>
          <w:sz w:val="22"/>
          <w:szCs w:val="22"/>
          <w:highlight w:val="yellow"/>
        </w:rPr>
        <w:t>Select one:</w:t>
      </w:r>
    </w:p>
    <w:p w14:paraId="14336D5D" w14:textId="0C267E82" w:rsidR="005D62F4" w:rsidRPr="005D62F4" w:rsidRDefault="005D62F4" w:rsidP="005D62F4">
      <w:pPr>
        <w:spacing w:after="120"/>
        <w:ind w:left="1134"/>
        <w:jc w:val="both"/>
        <w:rPr>
          <w:sz w:val="22"/>
          <w:szCs w:val="22"/>
        </w:rPr>
      </w:pPr>
      <w:r w:rsidRPr="005D62F4">
        <w:rPr>
          <w:sz w:val="22"/>
          <w:szCs w:val="22"/>
          <w:highlight w:val="yellow"/>
        </w:rPr>
        <w:t>For International Organisations</w:t>
      </w:r>
      <w:r w:rsidR="005B757F">
        <w:rPr>
          <w:sz w:val="22"/>
          <w:szCs w:val="22"/>
          <w:highlight w:val="yellow"/>
        </w:rPr>
        <w:t>/Member States Organisations</w:t>
      </w:r>
      <w:r w:rsidRPr="005D62F4">
        <w:rPr>
          <w:sz w:val="22"/>
          <w:szCs w:val="22"/>
          <w:highlight w:val="yellow"/>
        </w:rPr>
        <w:t xml:space="preserve"> which have established an arrangement to provide annually </w:t>
      </w:r>
      <w:r w:rsidR="005B757F">
        <w:rPr>
          <w:sz w:val="22"/>
          <w:szCs w:val="22"/>
          <w:highlight w:val="yellow"/>
        </w:rPr>
        <w:t xml:space="preserve">a global </w:t>
      </w:r>
      <w:r w:rsidRPr="005D62F4">
        <w:rPr>
          <w:sz w:val="22"/>
          <w:szCs w:val="22"/>
          <w:highlight w:val="yellow"/>
        </w:rPr>
        <w:t>management declaration:</w:t>
      </w:r>
      <w:r>
        <w:rPr>
          <w:sz w:val="22"/>
          <w:szCs w:val="22"/>
        </w:rPr>
        <w:t xml:space="preserve"> </w:t>
      </w:r>
      <w:r w:rsidRPr="005D62F4">
        <w:rPr>
          <w:sz w:val="22"/>
          <w:szCs w:val="22"/>
          <w:highlight w:val="lightGray"/>
        </w:rPr>
        <w:t xml:space="preserve">[The Organisation shall provide annually a </w:t>
      </w:r>
      <w:r w:rsidR="005B757F">
        <w:rPr>
          <w:sz w:val="22"/>
          <w:szCs w:val="22"/>
          <w:highlight w:val="lightGray"/>
        </w:rPr>
        <w:t xml:space="preserve">global </w:t>
      </w:r>
      <w:r w:rsidRPr="005D62F4">
        <w:rPr>
          <w:sz w:val="22"/>
          <w:szCs w:val="22"/>
          <w:highlight w:val="lightGray"/>
        </w:rPr>
        <w:t>management declaration to the European Commission headquarters.]</w:t>
      </w:r>
    </w:p>
    <w:p w14:paraId="13F74601" w14:textId="7E63217D" w:rsidR="005D62F4" w:rsidRDefault="005B757F" w:rsidP="005D62F4">
      <w:pPr>
        <w:spacing w:after="120"/>
        <w:ind w:left="1134"/>
        <w:jc w:val="both"/>
        <w:rPr>
          <w:sz w:val="22"/>
          <w:szCs w:val="22"/>
        </w:rPr>
      </w:pPr>
      <w:r>
        <w:rPr>
          <w:sz w:val="22"/>
          <w:szCs w:val="22"/>
          <w:highlight w:val="yellow"/>
        </w:rPr>
        <w:t>I</w:t>
      </w:r>
      <w:r w:rsidR="005D62F4" w:rsidRPr="005D62F4">
        <w:rPr>
          <w:sz w:val="22"/>
          <w:szCs w:val="22"/>
          <w:highlight w:val="yellow"/>
        </w:rPr>
        <w:t>n all other cases:</w:t>
      </w:r>
      <w:r>
        <w:rPr>
          <w:sz w:val="22"/>
          <w:szCs w:val="22"/>
          <w:highlight w:val="yellow"/>
        </w:rPr>
        <w:t xml:space="preserve"> </w:t>
      </w:r>
      <w:r w:rsidR="005D62F4" w:rsidRPr="005D62F4">
        <w:rPr>
          <w:sz w:val="22"/>
          <w:szCs w:val="22"/>
          <w:highlight w:val="lightGray"/>
        </w:rPr>
        <w:t xml:space="preserve">[The </w:t>
      </w:r>
      <w:r>
        <w:rPr>
          <w:sz w:val="22"/>
          <w:szCs w:val="22"/>
          <w:highlight w:val="lightGray"/>
        </w:rPr>
        <w:t xml:space="preserve">coordinator </w:t>
      </w:r>
      <w:r w:rsidR="005D62F4" w:rsidRPr="005D62F4">
        <w:rPr>
          <w:sz w:val="22"/>
          <w:szCs w:val="22"/>
          <w:highlight w:val="lightGray"/>
        </w:rPr>
        <w:t xml:space="preserve">shall </w:t>
      </w:r>
      <w:r>
        <w:rPr>
          <w:sz w:val="22"/>
          <w:szCs w:val="22"/>
          <w:highlight w:val="lightGray"/>
        </w:rPr>
        <w:t>submit the Organisation’s</w:t>
      </w:r>
      <w:r w:rsidR="005D62F4" w:rsidRPr="005D62F4">
        <w:rPr>
          <w:sz w:val="22"/>
          <w:szCs w:val="22"/>
          <w:highlight w:val="lightGray"/>
        </w:rPr>
        <w:t xml:space="preserve"> management declaration with every progress and final report.]</w:t>
      </w:r>
    </w:p>
    <w:p w14:paraId="10455734" w14:textId="3C08C6B3" w:rsidR="0038536F" w:rsidRDefault="0038536F" w:rsidP="00FE61B0">
      <w:pPr>
        <w:numPr>
          <w:ilvl w:val="0"/>
          <w:numId w:val="32"/>
        </w:numPr>
        <w:tabs>
          <w:tab w:val="left" w:pos="1134"/>
        </w:tabs>
        <w:spacing w:before="120"/>
        <w:ind w:left="1134" w:hanging="567"/>
        <w:jc w:val="both"/>
        <w:rPr>
          <w:sz w:val="22"/>
          <w:szCs w:val="22"/>
        </w:rPr>
      </w:pPr>
      <w:r w:rsidRPr="00646BAB">
        <w:rPr>
          <w:sz w:val="22"/>
          <w:szCs w:val="22"/>
        </w:rPr>
        <w:t>Article 16</w:t>
      </w:r>
      <w:r w:rsidR="00400F9A" w:rsidRPr="00646BAB">
        <w:rPr>
          <w:sz w:val="22"/>
          <w:szCs w:val="22"/>
        </w:rPr>
        <w:t>.6 to Article 16.10</w:t>
      </w:r>
      <w:r w:rsidRPr="00646BAB">
        <w:rPr>
          <w:sz w:val="22"/>
          <w:szCs w:val="22"/>
        </w:rPr>
        <w:t xml:space="preserve"> of </w:t>
      </w:r>
      <w:r w:rsidR="00400F9A" w:rsidRPr="00646BAB">
        <w:rPr>
          <w:sz w:val="22"/>
          <w:szCs w:val="22"/>
        </w:rPr>
        <w:t>Annex II</w:t>
      </w:r>
      <w:r w:rsidRPr="00646BAB">
        <w:rPr>
          <w:sz w:val="22"/>
          <w:szCs w:val="22"/>
        </w:rPr>
        <w:t xml:space="preserve"> shall be replaced by the following</w:t>
      </w:r>
      <w:r w:rsidRPr="00F25554">
        <w:rPr>
          <w:sz w:val="22"/>
          <w:szCs w:val="22"/>
        </w:rPr>
        <w:t>:</w:t>
      </w:r>
    </w:p>
    <w:p w14:paraId="3346EEDE" w14:textId="7F42336B" w:rsidR="007B150B" w:rsidRPr="00FE61B0" w:rsidRDefault="00F41498" w:rsidP="00FE61B0">
      <w:pPr>
        <w:pStyle w:val="Text2"/>
        <w:tabs>
          <w:tab w:val="left" w:pos="1134"/>
        </w:tabs>
        <w:spacing w:before="120" w:after="200"/>
        <w:ind w:left="1134"/>
        <w:rPr>
          <w:b/>
          <w:i/>
          <w:iCs/>
          <w:sz w:val="22"/>
          <w:szCs w:val="22"/>
          <w:u w:val="single"/>
        </w:rPr>
      </w:pPr>
      <w:r>
        <w:rPr>
          <w:b/>
          <w:sz w:val="22"/>
          <w:szCs w:val="22"/>
        </w:rPr>
        <w:t>“</w:t>
      </w:r>
      <w:r w:rsidR="00400F9A" w:rsidRPr="00FE61B0">
        <w:rPr>
          <w:b/>
          <w:i/>
          <w:iCs/>
          <w:sz w:val="22"/>
          <w:szCs w:val="22"/>
          <w:u w:val="single"/>
        </w:rPr>
        <w:t>Right of access</w:t>
      </w:r>
    </w:p>
    <w:p w14:paraId="43469BE8" w14:textId="7DF7CC0B" w:rsidR="007B150B" w:rsidRPr="00FE61B0" w:rsidRDefault="005D62F4" w:rsidP="00FE61B0">
      <w:pPr>
        <w:tabs>
          <w:tab w:val="left" w:pos="1701"/>
        </w:tabs>
        <w:spacing w:after="80"/>
        <w:ind w:left="1701" w:hanging="567"/>
        <w:jc w:val="both"/>
        <w:rPr>
          <w:i/>
          <w:iCs/>
          <w:sz w:val="22"/>
          <w:szCs w:val="22"/>
        </w:rPr>
      </w:pPr>
      <w:r w:rsidRPr="00FE61B0">
        <w:rPr>
          <w:i/>
          <w:iCs/>
          <w:sz w:val="22"/>
          <w:szCs w:val="22"/>
        </w:rPr>
        <w:t>16.</w:t>
      </w:r>
      <w:r w:rsidR="00400F9A" w:rsidRPr="00FE61B0">
        <w:rPr>
          <w:i/>
          <w:iCs/>
          <w:sz w:val="22"/>
          <w:szCs w:val="22"/>
        </w:rPr>
        <w:t>6</w:t>
      </w:r>
      <w:r w:rsidRPr="00FE61B0">
        <w:rPr>
          <w:i/>
          <w:iCs/>
          <w:sz w:val="22"/>
          <w:szCs w:val="22"/>
        </w:rPr>
        <w:t xml:space="preserve"> </w:t>
      </w:r>
      <w:r w:rsidR="00646BAB" w:rsidRPr="00FE61B0">
        <w:rPr>
          <w:i/>
          <w:iCs/>
          <w:sz w:val="22"/>
          <w:szCs w:val="22"/>
        </w:rPr>
        <w:tab/>
      </w:r>
      <w:r w:rsidR="007B150B" w:rsidRPr="00FE61B0">
        <w:rPr>
          <w:i/>
          <w:iCs/>
          <w:sz w:val="22"/>
          <w:szCs w:val="22"/>
        </w:rPr>
        <w:t xml:space="preserve">The Organisation shall allow the European Commission, or any authorised representatives, to conduct desk reviews and on-the-spot checks </w:t>
      </w:r>
      <w:r w:rsidR="00646BAB" w:rsidRPr="00FE61B0">
        <w:rPr>
          <w:i/>
          <w:iCs/>
          <w:sz w:val="22"/>
          <w:szCs w:val="22"/>
        </w:rPr>
        <w:t xml:space="preserve">on the use made of the EU contribution </w:t>
      </w:r>
      <w:r w:rsidR="007B150B" w:rsidRPr="00FE61B0">
        <w:rPr>
          <w:i/>
          <w:iCs/>
          <w:sz w:val="22"/>
          <w:szCs w:val="22"/>
        </w:rPr>
        <w:t xml:space="preserve">on the basis of supporting accounting documents and any other document related to the financing of the </w:t>
      </w:r>
      <w:r w:rsidR="00646BAB" w:rsidRPr="00FE61B0">
        <w:rPr>
          <w:i/>
          <w:iCs/>
          <w:sz w:val="22"/>
          <w:szCs w:val="22"/>
        </w:rPr>
        <w:t>action</w:t>
      </w:r>
      <w:r w:rsidR="007B150B" w:rsidRPr="00FE61B0">
        <w:rPr>
          <w:i/>
          <w:iCs/>
          <w:sz w:val="22"/>
          <w:szCs w:val="22"/>
        </w:rPr>
        <w:t>.</w:t>
      </w:r>
    </w:p>
    <w:p w14:paraId="06D7E448" w14:textId="265BCAAB" w:rsidR="007B150B" w:rsidRPr="00FE61B0" w:rsidRDefault="005D62F4" w:rsidP="00FE61B0">
      <w:pPr>
        <w:spacing w:after="80"/>
        <w:ind w:left="1701" w:hanging="567"/>
        <w:jc w:val="both"/>
        <w:rPr>
          <w:i/>
          <w:iCs/>
          <w:sz w:val="22"/>
          <w:szCs w:val="22"/>
        </w:rPr>
      </w:pPr>
      <w:r w:rsidRPr="00FE61B0">
        <w:rPr>
          <w:i/>
          <w:iCs/>
          <w:sz w:val="22"/>
          <w:szCs w:val="22"/>
        </w:rPr>
        <w:t>16.</w:t>
      </w:r>
      <w:r w:rsidR="00646BAB" w:rsidRPr="00FE61B0">
        <w:rPr>
          <w:i/>
          <w:iCs/>
          <w:sz w:val="22"/>
          <w:szCs w:val="22"/>
        </w:rPr>
        <w:t>7</w:t>
      </w:r>
      <w:r w:rsidRPr="00FE61B0">
        <w:rPr>
          <w:i/>
          <w:iCs/>
          <w:sz w:val="22"/>
          <w:szCs w:val="22"/>
        </w:rPr>
        <w:t>.</w:t>
      </w:r>
      <w:r w:rsidRPr="00FE61B0">
        <w:rPr>
          <w:i/>
          <w:iCs/>
          <w:sz w:val="22"/>
          <w:szCs w:val="22"/>
        </w:rPr>
        <w:tab/>
      </w:r>
      <w:r w:rsidR="007B150B" w:rsidRPr="00FE61B0">
        <w:rPr>
          <w:i/>
          <w:iCs/>
          <w:sz w:val="22"/>
          <w:szCs w:val="22"/>
        </w:rPr>
        <w:t xml:space="preserve">The Organisation agrees that OLAF </w:t>
      </w:r>
      <w:r w:rsidR="00646BAB" w:rsidRPr="00FE61B0">
        <w:rPr>
          <w:i/>
          <w:iCs/>
          <w:sz w:val="22"/>
          <w:szCs w:val="22"/>
        </w:rPr>
        <w:t xml:space="preserve">or the European Public Prosecutors’ Office </w:t>
      </w:r>
      <w:r w:rsidR="007B150B" w:rsidRPr="00FE61B0">
        <w:rPr>
          <w:i/>
          <w:iCs/>
          <w:sz w:val="22"/>
          <w:szCs w:val="22"/>
        </w:rPr>
        <w:t xml:space="preserve">may carry out investigations, including on-the-spot checks and inspections, in accordance </w:t>
      </w:r>
      <w:r w:rsidR="007B150B" w:rsidRPr="00FE61B0">
        <w:rPr>
          <w:i/>
          <w:iCs/>
          <w:sz w:val="22"/>
          <w:szCs w:val="22"/>
        </w:rPr>
        <w:lastRenderedPageBreak/>
        <w:t>with the provisions laid down by EU law for the protection of the financial interests of the EU against fraud, corruption and any other illegal activity.</w:t>
      </w:r>
    </w:p>
    <w:p w14:paraId="235D5F32" w14:textId="2A7AC196" w:rsidR="007F7F03" w:rsidRPr="00FE61B0" w:rsidRDefault="005D62F4" w:rsidP="00FE61B0">
      <w:pPr>
        <w:spacing w:after="80"/>
        <w:ind w:left="1701" w:hanging="567"/>
        <w:jc w:val="both"/>
        <w:rPr>
          <w:i/>
          <w:iCs/>
          <w:sz w:val="22"/>
          <w:szCs w:val="22"/>
        </w:rPr>
      </w:pPr>
      <w:r w:rsidRPr="00FE61B0">
        <w:rPr>
          <w:i/>
          <w:iCs/>
          <w:sz w:val="22"/>
          <w:szCs w:val="22"/>
        </w:rPr>
        <w:t>16.</w:t>
      </w:r>
      <w:r w:rsidR="00646BAB" w:rsidRPr="00FE61B0">
        <w:rPr>
          <w:i/>
          <w:iCs/>
          <w:sz w:val="22"/>
          <w:szCs w:val="22"/>
        </w:rPr>
        <w:t>8</w:t>
      </w:r>
      <w:r w:rsidRPr="00FE61B0">
        <w:rPr>
          <w:i/>
          <w:iCs/>
          <w:sz w:val="22"/>
          <w:szCs w:val="22"/>
        </w:rPr>
        <w:t>.</w:t>
      </w:r>
      <w:r w:rsidRPr="00FE61B0">
        <w:rPr>
          <w:i/>
          <w:iCs/>
          <w:sz w:val="22"/>
          <w:szCs w:val="22"/>
        </w:rPr>
        <w:tab/>
      </w:r>
      <w:r w:rsidR="007B150B" w:rsidRPr="00FE61B0">
        <w:rPr>
          <w:i/>
          <w:iCs/>
          <w:sz w:val="22"/>
          <w:szCs w:val="22"/>
        </w:rPr>
        <w:t>The Organisation agrees that the execution of this contract may be subject to scrutiny by the Court of Auditors when the Court of Auditors audits the European Commission’s implementation of EU expenditure. In such case</w:t>
      </w:r>
      <w:r w:rsidR="00F96CF0" w:rsidRPr="00FE61B0">
        <w:rPr>
          <w:i/>
          <w:iCs/>
          <w:sz w:val="22"/>
          <w:szCs w:val="22"/>
        </w:rPr>
        <w:t>,</w:t>
      </w:r>
      <w:r w:rsidR="007B150B" w:rsidRPr="00FE61B0">
        <w:rPr>
          <w:i/>
          <w:iCs/>
          <w:sz w:val="22"/>
          <w:szCs w:val="22"/>
        </w:rPr>
        <w:t xml:space="preserve"> the Organisation shall provide to the Court of Auditors access to the information that is required for the Court to perform its duties.</w:t>
      </w:r>
      <w:r w:rsidR="007F7F03" w:rsidRPr="00FE61B0">
        <w:rPr>
          <w:i/>
          <w:iCs/>
          <w:sz w:val="22"/>
          <w:szCs w:val="22"/>
        </w:rPr>
        <w:t xml:space="preserve"> </w:t>
      </w:r>
    </w:p>
    <w:p w14:paraId="09051D48" w14:textId="29B9BAA6" w:rsidR="007B150B" w:rsidRPr="00FE61B0" w:rsidRDefault="005D62F4" w:rsidP="00FE61B0">
      <w:pPr>
        <w:spacing w:after="80"/>
        <w:ind w:left="1701" w:hanging="567"/>
        <w:jc w:val="both"/>
        <w:rPr>
          <w:i/>
          <w:iCs/>
          <w:sz w:val="22"/>
          <w:szCs w:val="22"/>
        </w:rPr>
      </w:pPr>
      <w:r w:rsidRPr="00FE61B0">
        <w:rPr>
          <w:i/>
          <w:iCs/>
          <w:sz w:val="22"/>
          <w:szCs w:val="22"/>
        </w:rPr>
        <w:t>16.</w:t>
      </w:r>
      <w:r w:rsidR="00646BAB" w:rsidRPr="00FE61B0">
        <w:rPr>
          <w:i/>
          <w:iCs/>
          <w:sz w:val="22"/>
          <w:szCs w:val="22"/>
        </w:rPr>
        <w:t>9</w:t>
      </w:r>
      <w:r w:rsidRPr="00FE61B0">
        <w:rPr>
          <w:i/>
          <w:iCs/>
          <w:sz w:val="22"/>
          <w:szCs w:val="22"/>
        </w:rPr>
        <w:t>.</w:t>
      </w:r>
      <w:r w:rsidRPr="00FE61B0">
        <w:rPr>
          <w:i/>
          <w:iCs/>
          <w:sz w:val="22"/>
          <w:szCs w:val="22"/>
        </w:rPr>
        <w:tab/>
      </w:r>
      <w:r w:rsidR="007B150B" w:rsidRPr="00FE61B0">
        <w:rPr>
          <w:i/>
          <w:iCs/>
          <w:sz w:val="22"/>
          <w:szCs w:val="22"/>
        </w:rPr>
        <w:t xml:space="preserve">To that end, the Organisation undertakes to provide officials of the European Commission, </w:t>
      </w:r>
      <w:r w:rsidR="004472AA" w:rsidRPr="00FE61B0">
        <w:rPr>
          <w:i/>
          <w:iCs/>
          <w:sz w:val="22"/>
          <w:szCs w:val="22"/>
        </w:rPr>
        <w:t xml:space="preserve">the European Public Prosecutor’s Office, </w:t>
      </w:r>
      <w:r w:rsidR="007B150B" w:rsidRPr="00FE61B0">
        <w:rPr>
          <w:i/>
          <w:iCs/>
          <w:sz w:val="22"/>
          <w:szCs w:val="22"/>
        </w:rPr>
        <w:t>OLAF and the European Court of Auditors and their authorised agents, upon request, information and access to any documents and computerised data concerning the technical and financial management of operations financed under the contract, as well as grant them access to sites and premises at which such operations are carried out. The Organisation shall take all necessary measures to facilitate these checks in accordance with its regulations and rules. The documents and computerised data may include information that the Organisation considers confidential in accordance with its own established regulations and rules or as governed by contractual agreement</w:t>
      </w:r>
      <w:r w:rsidR="00646BAB" w:rsidRPr="00FE61B0">
        <w:rPr>
          <w:i/>
          <w:iCs/>
          <w:sz w:val="22"/>
          <w:szCs w:val="22"/>
        </w:rPr>
        <w:t xml:space="preserve"> </w:t>
      </w:r>
      <w:r w:rsidR="007B150B" w:rsidRPr="00FE61B0">
        <w:rPr>
          <w:i/>
          <w:iCs/>
          <w:sz w:val="22"/>
          <w:szCs w:val="22"/>
        </w:rPr>
        <w:t xml:space="preserve">Such information once provided to the European Commission, </w:t>
      </w:r>
      <w:r w:rsidR="004472AA" w:rsidRPr="00FE61B0">
        <w:rPr>
          <w:i/>
          <w:iCs/>
          <w:sz w:val="22"/>
          <w:szCs w:val="22"/>
        </w:rPr>
        <w:t xml:space="preserve">the European Public Prosecutor’s Office, </w:t>
      </w:r>
      <w:r w:rsidR="007B150B" w:rsidRPr="00FE61B0">
        <w:rPr>
          <w:i/>
          <w:iCs/>
          <w:sz w:val="22"/>
          <w:szCs w:val="22"/>
        </w:rPr>
        <w:t>OLAF, the European Court of Auditors, or any other authorised representatives, shall be treated in accordance with EU confidentiality rules and legislation</w:t>
      </w:r>
      <w:r w:rsidR="009366C4" w:rsidRPr="00FE61B0">
        <w:rPr>
          <w:i/>
          <w:iCs/>
          <w:sz w:val="22"/>
          <w:szCs w:val="22"/>
        </w:rPr>
        <w:t xml:space="preserve"> and Article 5</w:t>
      </w:r>
      <w:r w:rsidR="007B150B" w:rsidRPr="00FE61B0">
        <w:rPr>
          <w:i/>
          <w:iCs/>
          <w:sz w:val="22"/>
          <w:szCs w:val="22"/>
        </w:rPr>
        <w:t xml:space="preserve">. Documents must be accessible and filed in a manner permitting checks, the Organisation being bound to inform the European Commission, </w:t>
      </w:r>
      <w:r w:rsidR="004472AA" w:rsidRPr="00FE61B0">
        <w:rPr>
          <w:i/>
          <w:iCs/>
          <w:sz w:val="22"/>
          <w:szCs w:val="22"/>
        </w:rPr>
        <w:t xml:space="preserve">the European Public Prosecutor’s Office, </w:t>
      </w:r>
      <w:r w:rsidR="007B150B" w:rsidRPr="00FE61B0">
        <w:rPr>
          <w:i/>
          <w:iCs/>
          <w:sz w:val="22"/>
          <w:szCs w:val="22"/>
        </w:rPr>
        <w:t>OLAF or the European Court of Auditors of the exact location at which they ar</w:t>
      </w:r>
      <w:r w:rsidR="009366C4" w:rsidRPr="00FE61B0">
        <w:rPr>
          <w:i/>
          <w:iCs/>
          <w:sz w:val="22"/>
          <w:szCs w:val="22"/>
        </w:rPr>
        <w:t>e kept. Where appropriate, the p</w:t>
      </w:r>
      <w:r w:rsidR="007B150B" w:rsidRPr="00FE61B0">
        <w:rPr>
          <w:i/>
          <w:iCs/>
          <w:sz w:val="22"/>
          <w:szCs w:val="22"/>
        </w:rPr>
        <w:t>arties may agree to send copies of such documents for a desk review.</w:t>
      </w:r>
    </w:p>
    <w:p w14:paraId="24411878" w14:textId="14FD0181" w:rsidR="007B150B" w:rsidRPr="00FE61B0" w:rsidRDefault="005D62F4" w:rsidP="00FE61B0">
      <w:pPr>
        <w:spacing w:after="80"/>
        <w:ind w:left="1701" w:hanging="567"/>
        <w:jc w:val="both"/>
        <w:rPr>
          <w:i/>
          <w:iCs/>
          <w:sz w:val="22"/>
          <w:szCs w:val="22"/>
        </w:rPr>
      </w:pPr>
      <w:r w:rsidRPr="00FE61B0">
        <w:rPr>
          <w:i/>
          <w:iCs/>
          <w:sz w:val="22"/>
          <w:szCs w:val="22"/>
        </w:rPr>
        <w:t>16.</w:t>
      </w:r>
      <w:r w:rsidR="00646BAB" w:rsidRPr="00FE61B0">
        <w:rPr>
          <w:i/>
          <w:iCs/>
          <w:sz w:val="22"/>
          <w:szCs w:val="22"/>
        </w:rPr>
        <w:t>9</w:t>
      </w:r>
      <w:r w:rsidRPr="00FE61B0">
        <w:rPr>
          <w:i/>
          <w:iCs/>
          <w:sz w:val="22"/>
          <w:szCs w:val="22"/>
        </w:rPr>
        <w:t>.</w:t>
      </w:r>
      <w:r w:rsidRPr="00FE61B0">
        <w:rPr>
          <w:i/>
          <w:iCs/>
          <w:sz w:val="22"/>
          <w:szCs w:val="22"/>
        </w:rPr>
        <w:tab/>
      </w:r>
      <w:r w:rsidR="007B150B" w:rsidRPr="00FE61B0">
        <w:rPr>
          <w:i/>
          <w:iCs/>
          <w:sz w:val="22"/>
          <w:szCs w:val="22"/>
        </w:rPr>
        <w:t>Where applicable, the desk reviews, investigations, on-the-spot checks and inspections</w:t>
      </w:r>
      <w:r w:rsidR="009366C4" w:rsidRPr="00FE61B0">
        <w:rPr>
          <w:i/>
          <w:iCs/>
          <w:sz w:val="22"/>
          <w:szCs w:val="22"/>
        </w:rPr>
        <w:t xml:space="preserve"> referred to in Article 16.</w:t>
      </w:r>
      <w:r w:rsidR="00646BAB" w:rsidRPr="00FE61B0">
        <w:rPr>
          <w:i/>
          <w:iCs/>
          <w:sz w:val="22"/>
          <w:szCs w:val="22"/>
        </w:rPr>
        <w:t xml:space="preserve">6 </w:t>
      </w:r>
      <w:r w:rsidR="009366C4" w:rsidRPr="00FE61B0">
        <w:rPr>
          <w:i/>
          <w:iCs/>
          <w:sz w:val="22"/>
          <w:szCs w:val="22"/>
        </w:rPr>
        <w:t>to 16.</w:t>
      </w:r>
      <w:r w:rsidR="00646BAB" w:rsidRPr="00FE61B0">
        <w:rPr>
          <w:i/>
          <w:iCs/>
          <w:sz w:val="22"/>
          <w:szCs w:val="22"/>
        </w:rPr>
        <w:t xml:space="preserve">9 </w:t>
      </w:r>
      <w:r w:rsidR="007B150B" w:rsidRPr="00FE61B0">
        <w:rPr>
          <w:i/>
          <w:iCs/>
          <w:sz w:val="22"/>
          <w:szCs w:val="22"/>
        </w:rPr>
        <w:t>shall refer to a verification that shall be performed in accordance with the verification clauses agreed between the Organisation and the European Commission. This is without prejudice to any cooperation arrangement between OLAF and the Organisation’s anti-fraud bodies.</w:t>
      </w:r>
    </w:p>
    <w:p w14:paraId="705467BE" w14:textId="492F7BD1" w:rsidR="007B150B" w:rsidRDefault="005D62F4" w:rsidP="00F41498">
      <w:pPr>
        <w:spacing w:after="80"/>
        <w:ind w:left="1701" w:hanging="567"/>
        <w:jc w:val="both"/>
        <w:rPr>
          <w:sz w:val="22"/>
          <w:szCs w:val="22"/>
        </w:rPr>
      </w:pPr>
      <w:r w:rsidRPr="00FE61B0">
        <w:rPr>
          <w:i/>
          <w:iCs/>
          <w:sz w:val="22"/>
          <w:szCs w:val="22"/>
        </w:rPr>
        <w:t>16.</w:t>
      </w:r>
      <w:r w:rsidR="00646BAB" w:rsidRPr="00FE61B0">
        <w:rPr>
          <w:i/>
          <w:iCs/>
          <w:sz w:val="22"/>
          <w:szCs w:val="22"/>
        </w:rPr>
        <w:t>10</w:t>
      </w:r>
      <w:r w:rsidRPr="00FE61B0">
        <w:rPr>
          <w:i/>
          <w:iCs/>
          <w:sz w:val="22"/>
          <w:szCs w:val="22"/>
        </w:rPr>
        <w:t>.</w:t>
      </w:r>
      <w:r w:rsidRPr="00FE61B0">
        <w:rPr>
          <w:i/>
          <w:iCs/>
          <w:sz w:val="22"/>
          <w:szCs w:val="22"/>
        </w:rPr>
        <w:tab/>
      </w:r>
      <w:r w:rsidR="007B150B" w:rsidRPr="00FE61B0">
        <w:rPr>
          <w:i/>
          <w:iCs/>
          <w:sz w:val="22"/>
          <w:szCs w:val="22"/>
        </w:rPr>
        <w:t>The European Commission shall inform the Organisation of the planned on-the-spot missions by agents appointed by the European Commission in due time in order to ensure adequate procedural matters are agreed upon in advance.</w:t>
      </w:r>
      <w:r w:rsidR="00F41498">
        <w:rPr>
          <w:sz w:val="22"/>
          <w:szCs w:val="22"/>
        </w:rPr>
        <w:t>”</w:t>
      </w:r>
    </w:p>
    <w:p w14:paraId="3C255B61" w14:textId="216A1442" w:rsidR="00F41498" w:rsidRDefault="00F41498" w:rsidP="00FE61B0">
      <w:pPr>
        <w:numPr>
          <w:ilvl w:val="0"/>
          <w:numId w:val="32"/>
        </w:numPr>
        <w:tabs>
          <w:tab w:val="left" w:pos="1134"/>
        </w:tabs>
        <w:spacing w:after="80"/>
        <w:ind w:left="1134" w:hanging="567"/>
        <w:jc w:val="both"/>
        <w:rPr>
          <w:sz w:val="22"/>
          <w:szCs w:val="22"/>
        </w:rPr>
      </w:pPr>
      <w:r w:rsidRPr="00646BAB">
        <w:rPr>
          <w:sz w:val="22"/>
          <w:szCs w:val="22"/>
        </w:rPr>
        <w:t xml:space="preserve">Article 16 of Annex II shall be </w:t>
      </w:r>
      <w:r>
        <w:rPr>
          <w:sz w:val="22"/>
          <w:szCs w:val="22"/>
        </w:rPr>
        <w:t>supplemented with</w:t>
      </w:r>
      <w:r w:rsidRPr="00646BAB">
        <w:rPr>
          <w:sz w:val="22"/>
          <w:szCs w:val="22"/>
        </w:rPr>
        <w:t xml:space="preserve"> the following</w:t>
      </w:r>
      <w:r w:rsidRPr="00F25554">
        <w:rPr>
          <w:sz w:val="22"/>
          <w:szCs w:val="22"/>
        </w:rPr>
        <w:t>:</w:t>
      </w:r>
    </w:p>
    <w:p w14:paraId="711CCE0B" w14:textId="21C6A3C0" w:rsidR="00646BAB" w:rsidRPr="00FE61B0" w:rsidRDefault="00F41498" w:rsidP="00FE61B0">
      <w:pPr>
        <w:pStyle w:val="Bodytext10"/>
        <w:tabs>
          <w:tab w:val="left" w:pos="1276"/>
        </w:tabs>
        <w:spacing w:after="80" w:line="240" w:lineRule="atLeast"/>
        <w:ind w:left="1134"/>
        <w:jc w:val="both"/>
        <w:rPr>
          <w:rStyle w:val="Bodytext1"/>
          <w:i/>
          <w:iCs/>
        </w:rPr>
      </w:pPr>
      <w:r>
        <w:rPr>
          <w:rStyle w:val="Bodytext1"/>
          <w:b/>
          <w:bCs/>
          <w:u w:val="single"/>
        </w:rPr>
        <w:t>“</w:t>
      </w:r>
      <w:r w:rsidR="00646BAB" w:rsidRPr="00FE61B0">
        <w:rPr>
          <w:rStyle w:val="Bodytext1"/>
          <w:b/>
          <w:bCs/>
          <w:i/>
          <w:iCs/>
          <w:u w:val="single"/>
        </w:rPr>
        <w:t>Consequences of non compliance</w:t>
      </w:r>
    </w:p>
    <w:p w14:paraId="79197D18" w14:textId="310E0069" w:rsidR="00646BAB" w:rsidRDefault="00646BAB" w:rsidP="00FE61B0">
      <w:pPr>
        <w:pStyle w:val="Bodytext10"/>
        <w:tabs>
          <w:tab w:val="left" w:pos="1701"/>
        </w:tabs>
        <w:spacing w:after="80" w:line="240" w:lineRule="atLeast"/>
        <w:ind w:left="1701" w:hanging="567"/>
        <w:jc w:val="both"/>
        <w:rPr>
          <w:rStyle w:val="Bodytext1"/>
          <w:lang w:eastAsia="en-US"/>
        </w:rPr>
      </w:pPr>
      <w:r w:rsidRPr="00FE61B0">
        <w:rPr>
          <w:i/>
          <w:iCs/>
        </w:rPr>
        <w:t>16.11.</w:t>
      </w:r>
      <w:r w:rsidRPr="00FE61B0">
        <w:rPr>
          <w:i/>
          <w:iCs/>
        </w:rPr>
        <w:tab/>
        <w:t>Failure to comply with the obligations set forth in Article 16.1 to 16.10 constitutes a case of breach of a substantial obligation under this contract. In this case, the contracting authority may in particular suspend the contract, payments or the time-limit for a payment, terminate the contract, terminate the participation of the Organisation and/or reduce the grant</w:t>
      </w:r>
      <w:r w:rsidRPr="00FA1EAB">
        <w:t>.</w:t>
      </w:r>
      <w:r w:rsidR="00F41498">
        <w:t>”</w:t>
      </w:r>
    </w:p>
    <w:p w14:paraId="3387CCCB" w14:textId="52F45458" w:rsidR="00F41498" w:rsidRPr="0038536F" w:rsidRDefault="00F41498" w:rsidP="00F41498">
      <w:pPr>
        <w:keepNext/>
        <w:spacing w:before="120"/>
        <w:ind w:left="1134" w:hanging="567"/>
        <w:jc w:val="both"/>
        <w:rPr>
          <w:color w:val="1F497D"/>
          <w:sz w:val="22"/>
          <w:szCs w:val="22"/>
        </w:rPr>
      </w:pPr>
      <w:r>
        <w:rPr>
          <w:sz w:val="22"/>
          <w:szCs w:val="22"/>
        </w:rPr>
        <w:t>-</w:t>
      </w:r>
      <w:r>
        <w:rPr>
          <w:sz w:val="22"/>
          <w:szCs w:val="22"/>
        </w:rPr>
        <w:tab/>
        <w:t>Section 2.3. of Annex IV (exceptions to the rules on nationality and origin), shall be supplemented as follows: “</w:t>
      </w:r>
      <w:r w:rsidRPr="00FE61B0">
        <w:rPr>
          <w:i/>
          <w:iCs/>
          <w:sz w:val="22"/>
          <w:szCs w:val="22"/>
        </w:rPr>
        <w:t>The Organisation may give access to nationals or goods originating from countries other than those referred to in Sections 2.1 and 2.2 in accordance with its rules without prior authorisation by the European Commission</w:t>
      </w:r>
      <w:r>
        <w:rPr>
          <w:sz w:val="22"/>
          <w:szCs w:val="22"/>
        </w:rPr>
        <w:t>”.</w:t>
      </w:r>
      <w:r w:rsidR="00951F58">
        <w:rPr>
          <w:sz w:val="22"/>
          <w:szCs w:val="22"/>
        </w:rPr>
        <w:t xml:space="preserve"> </w:t>
      </w:r>
    </w:p>
    <w:p w14:paraId="749A8CCA" w14:textId="77777777" w:rsidR="0038536F" w:rsidRPr="0038536F" w:rsidRDefault="0038536F" w:rsidP="00FE61B0">
      <w:pPr>
        <w:keepNext/>
        <w:spacing w:before="120"/>
        <w:ind w:left="1134" w:hanging="567"/>
        <w:jc w:val="both"/>
        <w:rPr>
          <w:color w:val="1F497D"/>
          <w:sz w:val="22"/>
          <w:szCs w:val="22"/>
        </w:rPr>
      </w:pPr>
    </w:p>
    <w:sectPr w:rsidR="0038536F" w:rsidRPr="0038536F" w:rsidSect="00DF5A98">
      <w:headerReference w:type="default" r:id="rId8"/>
      <w:footerReference w:type="default" r:id="rId9"/>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80D1E" w14:textId="77777777" w:rsidR="00DC363B" w:rsidRDefault="00DC363B" w:rsidP="0038536F">
      <w:r>
        <w:separator/>
      </w:r>
    </w:p>
  </w:endnote>
  <w:endnote w:type="continuationSeparator" w:id="0">
    <w:p w14:paraId="1B0E05A4" w14:textId="77777777" w:rsidR="00DC363B" w:rsidRDefault="00DC363B" w:rsidP="00385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altName w:val="Times New Roman"/>
    <w:panose1 w:val="02020803070505020304"/>
    <w:charset w:val="00"/>
    <w:family w:val="roman"/>
    <w:notTrueType/>
    <w:pitch w:val="variable"/>
    <w:sig w:usb0="00000003" w:usb1="00000000" w:usb2="00000000" w:usb3="00000000" w:csb0="00000001"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DCF52" w14:textId="5D2EAB1E" w:rsidR="00DF5A98" w:rsidRPr="00B41404" w:rsidRDefault="00646BAB" w:rsidP="00CA3159">
    <w:pPr>
      <w:pStyle w:val="Footer"/>
      <w:tabs>
        <w:tab w:val="clear" w:pos="4536"/>
        <w:tab w:val="right" w:pos="9356"/>
      </w:tabs>
      <w:rPr>
        <w:sz w:val="18"/>
        <w:szCs w:val="18"/>
        <w:lang w:val="pt-PT"/>
      </w:rPr>
    </w:pPr>
    <w:r>
      <w:rPr>
        <w:b/>
        <w:sz w:val="18"/>
        <w:lang w:val="fr-FR"/>
      </w:rPr>
      <w:t>202</w:t>
    </w:r>
    <w:r w:rsidR="00B8773A">
      <w:rPr>
        <w:b/>
        <w:sz w:val="18"/>
        <w:lang w:val="fr-FR"/>
      </w:rPr>
      <w:t>5</w:t>
    </w:r>
    <w:r w:rsidR="00DF5A98" w:rsidRPr="00B41404">
      <w:rPr>
        <w:sz w:val="18"/>
        <w:szCs w:val="18"/>
        <w:lang w:val="pt-PT"/>
      </w:rPr>
      <w:tab/>
      <w:t xml:space="preserve">Page </w:t>
    </w:r>
    <w:r w:rsidR="00DF5A98" w:rsidRPr="00B479BA">
      <w:rPr>
        <w:sz w:val="18"/>
        <w:szCs w:val="18"/>
      </w:rPr>
      <w:fldChar w:fldCharType="begin"/>
    </w:r>
    <w:r w:rsidR="00DF5A98" w:rsidRPr="00B41404">
      <w:rPr>
        <w:sz w:val="18"/>
        <w:szCs w:val="18"/>
        <w:lang w:val="pt-PT"/>
      </w:rPr>
      <w:instrText xml:space="preserve"> PAGE </w:instrText>
    </w:r>
    <w:r w:rsidR="00DF5A98" w:rsidRPr="00B479BA">
      <w:rPr>
        <w:sz w:val="18"/>
        <w:szCs w:val="18"/>
      </w:rPr>
      <w:fldChar w:fldCharType="separate"/>
    </w:r>
    <w:r w:rsidR="00797F65">
      <w:rPr>
        <w:noProof/>
        <w:sz w:val="18"/>
        <w:szCs w:val="18"/>
        <w:lang w:val="pt-PT"/>
      </w:rPr>
      <w:t>1</w:t>
    </w:r>
    <w:r w:rsidR="00DF5A98" w:rsidRPr="00B479BA">
      <w:rPr>
        <w:sz w:val="18"/>
        <w:szCs w:val="18"/>
      </w:rPr>
      <w:fldChar w:fldCharType="end"/>
    </w:r>
    <w:r w:rsidR="00DF5A98" w:rsidRPr="00B41404">
      <w:rPr>
        <w:sz w:val="18"/>
        <w:szCs w:val="18"/>
        <w:lang w:val="pt-PT"/>
      </w:rPr>
      <w:t xml:space="preserve"> of </w:t>
    </w:r>
    <w:r w:rsidR="00DF5A98" w:rsidRPr="00B479BA">
      <w:rPr>
        <w:sz w:val="18"/>
        <w:szCs w:val="18"/>
      </w:rPr>
      <w:fldChar w:fldCharType="begin"/>
    </w:r>
    <w:r w:rsidR="00DF5A98" w:rsidRPr="00B41404">
      <w:rPr>
        <w:sz w:val="18"/>
        <w:szCs w:val="18"/>
        <w:lang w:val="pt-PT"/>
      </w:rPr>
      <w:instrText xml:space="preserve"> NUMPAGES </w:instrText>
    </w:r>
    <w:r w:rsidR="00DF5A98" w:rsidRPr="00B479BA">
      <w:rPr>
        <w:sz w:val="18"/>
        <w:szCs w:val="18"/>
      </w:rPr>
      <w:fldChar w:fldCharType="separate"/>
    </w:r>
    <w:r w:rsidR="00797F65">
      <w:rPr>
        <w:noProof/>
        <w:sz w:val="18"/>
        <w:szCs w:val="18"/>
        <w:lang w:val="pt-PT"/>
      </w:rPr>
      <w:t>4</w:t>
    </w:r>
    <w:r w:rsidR="00DF5A98" w:rsidRPr="00B479BA">
      <w:rPr>
        <w:sz w:val="18"/>
        <w:szCs w:val="18"/>
      </w:rPr>
      <w:fldChar w:fldCharType="end"/>
    </w:r>
  </w:p>
  <w:p w14:paraId="36E76265" w14:textId="5FE51075" w:rsidR="00DF5A98" w:rsidRPr="00B41404" w:rsidRDefault="00CA3159" w:rsidP="00CA3159">
    <w:pPr>
      <w:pStyle w:val="Footer"/>
      <w:tabs>
        <w:tab w:val="right" w:pos="9356"/>
      </w:tabs>
      <w:rPr>
        <w:sz w:val="18"/>
        <w:szCs w:val="18"/>
        <w:lang w:val="pt-PT"/>
      </w:rPr>
    </w:pPr>
    <w:r>
      <w:rPr>
        <w:sz w:val="18"/>
        <w:szCs w:val="18"/>
      </w:rPr>
      <w:fldChar w:fldCharType="begin"/>
    </w:r>
    <w:r>
      <w:rPr>
        <w:sz w:val="18"/>
        <w:szCs w:val="18"/>
      </w:rPr>
      <w:instrText xml:space="preserve"> FILENAME   \* MERGEFORMAT </w:instrText>
    </w:r>
    <w:r>
      <w:rPr>
        <w:sz w:val="18"/>
        <w:szCs w:val="18"/>
      </w:rPr>
      <w:fldChar w:fldCharType="separate"/>
    </w:r>
    <w:r w:rsidR="00B8773A">
      <w:rPr>
        <w:noProof/>
        <w:sz w:val="18"/>
        <w:szCs w:val="18"/>
      </w:rPr>
      <w:t>e3h11_derogations_ios_PA_entities_en.docx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67BEB" w14:textId="77777777" w:rsidR="00DC363B" w:rsidRDefault="00DC363B" w:rsidP="0038536F">
      <w:r>
        <w:separator/>
      </w:r>
    </w:p>
  </w:footnote>
  <w:footnote w:type="continuationSeparator" w:id="0">
    <w:p w14:paraId="7475AA61" w14:textId="77777777" w:rsidR="00DC363B" w:rsidRDefault="00DC363B" w:rsidP="0038536F">
      <w:r>
        <w:continuationSeparator/>
      </w:r>
    </w:p>
  </w:footnote>
  <w:footnote w:id="1">
    <w:p w14:paraId="60C3048A" w14:textId="13666097" w:rsidR="00842EDC" w:rsidRPr="00842EDC" w:rsidRDefault="00842EDC" w:rsidP="00CA3159">
      <w:pPr>
        <w:pStyle w:val="FootnoteText"/>
      </w:pPr>
      <w:r w:rsidRPr="00FE61B0">
        <w:rPr>
          <w:rStyle w:val="FootnoteReference"/>
          <w:highlight w:val="yellow"/>
        </w:rPr>
        <w:footnoteRef/>
      </w:r>
      <w:r w:rsidRPr="00FE61B0">
        <w:rPr>
          <w:highlight w:val="yellow"/>
        </w:rPr>
        <w:t xml:space="preserve"> </w:t>
      </w:r>
      <w:r w:rsidR="00535527" w:rsidRPr="00FE61B0">
        <w:rPr>
          <w:highlight w:val="yellow"/>
        </w:rPr>
        <w:tab/>
      </w:r>
      <w:r w:rsidR="003B4557" w:rsidRPr="00FE61B0">
        <w:rPr>
          <w:highlight w:val="yellow"/>
        </w:rPr>
        <w:t xml:space="preserve">Where the </w:t>
      </w:r>
      <w:r w:rsidR="00400F9A" w:rsidRPr="00FE61B0">
        <w:rPr>
          <w:b/>
          <w:bCs/>
          <w:highlight w:val="yellow"/>
        </w:rPr>
        <w:t>coordinator</w:t>
      </w:r>
      <w:r w:rsidR="00400F9A" w:rsidRPr="00FE61B0">
        <w:rPr>
          <w:highlight w:val="yellow"/>
        </w:rPr>
        <w:t xml:space="preserve"> </w:t>
      </w:r>
      <w:r w:rsidR="003B4557" w:rsidRPr="00FE61B0">
        <w:rPr>
          <w:highlight w:val="yellow"/>
        </w:rPr>
        <w:t>is an i</w:t>
      </w:r>
      <w:r w:rsidRPr="00FE61B0">
        <w:rPr>
          <w:highlight w:val="yellow"/>
        </w:rPr>
        <w:t xml:space="preserve">nternational </w:t>
      </w:r>
      <w:r w:rsidR="003B4557" w:rsidRPr="00FE61B0">
        <w:rPr>
          <w:highlight w:val="yellow"/>
        </w:rPr>
        <w:t>o</w:t>
      </w:r>
      <w:r w:rsidRPr="00FE61B0">
        <w:rPr>
          <w:highlight w:val="yellow"/>
        </w:rPr>
        <w:t>rganisation</w:t>
      </w:r>
      <w:r w:rsidR="00A13B0C" w:rsidRPr="00FE61B0">
        <w:rPr>
          <w:highlight w:val="yellow"/>
        </w:rPr>
        <w:t>/other entity</w:t>
      </w:r>
      <w:r w:rsidRPr="00FE61B0">
        <w:rPr>
          <w:highlight w:val="yellow"/>
        </w:rPr>
        <w:t xml:space="preserve"> whose pillars have been positively assessed by the European Commission</w:t>
      </w:r>
      <w:r w:rsidR="00655196" w:rsidRPr="00FE61B0">
        <w:rPr>
          <w:highlight w:val="yellow"/>
        </w:rPr>
        <w:t>,</w:t>
      </w:r>
      <w:r w:rsidRPr="00FE61B0">
        <w:rPr>
          <w:highlight w:val="yellow"/>
        </w:rPr>
        <w:t xml:space="preserve"> this annex is not relevant</w:t>
      </w:r>
      <w:r w:rsidR="00F96CF0" w:rsidRPr="00FE61B0">
        <w:rPr>
          <w:highlight w:val="yellow"/>
        </w:rPr>
        <w:t>,</w:t>
      </w:r>
      <w:r w:rsidRPr="00FE61B0">
        <w:rPr>
          <w:highlight w:val="yellow"/>
        </w:rPr>
        <w:t xml:space="preserve"> as the Organisation will sign a </w:t>
      </w:r>
      <w:r w:rsidR="00400F9A">
        <w:rPr>
          <w:highlight w:val="yellow"/>
        </w:rPr>
        <w:t>c</w:t>
      </w:r>
      <w:r w:rsidR="00400F9A" w:rsidRPr="00FE61B0">
        <w:rPr>
          <w:highlight w:val="yellow"/>
        </w:rPr>
        <w:t xml:space="preserve">ontribution </w:t>
      </w:r>
      <w:r w:rsidR="00400F9A">
        <w:rPr>
          <w:highlight w:val="yellow"/>
        </w:rPr>
        <w:t>a</w:t>
      </w:r>
      <w:r w:rsidR="00400F9A" w:rsidRPr="00FE61B0">
        <w:rPr>
          <w:highlight w:val="yellow"/>
        </w:rPr>
        <w:t xml:space="preserve">greement </w:t>
      </w:r>
      <w:r w:rsidR="00655F4D" w:rsidRPr="00FE61B0">
        <w:rPr>
          <w:highlight w:val="yellow"/>
        </w:rPr>
        <w:t xml:space="preserve">based on the </w:t>
      </w:r>
      <w:r w:rsidR="00183888" w:rsidRPr="00FE61B0">
        <w:rPr>
          <w:highlight w:val="yellow"/>
        </w:rPr>
        <w:t xml:space="preserve">related </w:t>
      </w:r>
      <w:r w:rsidRPr="00FE61B0">
        <w:rPr>
          <w:highlight w:val="yellow"/>
        </w:rPr>
        <w:t xml:space="preserve">template. This template therefore applies only where a pillar assessed organisation acts as co-beneficiary or where the coordinator or a co-beneficiary is an </w:t>
      </w:r>
      <w:r w:rsidR="003B4557" w:rsidRPr="00FE61B0">
        <w:rPr>
          <w:highlight w:val="yellow"/>
        </w:rPr>
        <w:t>i</w:t>
      </w:r>
      <w:r w:rsidRPr="00FE61B0">
        <w:rPr>
          <w:highlight w:val="yellow"/>
        </w:rPr>
        <w:t xml:space="preserve">nternational </w:t>
      </w:r>
      <w:r w:rsidR="003B4557" w:rsidRPr="00FE61B0">
        <w:rPr>
          <w:highlight w:val="yellow"/>
        </w:rPr>
        <w:t>o</w:t>
      </w:r>
      <w:r w:rsidRPr="00FE61B0">
        <w:rPr>
          <w:highlight w:val="yellow"/>
        </w:rPr>
        <w:t>rganisation whose pillars have not been positively assessed.</w:t>
      </w:r>
      <w:r>
        <w:t xml:space="preserve"> </w:t>
      </w:r>
    </w:p>
  </w:footnote>
  <w:footnote w:id="2">
    <w:p w14:paraId="349205F0" w14:textId="77777777" w:rsidR="003C7E64" w:rsidRPr="00FE61B0" w:rsidRDefault="003C7E64" w:rsidP="00CA3159">
      <w:pPr>
        <w:pStyle w:val="FootnoteText"/>
        <w:rPr>
          <w:lang w:val="en-IE"/>
        </w:rPr>
      </w:pPr>
      <w:r w:rsidRPr="00FE61B0">
        <w:rPr>
          <w:rStyle w:val="FootnoteReference"/>
          <w:highlight w:val="yellow"/>
        </w:rPr>
        <w:footnoteRef/>
      </w:r>
      <w:r w:rsidRPr="00FE61B0">
        <w:rPr>
          <w:highlight w:val="yellow"/>
        </w:rPr>
        <w:t xml:space="preserve"> </w:t>
      </w:r>
      <w:r w:rsidRPr="00FE61B0">
        <w:rPr>
          <w:highlight w:val="yellow"/>
          <w:lang w:val="en-IE"/>
        </w:rPr>
        <w:tab/>
        <w:t xml:space="preserve">Article 7.3 is </w:t>
      </w:r>
      <w:r w:rsidR="00400F9A">
        <w:rPr>
          <w:highlight w:val="yellow"/>
          <w:lang w:val="en-IE"/>
        </w:rPr>
        <w:t>only to be inserted</w:t>
      </w:r>
      <w:r w:rsidRPr="00FE61B0">
        <w:rPr>
          <w:highlight w:val="yellow"/>
          <w:lang w:val="en-IE"/>
        </w:rPr>
        <w:t xml:space="preserve"> where an international organisation: (i) is co-</w:t>
      </w:r>
      <w:r w:rsidRPr="003C7E64">
        <w:rPr>
          <w:highlight w:val="yellow"/>
          <w:lang w:val="en-IE"/>
        </w:rPr>
        <w:t>beneficiary</w:t>
      </w:r>
      <w:r w:rsidRPr="00FE61B0">
        <w:rPr>
          <w:highlight w:val="yellow"/>
          <w:lang w:val="en-IE"/>
        </w:rPr>
        <w:t xml:space="preserve"> (no matter whe</w:t>
      </w:r>
      <w:r w:rsidR="00400F9A">
        <w:rPr>
          <w:highlight w:val="yellow"/>
          <w:lang w:val="en-IE"/>
        </w:rPr>
        <w:t>ther</w:t>
      </w:r>
      <w:r w:rsidRPr="00FE61B0">
        <w:rPr>
          <w:highlight w:val="yellow"/>
          <w:lang w:val="en-IE"/>
        </w:rPr>
        <w:t xml:space="preserve"> it is pillar assessed or note); (ii) is a coordinator and it is not pillar assessed.</w:t>
      </w:r>
      <w:r>
        <w:rPr>
          <w:lang w:val="en-IE"/>
        </w:rPr>
        <w:t xml:space="preserve"> </w:t>
      </w:r>
    </w:p>
  </w:footnote>
  <w:footnote w:id="3">
    <w:p w14:paraId="60FA9FED" w14:textId="77777777" w:rsidR="009045C9" w:rsidRPr="0061319F" w:rsidRDefault="009045C9" w:rsidP="00CA3159">
      <w:pPr>
        <w:pStyle w:val="FootnoteText"/>
        <w:rPr>
          <w:lang w:val="en-IE"/>
        </w:rPr>
      </w:pPr>
      <w:r w:rsidRPr="0061319F">
        <w:rPr>
          <w:rStyle w:val="FootnoteReference"/>
          <w:highlight w:val="yellow"/>
        </w:rPr>
        <w:footnoteRef/>
      </w:r>
      <w:r w:rsidRPr="0061319F">
        <w:rPr>
          <w:highlight w:val="yellow"/>
        </w:rPr>
        <w:t xml:space="preserve"> </w:t>
      </w:r>
      <w:r w:rsidRPr="0061319F">
        <w:rPr>
          <w:highlight w:val="yellow"/>
          <w:lang w:val="en-IE"/>
        </w:rPr>
        <w:tab/>
        <w:t>Article 7.</w:t>
      </w:r>
      <w:r>
        <w:rPr>
          <w:highlight w:val="yellow"/>
          <w:lang w:val="en-IE"/>
        </w:rPr>
        <w:t>4</w:t>
      </w:r>
      <w:r w:rsidRPr="0061319F">
        <w:rPr>
          <w:highlight w:val="yellow"/>
          <w:lang w:val="en-IE"/>
        </w:rPr>
        <w:t xml:space="preserve"> is</w:t>
      </w:r>
      <w:r w:rsidR="00400F9A">
        <w:rPr>
          <w:highlight w:val="yellow"/>
          <w:lang w:val="en-IE"/>
        </w:rPr>
        <w:t xml:space="preserve"> only to be included </w:t>
      </w:r>
      <w:r w:rsidRPr="0061319F">
        <w:rPr>
          <w:highlight w:val="yellow"/>
          <w:lang w:val="en-IE"/>
        </w:rPr>
        <w:t xml:space="preserve">where </w:t>
      </w:r>
      <w:r>
        <w:rPr>
          <w:highlight w:val="yellow"/>
          <w:lang w:val="en-IE"/>
        </w:rPr>
        <w:t xml:space="preserve">a pillar assessed organisation </w:t>
      </w:r>
      <w:r w:rsidRPr="0061319F">
        <w:rPr>
          <w:highlight w:val="yellow"/>
          <w:lang w:val="en-IE"/>
        </w:rPr>
        <w:t xml:space="preserve">is </w:t>
      </w:r>
      <w:r>
        <w:rPr>
          <w:highlight w:val="yellow"/>
          <w:lang w:val="en-IE"/>
        </w:rPr>
        <w:t xml:space="preserve">a </w:t>
      </w:r>
      <w:r w:rsidRPr="0061319F">
        <w:rPr>
          <w:highlight w:val="yellow"/>
          <w:lang w:val="en-IE"/>
        </w:rPr>
        <w:t>co-</w:t>
      </w:r>
      <w:r w:rsidRPr="003C7E64">
        <w:rPr>
          <w:highlight w:val="yellow"/>
          <w:lang w:val="en-IE"/>
        </w:rPr>
        <w:t>beneficiary</w:t>
      </w:r>
      <w:r w:rsidRPr="0061319F">
        <w:rPr>
          <w:highlight w:val="yellow"/>
          <w:lang w:val="en-IE"/>
        </w:rPr>
        <w:t>.</w:t>
      </w:r>
      <w:r>
        <w:rPr>
          <w:lang w:val="en-I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E24AB" w14:textId="77777777" w:rsidR="00DF5A98" w:rsidRPr="00B479BA" w:rsidRDefault="00DF5A9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39B"/>
    <w:multiLevelType w:val="multilevel"/>
    <w:tmpl w:val="BE1EFE82"/>
    <w:styleLink w:val="Style2"/>
    <w:lvl w:ilvl="0">
      <w:start w:val="1"/>
      <w:numFmt w:val="decimal"/>
      <w:lvlText w:val="%1."/>
      <w:lvlJc w:val="left"/>
      <w:pPr>
        <w:tabs>
          <w:tab w:val="num" w:pos="360"/>
        </w:tabs>
        <w:ind w:left="360" w:hanging="360"/>
      </w:pPr>
      <w:rPr>
        <w:rFonts w:ascii="Times New Roman Bold" w:hAnsi="Times New Roman Bold" w:cs="Times New Roman" w:hint="default"/>
        <w:b/>
        <w:i w:val="0"/>
        <w:sz w:val="32"/>
        <w:szCs w:val="32"/>
      </w:rPr>
    </w:lvl>
    <w:lvl w:ilvl="1">
      <w:start w:val="1"/>
      <w:numFmt w:val="decimal"/>
      <w:lvlText w:val="%1.%2."/>
      <w:lvlJc w:val="left"/>
      <w:pPr>
        <w:tabs>
          <w:tab w:val="num" w:pos="284"/>
        </w:tabs>
        <w:ind w:left="567" w:hanging="567"/>
      </w:pPr>
      <w:rPr>
        <w:rFonts w:ascii="Times New Roman Bold" w:hAnsi="Times New Roman Bold" w:cs="Times New Roman" w:hint="default"/>
        <w:b/>
        <w:i w:val="0"/>
        <w:sz w:val="28"/>
        <w:szCs w:val="28"/>
      </w:rPr>
    </w:lvl>
    <w:lvl w:ilvl="2">
      <w:start w:val="1"/>
      <w:numFmt w:val="decimal"/>
      <w:lvlText w:val="%2.%1.%3."/>
      <w:lvlJc w:val="left"/>
      <w:pPr>
        <w:tabs>
          <w:tab w:val="num" w:pos="1080"/>
        </w:tabs>
        <w:ind w:left="1134" w:hanging="1134"/>
      </w:pPr>
      <w:rPr>
        <w:rFonts w:ascii="Times New Roman Bold" w:hAnsi="Times New Roman Bold" w:cs="Times New Roman" w:hint="default"/>
        <w:b/>
        <w:i w:val="0"/>
        <w:sz w:val="28"/>
        <w:szCs w:val="28"/>
      </w:rPr>
    </w:lvl>
    <w:lvl w:ilvl="3">
      <w:start w:val="1"/>
      <w:numFmt w:val="decimal"/>
      <w:lvlText w:val="%1.%2.%3.%4."/>
      <w:lvlJc w:val="left"/>
      <w:pPr>
        <w:tabs>
          <w:tab w:val="num" w:pos="4680"/>
        </w:tabs>
        <w:ind w:left="424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 w15:restartNumberingAfterBreak="0">
    <w:nsid w:val="07FB5B11"/>
    <w:multiLevelType w:val="hybridMultilevel"/>
    <w:tmpl w:val="B9A0D4CA"/>
    <w:lvl w:ilvl="0" w:tplc="8F66C52E">
      <w:start w:val="1"/>
      <w:numFmt w:val="bullet"/>
      <w:lvlText w:val="-"/>
      <w:lvlJc w:val="left"/>
      <w:pPr>
        <w:ind w:left="1002" w:hanging="360"/>
      </w:pPr>
      <w:rPr>
        <w:rFonts w:ascii="Calibri" w:hAnsi="Calibri" w:hint="default"/>
        <w:sz w:val="18"/>
      </w:rPr>
    </w:lvl>
    <w:lvl w:ilvl="1" w:tplc="08090003">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2" w15:restartNumberingAfterBreak="0">
    <w:nsid w:val="0D8F5D4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37237B"/>
    <w:multiLevelType w:val="multilevel"/>
    <w:tmpl w:val="BE1EFE82"/>
    <w:styleLink w:val="CurrentList1"/>
    <w:lvl w:ilvl="0">
      <w:start w:val="1"/>
      <w:numFmt w:val="decimal"/>
      <w:lvlText w:val="%1."/>
      <w:lvlJc w:val="left"/>
      <w:pPr>
        <w:tabs>
          <w:tab w:val="num" w:pos="360"/>
        </w:tabs>
        <w:ind w:left="360" w:hanging="360"/>
      </w:pPr>
      <w:rPr>
        <w:rFonts w:ascii="Times New Roman Bold" w:hAnsi="Times New Roman Bold" w:cs="Times New Roman" w:hint="default"/>
        <w:b/>
        <w:i w:val="0"/>
        <w:sz w:val="32"/>
        <w:szCs w:val="32"/>
      </w:rPr>
    </w:lvl>
    <w:lvl w:ilvl="1">
      <w:start w:val="1"/>
      <w:numFmt w:val="decimal"/>
      <w:lvlText w:val="%1.%2."/>
      <w:lvlJc w:val="left"/>
      <w:pPr>
        <w:tabs>
          <w:tab w:val="num" w:pos="426"/>
        </w:tabs>
        <w:ind w:left="709" w:hanging="567"/>
      </w:pPr>
      <w:rPr>
        <w:rFonts w:ascii="Times New Roman Bold" w:hAnsi="Times New Roman Bold" w:cs="Times New Roman" w:hint="default"/>
        <w:b/>
        <w:i w:val="0"/>
        <w:sz w:val="28"/>
        <w:szCs w:val="28"/>
      </w:rPr>
    </w:lvl>
    <w:lvl w:ilvl="2">
      <w:start w:val="1"/>
      <w:numFmt w:val="decimal"/>
      <w:lvlText w:val="%2.%1.%3."/>
      <w:lvlJc w:val="left"/>
      <w:pPr>
        <w:tabs>
          <w:tab w:val="num" w:pos="1080"/>
        </w:tabs>
        <w:ind w:left="1134" w:hanging="1134"/>
      </w:pPr>
      <w:rPr>
        <w:rFonts w:ascii="Times New Roman Bold" w:hAnsi="Times New Roman Bold" w:cs="Times New Roman" w:hint="default"/>
        <w:b/>
        <w:i w:val="0"/>
        <w:sz w:val="28"/>
        <w:szCs w:val="28"/>
      </w:rPr>
    </w:lvl>
    <w:lvl w:ilvl="3">
      <w:start w:val="1"/>
      <w:numFmt w:val="decimal"/>
      <w:lvlText w:val="%1.%2.%3.%4."/>
      <w:lvlJc w:val="left"/>
      <w:pPr>
        <w:tabs>
          <w:tab w:val="num" w:pos="4680"/>
        </w:tabs>
        <w:ind w:left="424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 w15:restartNumberingAfterBreak="0">
    <w:nsid w:val="1ABE0F69"/>
    <w:multiLevelType w:val="hybridMultilevel"/>
    <w:tmpl w:val="AC9687DC"/>
    <w:lvl w:ilvl="0" w:tplc="FFFFFFFF">
      <w:start w:val="1"/>
      <w:numFmt w:val="bullet"/>
      <w:lvlText w:val="o"/>
      <w:lvlJc w:val="left"/>
      <w:pPr>
        <w:tabs>
          <w:tab w:val="num" w:pos="1080"/>
        </w:tabs>
        <w:ind w:left="1080" w:hanging="360"/>
      </w:pPr>
      <w:rPr>
        <w:rFonts w:ascii="Courier New" w:hAnsi="Courier New"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59E4D93"/>
    <w:multiLevelType w:val="multilevel"/>
    <w:tmpl w:val="8CE6E654"/>
    <w:lvl w:ilvl="0">
      <w:start w:val="1"/>
      <w:numFmt w:val="decimal"/>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kern w:val="0"/>
        <w:position w:val="0"/>
        <w:sz w:val="32"/>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37"/>
        </w:tabs>
        <w:ind w:left="737" w:hanging="737"/>
      </w:pPr>
      <w:rPr>
        <w:rFonts w:ascii="Times New Roman Bold" w:hAnsi="Times New Roman Bold" w:cs="Times New Roman" w:hint="default"/>
        <w:b/>
        <w:i w:val="0"/>
        <w:caps w:val="0"/>
        <w:strike w:val="0"/>
        <w:dstrike w:val="0"/>
        <w:vanish w:val="0"/>
        <w:color w:val="000000"/>
        <w:spacing w:val="0"/>
        <w:w w:val="100"/>
        <w:kern w:val="0"/>
        <w:position w:val="0"/>
        <w:sz w:val="28"/>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Times New Roman Bold" w:hAnsi="Times New Roman Bold" w:cs="Times New Roman" w:hint="default"/>
        <w:b/>
        <w:i w:val="0"/>
        <w:kern w:val="28"/>
        <w:sz w:val="28"/>
      </w:rPr>
    </w:lvl>
    <w:lvl w:ilvl="3">
      <w:start w:val="1"/>
      <w:numFmt w:val="decimal"/>
      <w:lvlText w:val="%1.%2.%3.%4"/>
      <w:lvlJc w:val="left"/>
      <w:pPr>
        <w:tabs>
          <w:tab w:val="num" w:pos="360"/>
        </w:tabs>
        <w:ind w:left="0" w:firstLine="0"/>
      </w:pPr>
      <w:rPr>
        <w:rFonts w:ascii="Times New Roman Bold" w:hAnsi="Times New Roman Bold" w:cs="Times New Roman" w:hint="default"/>
        <w:b/>
        <w:i w:val="0"/>
        <w:sz w:val="24"/>
      </w:rPr>
    </w:lvl>
    <w:lvl w:ilvl="4">
      <w:start w:val="1"/>
      <w:numFmt w:val="decimal"/>
      <w:lvlText w:val="%1.%2.%3.%4.%5."/>
      <w:lvlJc w:val="left"/>
      <w:pPr>
        <w:tabs>
          <w:tab w:val="num" w:pos="360"/>
        </w:tabs>
        <w:ind w:left="0" w:firstLine="0"/>
      </w:pPr>
      <w:rPr>
        <w:rFonts w:ascii="Times New Roman Bold" w:hAnsi="Times New Roman Bold" w:cs="Times New Roman" w:hint="default"/>
        <w:b/>
        <w:i w:val="0"/>
        <w:sz w:val="24"/>
      </w:rPr>
    </w:lvl>
    <w:lvl w:ilvl="5">
      <w:numFmt w:val="none"/>
      <w:lvlText w:val=""/>
      <w:lvlJc w:val="left"/>
      <w:pPr>
        <w:tabs>
          <w:tab w:val="num" w:pos="360"/>
        </w:tabs>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6" w15:restartNumberingAfterBreak="0">
    <w:nsid w:val="260C5D7E"/>
    <w:multiLevelType w:val="hybridMultilevel"/>
    <w:tmpl w:val="D52445C2"/>
    <w:lvl w:ilvl="0" w:tplc="B952F7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FF3CD3"/>
    <w:multiLevelType w:val="hybridMultilevel"/>
    <w:tmpl w:val="725462D8"/>
    <w:lvl w:ilvl="0" w:tplc="1E68BEFE">
      <w:start w:val="1"/>
      <w:numFmt w:val="bullet"/>
      <w:lvlText w:val=""/>
      <w:lvlJc w:val="left"/>
      <w:pPr>
        <w:ind w:left="1644" w:hanging="360"/>
      </w:pPr>
      <w:rPr>
        <w:rFonts w:ascii="Symbol" w:hAnsi="Symbol" w:hint="default"/>
      </w:rPr>
    </w:lvl>
    <w:lvl w:ilvl="1" w:tplc="04090019" w:tentative="1">
      <w:start w:val="1"/>
      <w:numFmt w:val="lowerLetter"/>
      <w:lvlText w:val="%2."/>
      <w:lvlJc w:val="left"/>
      <w:pPr>
        <w:ind w:left="2364" w:hanging="360"/>
      </w:pPr>
    </w:lvl>
    <w:lvl w:ilvl="2" w:tplc="0409001B" w:tentative="1">
      <w:start w:val="1"/>
      <w:numFmt w:val="lowerRoman"/>
      <w:lvlText w:val="%3."/>
      <w:lvlJc w:val="right"/>
      <w:pPr>
        <w:ind w:left="3084" w:hanging="180"/>
      </w:pPr>
    </w:lvl>
    <w:lvl w:ilvl="3" w:tplc="0409000F" w:tentative="1">
      <w:start w:val="1"/>
      <w:numFmt w:val="decimal"/>
      <w:lvlText w:val="%4."/>
      <w:lvlJc w:val="left"/>
      <w:pPr>
        <w:ind w:left="3804" w:hanging="360"/>
      </w:pPr>
    </w:lvl>
    <w:lvl w:ilvl="4" w:tplc="04090019" w:tentative="1">
      <w:start w:val="1"/>
      <w:numFmt w:val="lowerLetter"/>
      <w:lvlText w:val="%5."/>
      <w:lvlJc w:val="left"/>
      <w:pPr>
        <w:ind w:left="4524" w:hanging="360"/>
      </w:pPr>
    </w:lvl>
    <w:lvl w:ilvl="5" w:tplc="0409001B" w:tentative="1">
      <w:start w:val="1"/>
      <w:numFmt w:val="lowerRoman"/>
      <w:lvlText w:val="%6."/>
      <w:lvlJc w:val="right"/>
      <w:pPr>
        <w:ind w:left="5244" w:hanging="180"/>
      </w:pPr>
    </w:lvl>
    <w:lvl w:ilvl="6" w:tplc="0409000F" w:tentative="1">
      <w:start w:val="1"/>
      <w:numFmt w:val="decimal"/>
      <w:lvlText w:val="%7."/>
      <w:lvlJc w:val="left"/>
      <w:pPr>
        <w:ind w:left="5964" w:hanging="360"/>
      </w:pPr>
    </w:lvl>
    <w:lvl w:ilvl="7" w:tplc="04090019" w:tentative="1">
      <w:start w:val="1"/>
      <w:numFmt w:val="lowerLetter"/>
      <w:lvlText w:val="%8."/>
      <w:lvlJc w:val="left"/>
      <w:pPr>
        <w:ind w:left="6684" w:hanging="360"/>
      </w:pPr>
    </w:lvl>
    <w:lvl w:ilvl="8" w:tplc="0409001B" w:tentative="1">
      <w:start w:val="1"/>
      <w:numFmt w:val="lowerRoman"/>
      <w:lvlText w:val="%9."/>
      <w:lvlJc w:val="right"/>
      <w:pPr>
        <w:ind w:left="7404" w:hanging="180"/>
      </w:pPr>
    </w:lvl>
  </w:abstractNum>
  <w:abstractNum w:abstractNumId="8" w15:restartNumberingAfterBreak="0">
    <w:nsid w:val="33837964"/>
    <w:multiLevelType w:val="multilevel"/>
    <w:tmpl w:val="9C18F49E"/>
    <w:lvl w:ilvl="0">
      <w:start w:val="16"/>
      <w:numFmt w:val="decimal"/>
      <w:lvlText w:val="%1."/>
      <w:lvlJc w:val="left"/>
      <w:rPr>
        <w:rFonts w:ascii="Times New Roman" w:eastAsia="Times New Roman" w:hAnsi="Times New Roman" w:cs="Times New Roman"/>
        <w:b/>
        <w:bCs/>
        <w:i w:val="0"/>
        <w:iCs w:val="0"/>
        <w:smallCaps w:val="0"/>
        <w:strike w:val="0"/>
        <w:color w:val="EBEBEB"/>
        <w:spacing w:val="0"/>
        <w:w w:val="100"/>
        <w:position w:val="0"/>
        <w:sz w:val="24"/>
        <w:szCs w:val="24"/>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592920"/>
    <w:multiLevelType w:val="multilevel"/>
    <w:tmpl w:val="E70A30D6"/>
    <w:lvl w:ilvl="0">
      <w:start w:val="16"/>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42212AF"/>
    <w:multiLevelType w:val="hybridMultilevel"/>
    <w:tmpl w:val="7240660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B8619A"/>
    <w:multiLevelType w:val="multilevel"/>
    <w:tmpl w:val="36F84C7A"/>
    <w:lvl w:ilvl="0">
      <w:start w:val="16"/>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59705DC1"/>
    <w:multiLevelType w:val="multilevel"/>
    <w:tmpl w:val="0809001F"/>
    <w:styleLink w:val="111111"/>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65F52D64"/>
    <w:multiLevelType w:val="multilevel"/>
    <w:tmpl w:val="1EDE6DBC"/>
    <w:lvl w:ilvl="0">
      <w:start w:val="1"/>
      <w:numFmt w:val="decimal"/>
      <w:pStyle w:val="pprag1"/>
      <w:lvlText w:val="%1."/>
      <w:lvlJc w:val="left"/>
      <w:pPr>
        <w:tabs>
          <w:tab w:val="num" w:pos="360"/>
        </w:tabs>
        <w:ind w:left="360" w:hanging="360"/>
      </w:pPr>
      <w:rPr>
        <w:rFonts w:ascii="Times New Roman Bold" w:hAnsi="Times New Roman Bold" w:cs="Times New Roman" w:hint="default"/>
        <w:b/>
        <w:i w:val="0"/>
        <w:sz w:val="28"/>
        <w:szCs w:val="28"/>
      </w:rPr>
    </w:lvl>
    <w:lvl w:ilvl="1">
      <w:start w:val="1"/>
      <w:numFmt w:val="decimal"/>
      <w:pStyle w:val="pprag2"/>
      <w:lvlText w:val="%1.%2."/>
      <w:lvlJc w:val="left"/>
      <w:pPr>
        <w:tabs>
          <w:tab w:val="num" w:pos="284"/>
        </w:tabs>
        <w:ind w:left="567" w:hanging="567"/>
      </w:pPr>
      <w:rPr>
        <w:rFonts w:ascii="Times New Roman Bold" w:hAnsi="Times New Roman Bold" w:cs="Times New Roman" w:hint="default"/>
        <w:b/>
        <w:i w:val="0"/>
        <w:sz w:val="24"/>
        <w:szCs w:val="24"/>
      </w:rPr>
    </w:lvl>
    <w:lvl w:ilvl="2">
      <w:start w:val="1"/>
      <w:numFmt w:val="decimal"/>
      <w:lvlText w:val="%1.%2.%3."/>
      <w:lvlJc w:val="left"/>
      <w:pPr>
        <w:tabs>
          <w:tab w:val="num" w:pos="1080"/>
        </w:tabs>
        <w:ind w:left="1134" w:hanging="1134"/>
      </w:pPr>
      <w:rPr>
        <w:rFonts w:ascii="Times New Roman Bold" w:hAnsi="Times New Roman Bold" w:cs="Times New Roman" w:hint="default"/>
        <w:b/>
        <w:i w:val="0"/>
        <w:sz w:val="28"/>
      </w:rPr>
    </w:lvl>
    <w:lvl w:ilvl="3">
      <w:start w:val="1"/>
      <w:numFmt w:val="decimal"/>
      <w:pStyle w:val="pprag4"/>
      <w:lvlText w:val="%1.%2.%3.%4."/>
      <w:lvlJc w:val="left"/>
      <w:pPr>
        <w:tabs>
          <w:tab w:val="num" w:pos="1080"/>
        </w:tabs>
        <w:ind w:left="648" w:hanging="648"/>
      </w:pPr>
      <w:rPr>
        <w:rFonts w:cs="Times New Roman" w:hint="default"/>
      </w:rPr>
    </w:lvl>
    <w:lvl w:ilvl="4">
      <w:start w:val="1"/>
      <w:numFmt w:val="decimal"/>
      <w:pStyle w:val="pprag5"/>
      <w:lvlText w:val="%1.%2.%3.%4.%5."/>
      <w:lvlJc w:val="left"/>
      <w:pPr>
        <w:tabs>
          <w:tab w:val="num" w:pos="1800"/>
        </w:tabs>
        <w:ind w:left="1512" w:hanging="792"/>
      </w:pPr>
      <w:rPr>
        <w:rFonts w:cs="Times New Roman" w:hint="default"/>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4" w15:restartNumberingAfterBreak="0">
    <w:nsid w:val="66CF5EC3"/>
    <w:multiLevelType w:val="multilevel"/>
    <w:tmpl w:val="1CC40718"/>
    <w:lvl w:ilvl="0">
      <w:start w:val="1"/>
      <w:numFmt w:val="none"/>
      <w:pStyle w:val="ApplicationHeading1"/>
      <w:lvlText w:val="%1"/>
      <w:lvlJc w:val="left"/>
      <w:rPr>
        <w:rFonts w:cs="Times New Roman" w:hint="default"/>
        <w:b/>
        <w:i w:val="0"/>
      </w:rPr>
    </w:lvl>
    <w:lvl w:ilvl="1">
      <w:start w:val="1"/>
      <w:numFmt w:val="decimal"/>
      <w:pStyle w:val="ApplicationHeading2"/>
      <w:lvlText w:val="%1%2."/>
      <w:lvlJc w:val="left"/>
      <w:pPr>
        <w:ind w:left="576" w:hanging="576"/>
      </w:pPr>
      <w:rPr>
        <w:rFonts w:ascii="Times New Roman Bold" w:hAnsi="Times New Roman Bold" w:cs="Times New Roman" w:hint="default"/>
        <w:b/>
        <w:i w:val="0"/>
        <w:color w:val="auto"/>
        <w:sz w:val="28"/>
      </w:rPr>
    </w:lvl>
    <w:lvl w:ilvl="2">
      <w:start w:val="1"/>
      <w:numFmt w:val="decimal"/>
      <w:pStyle w:val="ApplicationHeading3"/>
      <w:lvlText w:val="%1%2.%3."/>
      <w:lvlJc w:val="left"/>
      <w:pPr>
        <w:ind w:left="720" w:hanging="720"/>
      </w:pPr>
      <w:rPr>
        <w:rFonts w:ascii="Times New Roman Bold" w:hAnsi="Times New Roman Bold" w:cs="Times New Roman" w:hint="default"/>
        <w:b/>
        <w:i w:val="0"/>
        <w:color w:val="auto"/>
        <w:sz w:val="24"/>
      </w:rPr>
    </w:lvl>
    <w:lvl w:ilvl="3">
      <w:start w:val="1"/>
      <w:numFmt w:val="decimal"/>
      <w:pStyle w:val="ApplicationHeading4"/>
      <w:lvlText w:val="%1%2.%3.%4."/>
      <w:lvlJc w:val="left"/>
      <w:pPr>
        <w:ind w:left="864" w:hanging="864"/>
      </w:pPr>
      <w:rPr>
        <w:rFonts w:ascii="Times New Roman Bold" w:hAnsi="Times New Roman Bold" w:cs="Times New Roman" w:hint="default"/>
        <w:b/>
        <w:i w:val="0"/>
        <w:sz w:val="24"/>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num w:numId="1">
    <w:abstractNumId w:val="13"/>
  </w:num>
  <w:num w:numId="2">
    <w:abstractNumId w:val="14"/>
  </w:num>
  <w:num w:numId="3">
    <w:abstractNumId w:val="14"/>
  </w:num>
  <w:num w:numId="4">
    <w:abstractNumId w:val="14"/>
  </w:num>
  <w:num w:numId="5">
    <w:abstractNumId w:val="4"/>
  </w:num>
  <w:num w:numId="6">
    <w:abstractNumId w:val="14"/>
  </w:num>
  <w:num w:numId="7">
    <w:abstractNumId w:val="14"/>
  </w:num>
  <w:num w:numId="8">
    <w:abstractNumId w:val="14"/>
  </w:num>
  <w:num w:numId="9">
    <w:abstractNumId w:val="4"/>
  </w:num>
  <w:num w:numId="10">
    <w:abstractNumId w:val="5"/>
  </w:num>
  <w:num w:numId="11">
    <w:abstractNumId w:val="5"/>
  </w:num>
  <w:num w:numId="12">
    <w:abstractNumId w:val="5"/>
  </w:num>
  <w:num w:numId="13">
    <w:abstractNumId w:val="5"/>
  </w:num>
  <w:num w:numId="14">
    <w:abstractNumId w:val="5"/>
  </w:num>
  <w:num w:numId="15">
    <w:abstractNumId w:val="0"/>
  </w:num>
  <w:num w:numId="16">
    <w:abstractNumId w:val="3"/>
  </w:num>
  <w:num w:numId="17">
    <w:abstractNumId w:val="2"/>
  </w:num>
  <w:num w:numId="18">
    <w:abstractNumId w:val="12"/>
  </w:num>
  <w:num w:numId="19">
    <w:abstractNumId w:val="5"/>
  </w:num>
  <w:num w:numId="20">
    <w:abstractNumId w:val="5"/>
  </w:num>
  <w:num w:numId="21">
    <w:abstractNumId w:val="5"/>
  </w:num>
  <w:num w:numId="22">
    <w:abstractNumId w:val="5"/>
  </w:num>
  <w:num w:numId="23">
    <w:abstractNumId w:val="5"/>
  </w:num>
  <w:num w:numId="24">
    <w:abstractNumId w:val="0"/>
  </w:num>
  <w:num w:numId="25">
    <w:abstractNumId w:val="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
  </w:num>
  <w:num w:numId="33">
    <w:abstractNumId w:val="6"/>
  </w:num>
  <w:num w:numId="34">
    <w:abstractNumId w:val="10"/>
  </w:num>
  <w:num w:numId="35">
    <w:abstractNumId w:val="11"/>
  </w:num>
  <w:num w:numId="36">
    <w:abstractNumId w:val="9"/>
  </w:num>
  <w:num w:numId="37">
    <w:abstractNumId w:val="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B21" w:allStyles="1" w:customStyles="0" w:latentStyles="0" w:stylesInUse="0" w:headingStyles="1" w:numberingStyles="0" w:tableStyles="0" w:directFormattingOnRuns="1" w:directFormattingOnParagraphs="1" w:directFormattingOnNumbering="0" w:directFormattingOnTables="1" w:clearFormatting="1" w:top3HeadingStyles="0"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8536F"/>
    <w:rsid w:val="00010DBF"/>
    <w:rsid w:val="00033011"/>
    <w:rsid w:val="000514F1"/>
    <w:rsid w:val="000813CD"/>
    <w:rsid w:val="000B3E1D"/>
    <w:rsid w:val="000D03E3"/>
    <w:rsid w:val="000D05FD"/>
    <w:rsid w:val="000D3112"/>
    <w:rsid w:val="000F4A79"/>
    <w:rsid w:val="00101DDD"/>
    <w:rsid w:val="00124C31"/>
    <w:rsid w:val="001563EE"/>
    <w:rsid w:val="001604A5"/>
    <w:rsid w:val="00175C88"/>
    <w:rsid w:val="00183888"/>
    <w:rsid w:val="001A5FD7"/>
    <w:rsid w:val="001D131F"/>
    <w:rsid w:val="001D4F0F"/>
    <w:rsid w:val="001E1F7F"/>
    <w:rsid w:val="001F00B7"/>
    <w:rsid w:val="00244AB4"/>
    <w:rsid w:val="0024555A"/>
    <w:rsid w:val="002C06F9"/>
    <w:rsid w:val="002D68DC"/>
    <w:rsid w:val="00342AEC"/>
    <w:rsid w:val="00347E15"/>
    <w:rsid w:val="00353408"/>
    <w:rsid w:val="00370DAF"/>
    <w:rsid w:val="00375D5B"/>
    <w:rsid w:val="0037620A"/>
    <w:rsid w:val="0038536F"/>
    <w:rsid w:val="00397B5E"/>
    <w:rsid w:val="003B1588"/>
    <w:rsid w:val="003B2572"/>
    <w:rsid w:val="003B4557"/>
    <w:rsid w:val="003B6901"/>
    <w:rsid w:val="003C7E64"/>
    <w:rsid w:val="003D6B45"/>
    <w:rsid w:val="003E238C"/>
    <w:rsid w:val="00400F9A"/>
    <w:rsid w:val="00404179"/>
    <w:rsid w:val="00406712"/>
    <w:rsid w:val="00424BEB"/>
    <w:rsid w:val="004447D3"/>
    <w:rsid w:val="004472AA"/>
    <w:rsid w:val="004D303D"/>
    <w:rsid w:val="004F1977"/>
    <w:rsid w:val="00505AF7"/>
    <w:rsid w:val="00511B56"/>
    <w:rsid w:val="005179D2"/>
    <w:rsid w:val="00535527"/>
    <w:rsid w:val="00545CDE"/>
    <w:rsid w:val="0054622E"/>
    <w:rsid w:val="00556981"/>
    <w:rsid w:val="00560561"/>
    <w:rsid w:val="0056571F"/>
    <w:rsid w:val="00565E4E"/>
    <w:rsid w:val="005A220B"/>
    <w:rsid w:val="005B757F"/>
    <w:rsid w:val="005D62F4"/>
    <w:rsid w:val="005D6310"/>
    <w:rsid w:val="00613EB2"/>
    <w:rsid w:val="00646B79"/>
    <w:rsid w:val="00646BAB"/>
    <w:rsid w:val="00655196"/>
    <w:rsid w:val="00655F4D"/>
    <w:rsid w:val="006753AE"/>
    <w:rsid w:val="00685063"/>
    <w:rsid w:val="006959C1"/>
    <w:rsid w:val="006B43CB"/>
    <w:rsid w:val="006E612A"/>
    <w:rsid w:val="00726C95"/>
    <w:rsid w:val="00744DAF"/>
    <w:rsid w:val="00750465"/>
    <w:rsid w:val="00797F65"/>
    <w:rsid w:val="007B150B"/>
    <w:rsid w:val="007B7C77"/>
    <w:rsid w:val="007C494D"/>
    <w:rsid w:val="007E0ED7"/>
    <w:rsid w:val="007E12F9"/>
    <w:rsid w:val="007F7F03"/>
    <w:rsid w:val="0080380A"/>
    <w:rsid w:val="00830325"/>
    <w:rsid w:val="00842EDC"/>
    <w:rsid w:val="00851FEF"/>
    <w:rsid w:val="00882ABE"/>
    <w:rsid w:val="008A6EC9"/>
    <w:rsid w:val="008C1B2A"/>
    <w:rsid w:val="008D1CFE"/>
    <w:rsid w:val="008E47C5"/>
    <w:rsid w:val="008F03F3"/>
    <w:rsid w:val="009045C9"/>
    <w:rsid w:val="0093028D"/>
    <w:rsid w:val="009366C4"/>
    <w:rsid w:val="00942C0B"/>
    <w:rsid w:val="00951F58"/>
    <w:rsid w:val="00970D78"/>
    <w:rsid w:val="009775C8"/>
    <w:rsid w:val="00977A15"/>
    <w:rsid w:val="009C7812"/>
    <w:rsid w:val="009D1620"/>
    <w:rsid w:val="009E5036"/>
    <w:rsid w:val="00A13B0C"/>
    <w:rsid w:val="00A5219F"/>
    <w:rsid w:val="00A6435D"/>
    <w:rsid w:val="00A67212"/>
    <w:rsid w:val="00A740CF"/>
    <w:rsid w:val="00AA7B55"/>
    <w:rsid w:val="00AB53C7"/>
    <w:rsid w:val="00AB5C13"/>
    <w:rsid w:val="00AC42F1"/>
    <w:rsid w:val="00AD4739"/>
    <w:rsid w:val="00AF0E28"/>
    <w:rsid w:val="00B36C2C"/>
    <w:rsid w:val="00B41404"/>
    <w:rsid w:val="00B4233D"/>
    <w:rsid w:val="00B56626"/>
    <w:rsid w:val="00B62A2A"/>
    <w:rsid w:val="00B8773A"/>
    <w:rsid w:val="00BA01DF"/>
    <w:rsid w:val="00BB4CA6"/>
    <w:rsid w:val="00C520AF"/>
    <w:rsid w:val="00C74198"/>
    <w:rsid w:val="00C754BF"/>
    <w:rsid w:val="00C95B62"/>
    <w:rsid w:val="00CA3159"/>
    <w:rsid w:val="00CB52E0"/>
    <w:rsid w:val="00CC54B5"/>
    <w:rsid w:val="00CD1E40"/>
    <w:rsid w:val="00CF6F6C"/>
    <w:rsid w:val="00D02999"/>
    <w:rsid w:val="00D02E72"/>
    <w:rsid w:val="00D71F53"/>
    <w:rsid w:val="00D81788"/>
    <w:rsid w:val="00D87285"/>
    <w:rsid w:val="00D91137"/>
    <w:rsid w:val="00DA17A7"/>
    <w:rsid w:val="00DC363B"/>
    <w:rsid w:val="00DF5A98"/>
    <w:rsid w:val="00E54821"/>
    <w:rsid w:val="00F02B58"/>
    <w:rsid w:val="00F25554"/>
    <w:rsid w:val="00F354D0"/>
    <w:rsid w:val="00F41498"/>
    <w:rsid w:val="00F55C91"/>
    <w:rsid w:val="00F96CF0"/>
    <w:rsid w:val="00FA25E8"/>
    <w:rsid w:val="00FB3791"/>
    <w:rsid w:val="00FB64AE"/>
    <w:rsid w:val="00FC0CD6"/>
    <w:rsid w:val="00FE6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1868219E"/>
  <w15:chartTrackingRefBased/>
  <w15:docId w15:val="{89AE6B2D-B5C2-4D44-9559-33E3CAB2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caption" w:semiHidden="1" w:unhideWhenUsed="1"/>
    <w:lsdException w:name="footnote reference" w:semiHidden="1" w:unhideWhenUsed="1" w:qFormat="1"/>
    <w:lsdException w:name="annotation reference" w:semiHidden="1" w:uiPriority="99" w:unhideWhenUsed="1"/>
    <w:lsdException w:name="endnote reference" w:semiHidden="1" w:uiPriority="99" w:unhideWhenUsed="1"/>
    <w:lsdException w:name="Title" w:uiPriority="10"/>
    <w:lsdException w:name="Default Paragraph Font" w:semiHidden="1" w:uiPriority="1" w:unhideWhenUsed="1"/>
    <w:lsdException w:name="Subtitle" w:uiPriority="11"/>
    <w:lsdException w:name="Hyperlink" w:semiHidden="1" w:unhideWhenUsed="1"/>
    <w:lsdException w:name="FollowedHyperlink" w:semiHidden="1" w:uiPriority="99" w:unhideWhenUsed="1"/>
    <w:lsdException w:name="Strong" w:uiPriority="22"/>
    <w:lsdException w:name="Emphasis" w:uiPriority="20"/>
    <w:lsdException w:name="Document Map" w:semiHidden="1" w:uiPriority="99" w:unhideWhenUsed="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locked="1"/>
    <w:lsdException w:name="Outline List 2" w:semiHidden="1" w:uiPriority="99" w:unhideWhenUs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lsdException w:name="Table Grid"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36F"/>
    <w:rPr>
      <w:rFonts w:eastAsia="Times New Roman"/>
      <w:sz w:val="24"/>
      <w:lang w:eastAsia="en-US"/>
    </w:rPr>
  </w:style>
  <w:style w:type="paragraph" w:styleId="Heading1">
    <w:name w:val="heading 1"/>
    <w:basedOn w:val="Normal"/>
    <w:next w:val="Normal"/>
    <w:link w:val="Heading1Char"/>
    <w:uiPriority w:val="9"/>
    <w:rsid w:val="001F00B7"/>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rsid w:val="001F00B7"/>
    <w:pPr>
      <w:spacing w:before="200" w:line="271" w:lineRule="auto"/>
      <w:outlineLvl w:val="1"/>
    </w:pPr>
    <w:rPr>
      <w:smallCaps/>
      <w:sz w:val="28"/>
      <w:szCs w:val="28"/>
    </w:rPr>
  </w:style>
  <w:style w:type="paragraph" w:styleId="Heading3">
    <w:name w:val="heading 3"/>
    <w:basedOn w:val="Normal"/>
    <w:next w:val="Normal"/>
    <w:link w:val="Heading3Char"/>
    <w:uiPriority w:val="9"/>
    <w:unhideWhenUsed/>
    <w:rsid w:val="001F00B7"/>
    <w:pPr>
      <w:keepNext/>
      <w:keepLines/>
      <w:spacing w:before="200"/>
      <w:outlineLvl w:val="2"/>
    </w:pPr>
    <w:rPr>
      <w:rFonts w:ascii="Cambria" w:hAnsi="Cambria"/>
      <w:b/>
      <w:color w:val="4F81BD"/>
      <w:lang w:val="x-none"/>
    </w:rPr>
  </w:style>
  <w:style w:type="paragraph" w:styleId="Heading4">
    <w:name w:val="heading 4"/>
    <w:basedOn w:val="Normal"/>
    <w:next w:val="Normal"/>
    <w:link w:val="Heading4Char"/>
    <w:uiPriority w:val="9"/>
    <w:rsid w:val="001F00B7"/>
    <w:pPr>
      <w:spacing w:line="271" w:lineRule="auto"/>
      <w:outlineLvl w:val="3"/>
    </w:pPr>
    <w:rPr>
      <w:b/>
      <w:bCs/>
      <w:spacing w:val="5"/>
      <w:szCs w:val="24"/>
    </w:rPr>
  </w:style>
  <w:style w:type="paragraph" w:styleId="Heading5">
    <w:name w:val="heading 5"/>
    <w:basedOn w:val="Normal"/>
    <w:next w:val="Normal"/>
    <w:link w:val="Heading5Char"/>
    <w:uiPriority w:val="9"/>
    <w:rsid w:val="001F00B7"/>
    <w:pPr>
      <w:spacing w:line="271" w:lineRule="auto"/>
      <w:outlineLvl w:val="4"/>
    </w:pPr>
    <w:rPr>
      <w:i/>
      <w:iCs/>
      <w:szCs w:val="24"/>
    </w:rPr>
  </w:style>
  <w:style w:type="paragraph" w:styleId="Heading6">
    <w:name w:val="heading 6"/>
    <w:basedOn w:val="Normal"/>
    <w:next w:val="Normal"/>
    <w:link w:val="Heading6Char"/>
    <w:uiPriority w:val="9"/>
    <w:rsid w:val="001F00B7"/>
    <w:pPr>
      <w:shd w:val="clear" w:color="auto" w:fill="FFFFFF"/>
      <w:spacing w:line="271" w:lineRule="auto"/>
      <w:outlineLvl w:val="5"/>
    </w:pPr>
    <w:rPr>
      <w:b/>
      <w:bCs/>
      <w:color w:val="595959"/>
      <w:spacing w:val="5"/>
    </w:rPr>
  </w:style>
  <w:style w:type="paragraph" w:styleId="Heading7">
    <w:name w:val="heading 7"/>
    <w:basedOn w:val="Normal"/>
    <w:next w:val="Normal"/>
    <w:link w:val="Heading7Char"/>
    <w:uiPriority w:val="9"/>
    <w:rsid w:val="001F00B7"/>
    <w:pPr>
      <w:outlineLvl w:val="6"/>
    </w:pPr>
    <w:rPr>
      <w:b/>
      <w:bCs/>
      <w:i/>
      <w:iCs/>
      <w:color w:val="5A5A5A"/>
      <w:sz w:val="20"/>
    </w:rPr>
  </w:style>
  <w:style w:type="paragraph" w:styleId="Heading8">
    <w:name w:val="heading 8"/>
    <w:basedOn w:val="Normal"/>
    <w:next w:val="Normal"/>
    <w:link w:val="Heading8Char"/>
    <w:uiPriority w:val="9"/>
    <w:rsid w:val="001F00B7"/>
    <w:pPr>
      <w:outlineLvl w:val="7"/>
    </w:pPr>
    <w:rPr>
      <w:b/>
      <w:bCs/>
      <w:color w:val="7F7F7F"/>
      <w:sz w:val="20"/>
    </w:rPr>
  </w:style>
  <w:style w:type="paragraph" w:styleId="Heading9">
    <w:name w:val="heading 9"/>
    <w:basedOn w:val="Normal"/>
    <w:next w:val="Normal"/>
    <w:link w:val="Heading9Char"/>
    <w:uiPriority w:val="9"/>
    <w:rsid w:val="001F00B7"/>
    <w:pPr>
      <w:spacing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G">
    <w:name w:val="PRAG"/>
    <w:basedOn w:val="ManualNumPar1"/>
    <w:link w:val="PRAGChar"/>
    <w:qFormat/>
    <w:rsid w:val="00CF6F6C"/>
    <w:pPr>
      <w:spacing w:before="0"/>
      <w:ind w:left="538" w:hanging="357"/>
    </w:pPr>
    <w:rPr>
      <w:rFonts w:ascii="Calibri" w:hAnsi="Calibri"/>
      <w:lang w:val="en-US" w:eastAsia="x-none"/>
    </w:rPr>
  </w:style>
  <w:style w:type="character" w:customStyle="1" w:styleId="PRAGChar">
    <w:name w:val="PRAG Char"/>
    <w:link w:val="PRAG"/>
    <w:locked/>
    <w:rsid w:val="00CF6F6C"/>
    <w:rPr>
      <w:rFonts w:ascii="Calibri" w:eastAsia="Calibri" w:hAnsi="Calibri"/>
      <w:sz w:val="22"/>
      <w:lang w:val="en-US" w:eastAsia="x-none"/>
    </w:rPr>
  </w:style>
  <w:style w:type="paragraph" w:customStyle="1" w:styleId="ApplicationHeading1">
    <w:name w:val="Application Heading 1"/>
    <w:basedOn w:val="Normal"/>
    <w:next w:val="Normal"/>
    <w:autoRedefine/>
    <w:rsid w:val="0093028D"/>
    <w:pPr>
      <w:numPr>
        <w:numId w:val="8"/>
      </w:numPr>
      <w:spacing w:after="480"/>
      <w:jc w:val="center"/>
    </w:pPr>
    <w:rPr>
      <w:rFonts w:ascii="Times New Roman Bold" w:hAnsi="Times New Roman Bold"/>
      <w:b/>
      <w:caps/>
      <w:sz w:val="32"/>
      <w:szCs w:val="24"/>
      <w:lang w:eastAsia="en-GB"/>
    </w:rPr>
  </w:style>
  <w:style w:type="paragraph" w:customStyle="1" w:styleId="ApplicationHeading2">
    <w:name w:val="Application Heading 2"/>
    <w:basedOn w:val="Normal"/>
    <w:next w:val="Normal"/>
    <w:autoRedefine/>
    <w:rsid w:val="0093028D"/>
    <w:pPr>
      <w:numPr>
        <w:ilvl w:val="1"/>
        <w:numId w:val="8"/>
      </w:numPr>
      <w:spacing w:before="240" w:after="120"/>
    </w:pPr>
    <w:rPr>
      <w:rFonts w:ascii="Times New Roman Bold" w:hAnsi="Times New Roman Bold"/>
      <w:b/>
      <w:smallCaps/>
      <w:sz w:val="28"/>
      <w:szCs w:val="24"/>
      <w:lang w:eastAsia="en-GB"/>
    </w:rPr>
  </w:style>
  <w:style w:type="paragraph" w:customStyle="1" w:styleId="ApplicationHeading3">
    <w:name w:val="Application Heading 3"/>
    <w:basedOn w:val="Heading3"/>
    <w:autoRedefine/>
    <w:rsid w:val="0093028D"/>
    <w:pPr>
      <w:keepLines w:val="0"/>
      <w:numPr>
        <w:ilvl w:val="2"/>
        <w:numId w:val="8"/>
      </w:numPr>
      <w:spacing w:before="240" w:after="120"/>
    </w:pPr>
    <w:rPr>
      <w:rFonts w:ascii="Times New Roman Bold" w:eastAsia="Calibri" w:hAnsi="Times New Roman Bold"/>
      <w:bCs/>
      <w:smallCaps/>
      <w:color w:val="auto"/>
      <w:szCs w:val="26"/>
      <w:lang w:val="en-GB" w:eastAsia="en-GB"/>
    </w:rPr>
  </w:style>
  <w:style w:type="character" w:customStyle="1" w:styleId="Heading3Char">
    <w:name w:val="Heading 3 Char"/>
    <w:link w:val="Heading3"/>
    <w:uiPriority w:val="9"/>
    <w:rsid w:val="001F00B7"/>
    <w:rPr>
      <w:rFonts w:ascii="Cambria" w:eastAsia="Times New Roman" w:hAnsi="Cambria" w:cs="Times New Roman"/>
      <w:b/>
      <w:color w:val="4F81BD"/>
      <w:sz w:val="22"/>
      <w:lang w:val="x-none" w:eastAsia="en-US"/>
    </w:rPr>
  </w:style>
  <w:style w:type="paragraph" w:customStyle="1" w:styleId="ApplicationHeading4">
    <w:name w:val="Application Heading 4"/>
    <w:basedOn w:val="Normal"/>
    <w:next w:val="Normal"/>
    <w:link w:val="ApplicationHeading4Char"/>
    <w:autoRedefine/>
    <w:rsid w:val="0093028D"/>
    <w:pPr>
      <w:numPr>
        <w:ilvl w:val="3"/>
        <w:numId w:val="6"/>
      </w:numPr>
      <w:tabs>
        <w:tab w:val="left" w:pos="851"/>
      </w:tabs>
      <w:spacing w:before="240" w:after="120"/>
    </w:pPr>
    <w:rPr>
      <w:rFonts w:ascii="Times New Roman Bold" w:hAnsi="Times New Roman Bold"/>
      <w:b/>
      <w:lang w:eastAsia="en-GB"/>
    </w:rPr>
  </w:style>
  <w:style w:type="character" w:customStyle="1" w:styleId="ApplicationHeading4Char">
    <w:name w:val="Application Heading 4 Char"/>
    <w:link w:val="ApplicationHeading4"/>
    <w:locked/>
    <w:rsid w:val="0093028D"/>
    <w:rPr>
      <w:rFonts w:ascii="Times New Roman Bold" w:eastAsia="Calibri" w:hAnsi="Times New Roman Bold"/>
      <w:b/>
      <w:sz w:val="24"/>
      <w:lang w:val="en-GB" w:eastAsia="en-GB"/>
    </w:rPr>
  </w:style>
  <w:style w:type="character" w:styleId="FootnoteReference">
    <w:name w:val="footnote reference"/>
    <w:semiHidden/>
    <w:qFormat/>
    <w:rsid w:val="00CF6F6C"/>
    <w:rPr>
      <w:rFonts w:ascii="Times New Roman" w:hAnsi="Times New Roman" w:cs="Times New Roman"/>
      <w:sz w:val="16"/>
      <w:vertAlign w:val="superscript"/>
      <w:lang w:val="en-US" w:eastAsia="x-none"/>
    </w:rPr>
  </w:style>
  <w:style w:type="character" w:customStyle="1" w:styleId="Heading1Char">
    <w:name w:val="Heading 1 Char"/>
    <w:link w:val="Heading1"/>
    <w:uiPriority w:val="9"/>
    <w:rsid w:val="001F00B7"/>
    <w:rPr>
      <w:rFonts w:ascii="Cambria" w:eastAsia="Times New Roman" w:hAnsi="Cambria" w:cs="Times New Roman"/>
      <w:b/>
      <w:bCs/>
      <w:color w:val="365F91"/>
      <w:sz w:val="28"/>
      <w:szCs w:val="28"/>
      <w:lang w:eastAsia="en-US"/>
    </w:rPr>
  </w:style>
  <w:style w:type="paragraph" w:styleId="TOCHeading">
    <w:name w:val="TOC Heading"/>
    <w:basedOn w:val="Heading1"/>
    <w:next w:val="Normal"/>
    <w:uiPriority w:val="39"/>
    <w:unhideWhenUsed/>
    <w:qFormat/>
    <w:rsid w:val="00CF6F6C"/>
    <w:pPr>
      <w:keepLines w:val="0"/>
      <w:spacing w:before="240" w:after="60"/>
      <w:jc w:val="center"/>
      <w:outlineLvl w:val="9"/>
    </w:pPr>
    <w:rPr>
      <w:rFonts w:eastAsia="Calibri"/>
      <w:color w:val="auto"/>
      <w:kern w:val="32"/>
      <w:sz w:val="32"/>
      <w:szCs w:val="32"/>
    </w:rPr>
  </w:style>
  <w:style w:type="character" w:customStyle="1" w:styleId="Heading3Char1">
    <w:name w:val="Heading 3 Char1"/>
    <w:aliases w:val="Heading 3 Char Char"/>
    <w:semiHidden/>
    <w:rsid w:val="001F00B7"/>
    <w:rPr>
      <w:b/>
      <w:sz w:val="26"/>
      <w:lang w:val="en-GB" w:eastAsia="en-GB"/>
    </w:rPr>
  </w:style>
  <w:style w:type="paragraph" w:customStyle="1" w:styleId="classification">
    <w:name w:val="classification"/>
    <w:basedOn w:val="Normal"/>
    <w:semiHidden/>
    <w:locked/>
    <w:rsid w:val="001F00B7"/>
    <w:pPr>
      <w:jc w:val="center"/>
    </w:pPr>
    <w:rPr>
      <w:rFonts w:ascii="Arial" w:hAnsi="Arial"/>
      <w:caps/>
    </w:rPr>
  </w:style>
  <w:style w:type="character" w:customStyle="1" w:styleId="StyleArial">
    <w:name w:val="Style Arial"/>
    <w:semiHidden/>
    <w:locked/>
    <w:rsid w:val="001F00B7"/>
    <w:rPr>
      <w:rFonts w:ascii="Arial" w:hAnsi="Arial"/>
    </w:rPr>
  </w:style>
  <w:style w:type="paragraph" w:customStyle="1" w:styleId="StyleLeft">
    <w:name w:val="Style Left"/>
    <w:basedOn w:val="Normal"/>
    <w:semiHidden/>
    <w:locked/>
    <w:rsid w:val="001F00B7"/>
  </w:style>
  <w:style w:type="paragraph" w:customStyle="1" w:styleId="StyleLeftBoxSinglesolidlineAuto05ptLinewidthChar">
    <w:name w:val="Style Left Box: (Single solid line Auto  05 pt Line width) Char"/>
    <w:basedOn w:val="Normal"/>
    <w:link w:val="StyleLeftBoxSinglesolidlineAuto05ptLinewidthCharChar1"/>
    <w:semiHidden/>
    <w:locked/>
    <w:rsid w:val="001F00B7"/>
    <w:pPr>
      <w:pBdr>
        <w:top w:val="single" w:sz="4" w:space="1" w:color="auto"/>
        <w:left w:val="single" w:sz="4" w:space="4" w:color="auto"/>
        <w:bottom w:val="single" w:sz="4" w:space="1" w:color="auto"/>
        <w:right w:val="single" w:sz="4" w:space="4" w:color="auto"/>
      </w:pBdr>
    </w:pPr>
  </w:style>
  <w:style w:type="character" w:customStyle="1" w:styleId="StyleLeftBoxSinglesolidlineAuto05ptLinewidthCharChar1">
    <w:name w:val="Style Left Box: (Single solid line Auto  05 pt Line width) Char Char1"/>
    <w:link w:val="StyleLeftBoxSinglesolidlineAuto05ptLinewidthChar"/>
    <w:semiHidden/>
    <w:locked/>
    <w:rsid w:val="001F00B7"/>
    <w:rPr>
      <w:rFonts w:ascii="Calibri" w:hAnsi="Calibri"/>
      <w:sz w:val="22"/>
      <w:lang w:eastAsia="en-US"/>
    </w:rPr>
  </w:style>
  <w:style w:type="paragraph" w:customStyle="1" w:styleId="Point1">
    <w:name w:val="Point 1"/>
    <w:basedOn w:val="Normal"/>
    <w:semiHidden/>
    <w:locked/>
    <w:rsid w:val="001F00B7"/>
    <w:pPr>
      <w:spacing w:before="120" w:after="120"/>
      <w:ind w:left="1418" w:hanging="567"/>
    </w:pPr>
    <w:rPr>
      <w:lang w:eastAsia="fr-BE"/>
    </w:rPr>
  </w:style>
  <w:style w:type="paragraph" w:customStyle="1" w:styleId="ManualNumPar1">
    <w:name w:val="Manual NumPar 1"/>
    <w:basedOn w:val="Normal"/>
    <w:next w:val="Normal"/>
    <w:link w:val="ManualNumPar1Char"/>
    <w:semiHidden/>
    <w:locked/>
    <w:rsid w:val="001F00B7"/>
    <w:pPr>
      <w:spacing w:before="120" w:after="120"/>
      <w:ind w:left="850" w:hanging="850"/>
    </w:pPr>
    <w:rPr>
      <w:lang w:eastAsia="en-GB"/>
    </w:rPr>
  </w:style>
  <w:style w:type="character" w:customStyle="1" w:styleId="ManualNumPar1Char">
    <w:name w:val="Manual NumPar 1 Char"/>
    <w:link w:val="ManualNumPar1"/>
    <w:semiHidden/>
    <w:locked/>
    <w:rsid w:val="001F00B7"/>
    <w:rPr>
      <w:rFonts w:ascii="Calibri" w:hAnsi="Calibri"/>
      <w:sz w:val="22"/>
      <w:lang w:eastAsia="en-GB"/>
    </w:rPr>
  </w:style>
  <w:style w:type="character" w:customStyle="1" w:styleId="tw4winMark">
    <w:name w:val="tw4winMark"/>
    <w:semiHidden/>
    <w:locked/>
    <w:rsid w:val="001F00B7"/>
    <w:rPr>
      <w:rFonts w:ascii="Times New Roman" w:hAnsi="Times New Roman"/>
      <w:vanish/>
      <w:color w:val="800080"/>
      <w:sz w:val="24"/>
      <w:vertAlign w:val="subscript"/>
    </w:rPr>
  </w:style>
  <w:style w:type="character" w:customStyle="1" w:styleId="explication">
    <w:name w:val="explication"/>
    <w:semiHidden/>
    <w:locked/>
    <w:rsid w:val="001F00B7"/>
    <w:rPr>
      <w:rFonts w:ascii="Verdana" w:hAnsi="Verdana"/>
      <w:i/>
      <w:color w:val="000000"/>
    </w:rPr>
  </w:style>
  <w:style w:type="paragraph" w:customStyle="1" w:styleId="1txt">
    <w:name w:val="1txt"/>
    <w:basedOn w:val="Normal"/>
    <w:semiHidden/>
    <w:locked/>
    <w:rsid w:val="001F00B7"/>
    <w:pPr>
      <w:ind w:left="1191"/>
    </w:pPr>
    <w:rPr>
      <w:rFonts w:ascii="Verdana" w:hAnsi="Verdana"/>
      <w:sz w:val="28"/>
    </w:rPr>
  </w:style>
  <w:style w:type="paragraph" w:customStyle="1" w:styleId="1exp">
    <w:name w:val="1exp"/>
    <w:basedOn w:val="Normal"/>
    <w:semiHidden/>
    <w:locked/>
    <w:rsid w:val="001F00B7"/>
    <w:pPr>
      <w:ind w:left="1077"/>
    </w:pPr>
    <w:rPr>
      <w:rFonts w:ascii="Verdana" w:hAnsi="Verdana"/>
      <w:i/>
      <w:sz w:val="28"/>
    </w:rPr>
  </w:style>
  <w:style w:type="character" w:customStyle="1" w:styleId="StyleLeftBoxSinglesolidlineAuto05ptLinewidthCharChar">
    <w:name w:val="Style Left Box: (Single solid line Auto  05 pt Line width) Char Char"/>
    <w:semiHidden/>
    <w:locked/>
    <w:rsid w:val="001F00B7"/>
    <w:rPr>
      <w:sz w:val="24"/>
      <w:lang w:val="en-GB" w:eastAsia="en-GB"/>
    </w:rPr>
  </w:style>
  <w:style w:type="paragraph" w:customStyle="1" w:styleId="StyleHeading2NotBold">
    <w:name w:val="Style Heading 2 + Not Bold"/>
    <w:basedOn w:val="Normal"/>
    <w:semiHidden/>
    <w:locked/>
    <w:rsid w:val="001F00B7"/>
  </w:style>
  <w:style w:type="paragraph" w:customStyle="1" w:styleId="StyleLeftBoxSinglesolidlineAuto05ptLinewidth">
    <w:name w:val="Style Left Box: (Single solid line Auto  05 pt Line width)"/>
    <w:basedOn w:val="Normal"/>
    <w:semiHidden/>
    <w:locked/>
    <w:rsid w:val="001F00B7"/>
    <w:pPr>
      <w:pBdr>
        <w:top w:val="single" w:sz="4" w:space="1" w:color="auto"/>
        <w:left w:val="single" w:sz="4" w:space="4" w:color="auto"/>
        <w:bottom w:val="single" w:sz="4" w:space="1" w:color="auto"/>
        <w:right w:val="single" w:sz="4" w:space="4" w:color="auto"/>
      </w:pBdr>
    </w:pPr>
  </w:style>
  <w:style w:type="paragraph" w:customStyle="1" w:styleId="StyleHeading2NotItalicJustified">
    <w:name w:val="Style Heading 2 + Not Italic Justified"/>
    <w:basedOn w:val="Normal"/>
    <w:autoRedefine/>
    <w:semiHidden/>
    <w:locked/>
    <w:rsid w:val="001F00B7"/>
    <w:rPr>
      <w:i/>
      <w:iCs/>
    </w:rPr>
  </w:style>
  <w:style w:type="paragraph" w:customStyle="1" w:styleId="StyleHeading3">
    <w:name w:val="Style Heading 3"/>
    <w:aliases w:val="Heading 3 Char + 14 pt Justified"/>
    <w:basedOn w:val="Heading3"/>
    <w:autoRedefine/>
    <w:semiHidden/>
    <w:locked/>
    <w:rsid w:val="001F00B7"/>
    <w:rPr>
      <w:rFonts w:ascii="Times New Roman" w:hAnsi="Times New Roman"/>
      <w:sz w:val="28"/>
    </w:rPr>
  </w:style>
  <w:style w:type="paragraph" w:customStyle="1" w:styleId="StyleHeading4">
    <w:name w:val="Style Heading 4"/>
    <w:aliases w:val="Heading 4 Char + Justified"/>
    <w:basedOn w:val="Normal"/>
    <w:autoRedefine/>
    <w:semiHidden/>
    <w:locked/>
    <w:rsid w:val="001F00B7"/>
  </w:style>
  <w:style w:type="character" w:customStyle="1" w:styleId="Style11pt">
    <w:name w:val="Style 11 pt"/>
    <w:rsid w:val="001F00B7"/>
    <w:rPr>
      <w:sz w:val="22"/>
    </w:rPr>
  </w:style>
  <w:style w:type="paragraph" w:customStyle="1" w:styleId="pprag1">
    <w:name w:val="pprag 1"/>
    <w:basedOn w:val="Normal"/>
    <w:next w:val="Normal"/>
    <w:link w:val="pprag1Char"/>
    <w:autoRedefine/>
    <w:qFormat/>
    <w:rsid w:val="00CF6F6C"/>
    <w:pPr>
      <w:pageBreakBefore/>
      <w:widowControl w:val="0"/>
      <w:numPr>
        <w:numId w:val="31"/>
      </w:numPr>
      <w:spacing w:after="240"/>
      <w:outlineLvl w:val="0"/>
    </w:pPr>
    <w:rPr>
      <w:b/>
      <w:sz w:val="28"/>
      <w:lang w:val="x-none" w:eastAsia="fr-FR"/>
    </w:rPr>
  </w:style>
  <w:style w:type="character" w:customStyle="1" w:styleId="pprag1Char">
    <w:name w:val="pprag 1 Char"/>
    <w:link w:val="pprag1"/>
    <w:locked/>
    <w:rsid w:val="00CF6F6C"/>
    <w:rPr>
      <w:rFonts w:eastAsia="Calibri"/>
      <w:b/>
      <w:sz w:val="28"/>
      <w:lang w:val="x-none"/>
    </w:rPr>
  </w:style>
  <w:style w:type="paragraph" w:customStyle="1" w:styleId="pprag2">
    <w:name w:val="pprag 2"/>
    <w:basedOn w:val="Normal"/>
    <w:next w:val="Normal"/>
    <w:link w:val="pprag2Char"/>
    <w:autoRedefine/>
    <w:qFormat/>
    <w:rsid w:val="00CF6F6C"/>
    <w:pPr>
      <w:widowControl w:val="0"/>
      <w:numPr>
        <w:ilvl w:val="1"/>
        <w:numId w:val="31"/>
      </w:numPr>
      <w:tabs>
        <w:tab w:val="left" w:pos="851"/>
      </w:tabs>
      <w:spacing w:after="120"/>
      <w:outlineLvl w:val="1"/>
    </w:pPr>
    <w:rPr>
      <w:b/>
      <w:lang w:val="x-none" w:eastAsia="fr-FR"/>
    </w:rPr>
  </w:style>
  <w:style w:type="character" w:customStyle="1" w:styleId="pprag2Char">
    <w:name w:val="pprag 2 Char"/>
    <w:link w:val="pprag2"/>
    <w:locked/>
    <w:rsid w:val="00CF6F6C"/>
    <w:rPr>
      <w:rFonts w:eastAsia="Calibri"/>
      <w:b/>
      <w:sz w:val="24"/>
      <w:lang w:val="x-none"/>
    </w:rPr>
  </w:style>
  <w:style w:type="paragraph" w:customStyle="1" w:styleId="pprag4">
    <w:name w:val="pprag 4"/>
    <w:basedOn w:val="Normal"/>
    <w:next w:val="Normal"/>
    <w:link w:val="pprag4Char"/>
    <w:autoRedefine/>
    <w:qFormat/>
    <w:rsid w:val="00CF6F6C"/>
    <w:pPr>
      <w:widowControl w:val="0"/>
      <w:numPr>
        <w:ilvl w:val="3"/>
        <w:numId w:val="31"/>
      </w:numPr>
      <w:tabs>
        <w:tab w:val="left" w:pos="1134"/>
      </w:tabs>
      <w:spacing w:before="120" w:after="120"/>
      <w:outlineLvl w:val="3"/>
    </w:pPr>
    <w:rPr>
      <w:rFonts w:ascii="Times New Roman Bold" w:hAnsi="Times New Roman Bold"/>
      <w:b/>
      <w:bCs/>
      <w:sz w:val="26"/>
      <w:szCs w:val="28"/>
      <w:lang w:eastAsia="fr-FR"/>
    </w:rPr>
  </w:style>
  <w:style w:type="character" w:customStyle="1" w:styleId="pprag4Char">
    <w:name w:val="pprag 4 Char"/>
    <w:link w:val="pprag4"/>
    <w:locked/>
    <w:rsid w:val="00CF6F6C"/>
    <w:rPr>
      <w:rFonts w:ascii="Times New Roman Bold" w:eastAsia="Calibri" w:hAnsi="Times New Roman Bold"/>
      <w:b/>
      <w:bCs/>
      <w:sz w:val="26"/>
      <w:szCs w:val="28"/>
    </w:rPr>
  </w:style>
  <w:style w:type="paragraph" w:customStyle="1" w:styleId="StyleTITRE20pt">
    <w:name w:val="Style TITRE + 20 pt"/>
    <w:semiHidden/>
    <w:locked/>
    <w:rsid w:val="001F00B7"/>
    <w:pPr>
      <w:spacing w:line="276" w:lineRule="auto"/>
    </w:pPr>
    <w:rPr>
      <w:noProof/>
      <w:sz w:val="40"/>
      <w:szCs w:val="28"/>
    </w:rPr>
  </w:style>
  <w:style w:type="paragraph" w:customStyle="1" w:styleId="pprag5">
    <w:name w:val="pprag 5"/>
    <w:basedOn w:val="Normal"/>
    <w:link w:val="pprag5Char"/>
    <w:autoRedefine/>
    <w:qFormat/>
    <w:rsid w:val="00CF6F6C"/>
    <w:pPr>
      <w:numPr>
        <w:ilvl w:val="4"/>
        <w:numId w:val="31"/>
      </w:numPr>
      <w:tabs>
        <w:tab w:val="left" w:pos="1134"/>
      </w:tabs>
      <w:spacing w:before="120" w:after="120"/>
      <w:outlineLvl w:val="4"/>
    </w:pPr>
    <w:rPr>
      <w:rFonts w:ascii="Calibri" w:hAnsi="Calibri"/>
      <w:b/>
      <w:bCs/>
      <w:szCs w:val="24"/>
      <w:lang w:eastAsia="fr-FR"/>
    </w:rPr>
  </w:style>
  <w:style w:type="character" w:customStyle="1" w:styleId="pprag5Char">
    <w:name w:val="pprag 5 Char"/>
    <w:link w:val="pprag5"/>
    <w:locked/>
    <w:rsid w:val="00CF6F6C"/>
    <w:rPr>
      <w:rFonts w:ascii="Calibri" w:eastAsia="Calibri" w:hAnsi="Calibri"/>
      <w:b/>
      <w:bCs/>
      <w:sz w:val="24"/>
      <w:szCs w:val="24"/>
    </w:rPr>
  </w:style>
  <w:style w:type="paragraph" w:customStyle="1" w:styleId="Point2">
    <w:name w:val="Point 2"/>
    <w:basedOn w:val="Normal"/>
    <w:semiHidden/>
    <w:locked/>
    <w:rsid w:val="001F00B7"/>
    <w:pPr>
      <w:spacing w:before="120" w:after="120"/>
      <w:ind w:left="1984" w:hanging="567"/>
    </w:pPr>
    <w:rPr>
      <w:lang w:eastAsia="zh-CN"/>
    </w:rPr>
  </w:style>
  <w:style w:type="paragraph" w:customStyle="1" w:styleId="QuotedText">
    <w:name w:val="Quoted Text"/>
    <w:basedOn w:val="Normal"/>
    <w:semiHidden/>
    <w:locked/>
    <w:rsid w:val="001F00B7"/>
    <w:pPr>
      <w:spacing w:before="120" w:after="120"/>
      <w:ind w:left="1417"/>
    </w:pPr>
    <w:rPr>
      <w:lang w:eastAsia="zh-CN"/>
    </w:rPr>
  </w:style>
  <w:style w:type="paragraph" w:customStyle="1" w:styleId="Point0">
    <w:name w:val="Point 0"/>
    <w:basedOn w:val="Normal"/>
    <w:semiHidden/>
    <w:locked/>
    <w:rsid w:val="001F00B7"/>
    <w:pPr>
      <w:spacing w:before="120" w:after="120"/>
      <w:ind w:left="850" w:hanging="850"/>
    </w:pPr>
    <w:rPr>
      <w:lang w:eastAsia="zh-CN"/>
    </w:rPr>
  </w:style>
  <w:style w:type="paragraph" w:customStyle="1" w:styleId="StyleBoldAfter6pt">
    <w:name w:val="Style Bold After:  6 pt"/>
    <w:basedOn w:val="Normal"/>
    <w:autoRedefine/>
    <w:semiHidden/>
    <w:locked/>
    <w:rsid w:val="001F00B7"/>
    <w:pPr>
      <w:keepNext/>
      <w:spacing w:before="240" w:after="120"/>
    </w:pPr>
    <w:rPr>
      <w:b/>
      <w:bCs/>
      <w:u w:val="single"/>
    </w:rPr>
  </w:style>
  <w:style w:type="numbering" w:customStyle="1" w:styleId="Style2">
    <w:name w:val="Style2"/>
    <w:rsid w:val="001F00B7"/>
    <w:pPr>
      <w:numPr>
        <w:numId w:val="15"/>
      </w:numPr>
    </w:pPr>
  </w:style>
  <w:style w:type="numbering" w:customStyle="1" w:styleId="CurrentList1">
    <w:name w:val="Current List1"/>
    <w:rsid w:val="001F00B7"/>
    <w:pPr>
      <w:numPr>
        <w:numId w:val="16"/>
      </w:numPr>
    </w:pPr>
  </w:style>
  <w:style w:type="character" w:customStyle="1" w:styleId="Heading2Char">
    <w:name w:val="Heading 2 Char"/>
    <w:link w:val="Heading2"/>
    <w:uiPriority w:val="9"/>
    <w:rsid w:val="001F00B7"/>
    <w:rPr>
      <w:rFonts w:ascii="Calibri" w:hAnsi="Calibri"/>
      <w:smallCaps/>
      <w:sz w:val="28"/>
      <w:szCs w:val="28"/>
      <w:lang w:eastAsia="en-US"/>
    </w:rPr>
  </w:style>
  <w:style w:type="character" w:customStyle="1" w:styleId="Heading4Char">
    <w:name w:val="Heading 4 Char"/>
    <w:link w:val="Heading4"/>
    <w:uiPriority w:val="9"/>
    <w:rsid w:val="001F00B7"/>
    <w:rPr>
      <w:rFonts w:ascii="Calibri" w:hAnsi="Calibri"/>
      <w:b/>
      <w:bCs/>
      <w:spacing w:val="5"/>
      <w:sz w:val="24"/>
      <w:szCs w:val="24"/>
      <w:lang w:eastAsia="en-US"/>
    </w:rPr>
  </w:style>
  <w:style w:type="character" w:customStyle="1" w:styleId="Heading5Char">
    <w:name w:val="Heading 5 Char"/>
    <w:link w:val="Heading5"/>
    <w:uiPriority w:val="9"/>
    <w:rsid w:val="001F00B7"/>
    <w:rPr>
      <w:rFonts w:ascii="Calibri" w:hAnsi="Calibri"/>
      <w:i/>
      <w:iCs/>
      <w:sz w:val="24"/>
      <w:szCs w:val="24"/>
      <w:lang w:eastAsia="en-US"/>
    </w:rPr>
  </w:style>
  <w:style w:type="character" w:customStyle="1" w:styleId="Heading6Char">
    <w:name w:val="Heading 6 Char"/>
    <w:link w:val="Heading6"/>
    <w:uiPriority w:val="9"/>
    <w:rsid w:val="001F00B7"/>
    <w:rPr>
      <w:rFonts w:ascii="Calibri" w:hAnsi="Calibri"/>
      <w:b/>
      <w:bCs/>
      <w:color w:val="595959"/>
      <w:spacing w:val="5"/>
      <w:sz w:val="22"/>
      <w:szCs w:val="22"/>
      <w:shd w:val="clear" w:color="auto" w:fill="FFFFFF"/>
      <w:lang w:eastAsia="en-US"/>
    </w:rPr>
  </w:style>
  <w:style w:type="character" w:customStyle="1" w:styleId="Heading7Char">
    <w:name w:val="Heading 7 Char"/>
    <w:link w:val="Heading7"/>
    <w:uiPriority w:val="9"/>
    <w:rsid w:val="001F00B7"/>
    <w:rPr>
      <w:rFonts w:ascii="Calibri" w:hAnsi="Calibri"/>
      <w:b/>
      <w:bCs/>
      <w:i/>
      <w:iCs/>
      <w:color w:val="5A5A5A"/>
      <w:lang w:eastAsia="en-US"/>
    </w:rPr>
  </w:style>
  <w:style w:type="character" w:customStyle="1" w:styleId="Heading8Char">
    <w:name w:val="Heading 8 Char"/>
    <w:link w:val="Heading8"/>
    <w:uiPriority w:val="9"/>
    <w:rsid w:val="001F00B7"/>
    <w:rPr>
      <w:rFonts w:ascii="Calibri" w:hAnsi="Calibri"/>
      <w:b/>
      <w:bCs/>
      <w:color w:val="7F7F7F"/>
      <w:lang w:eastAsia="en-US"/>
    </w:rPr>
  </w:style>
  <w:style w:type="character" w:customStyle="1" w:styleId="Heading9Char">
    <w:name w:val="Heading 9 Char"/>
    <w:link w:val="Heading9"/>
    <w:uiPriority w:val="9"/>
    <w:rsid w:val="001F00B7"/>
    <w:rPr>
      <w:rFonts w:ascii="Calibri" w:hAnsi="Calibri"/>
      <w:b/>
      <w:bCs/>
      <w:i/>
      <w:iCs/>
      <w:color w:val="7F7F7F"/>
      <w:sz w:val="18"/>
      <w:szCs w:val="18"/>
      <w:lang w:eastAsia="en-US"/>
    </w:rPr>
  </w:style>
  <w:style w:type="paragraph" w:styleId="Index1">
    <w:name w:val="index 1"/>
    <w:basedOn w:val="Normal"/>
    <w:next w:val="Normal"/>
    <w:autoRedefine/>
    <w:uiPriority w:val="99"/>
    <w:semiHidden/>
    <w:rsid w:val="001F00B7"/>
    <w:pPr>
      <w:ind w:left="240" w:hanging="240"/>
    </w:pPr>
  </w:style>
  <w:style w:type="paragraph" w:styleId="TOC1">
    <w:name w:val="toc 1"/>
    <w:basedOn w:val="Normal"/>
    <w:next w:val="Normal"/>
    <w:autoRedefine/>
    <w:uiPriority w:val="39"/>
    <w:rsid w:val="001F00B7"/>
    <w:pPr>
      <w:tabs>
        <w:tab w:val="left" w:pos="284"/>
        <w:tab w:val="right" w:leader="dot" w:pos="9072"/>
      </w:tabs>
      <w:spacing w:before="120" w:after="120"/>
      <w:ind w:left="284" w:hanging="284"/>
    </w:pPr>
    <w:rPr>
      <w:rFonts w:ascii="Times New Roman Bold" w:hAnsi="Times New Roman Bold"/>
      <w:b/>
      <w:smallCaps/>
      <w:sz w:val="28"/>
    </w:rPr>
  </w:style>
  <w:style w:type="paragraph" w:styleId="TOC2">
    <w:name w:val="toc 2"/>
    <w:basedOn w:val="Normal"/>
    <w:next w:val="Normal"/>
    <w:autoRedefine/>
    <w:uiPriority w:val="39"/>
    <w:rsid w:val="001F00B7"/>
    <w:pPr>
      <w:tabs>
        <w:tab w:val="left" w:pos="567"/>
        <w:tab w:val="right" w:pos="9072"/>
      </w:tabs>
      <w:spacing w:after="60"/>
      <w:ind w:left="851" w:right="851" w:hanging="567"/>
    </w:pPr>
  </w:style>
  <w:style w:type="paragraph" w:styleId="TOC3">
    <w:name w:val="toc 3"/>
    <w:basedOn w:val="Normal"/>
    <w:next w:val="Normal"/>
    <w:autoRedefine/>
    <w:uiPriority w:val="39"/>
    <w:rsid w:val="001F00B7"/>
    <w:pPr>
      <w:tabs>
        <w:tab w:val="left" w:pos="1247"/>
        <w:tab w:val="right" w:pos="9072"/>
      </w:tabs>
      <w:spacing w:after="40"/>
      <w:ind w:left="1418" w:right="851" w:hanging="851"/>
    </w:pPr>
    <w:rPr>
      <w:rFonts w:ascii="Times New Roman Bold" w:hAnsi="Times New Roman Bold"/>
      <w:noProof/>
    </w:rPr>
  </w:style>
  <w:style w:type="paragraph" w:styleId="TOC4">
    <w:name w:val="toc 4"/>
    <w:basedOn w:val="Normal"/>
    <w:next w:val="Normal"/>
    <w:autoRedefine/>
    <w:uiPriority w:val="39"/>
    <w:rsid w:val="001F00B7"/>
    <w:pPr>
      <w:tabs>
        <w:tab w:val="left" w:pos="1021"/>
        <w:tab w:val="right" w:pos="9072"/>
      </w:tabs>
      <w:spacing w:after="40"/>
      <w:ind w:left="1702" w:hanging="851"/>
    </w:pPr>
    <w:rPr>
      <w:sz w:val="20"/>
    </w:rPr>
  </w:style>
  <w:style w:type="paragraph" w:styleId="TOC5">
    <w:name w:val="toc 5"/>
    <w:basedOn w:val="Normal"/>
    <w:next w:val="Normal"/>
    <w:autoRedefine/>
    <w:uiPriority w:val="39"/>
    <w:rsid w:val="001F00B7"/>
    <w:pPr>
      <w:tabs>
        <w:tab w:val="left" w:pos="2100"/>
        <w:tab w:val="right" w:pos="9072"/>
      </w:tabs>
      <w:spacing w:after="40"/>
      <w:ind w:left="2098" w:hanging="1140"/>
    </w:pPr>
    <w:rPr>
      <w:sz w:val="20"/>
    </w:rPr>
  </w:style>
  <w:style w:type="paragraph" w:styleId="TOC6">
    <w:name w:val="toc 6"/>
    <w:basedOn w:val="Normal"/>
    <w:next w:val="Normal"/>
    <w:autoRedefine/>
    <w:uiPriority w:val="39"/>
    <w:rsid w:val="001F00B7"/>
    <w:pPr>
      <w:ind w:left="1200"/>
    </w:pPr>
  </w:style>
  <w:style w:type="paragraph" w:styleId="TOC7">
    <w:name w:val="toc 7"/>
    <w:basedOn w:val="Normal"/>
    <w:next w:val="Normal"/>
    <w:autoRedefine/>
    <w:uiPriority w:val="39"/>
    <w:rsid w:val="001F00B7"/>
    <w:pPr>
      <w:ind w:left="1440"/>
    </w:pPr>
  </w:style>
  <w:style w:type="paragraph" w:styleId="TOC8">
    <w:name w:val="toc 8"/>
    <w:basedOn w:val="Normal"/>
    <w:next w:val="Normal"/>
    <w:autoRedefine/>
    <w:uiPriority w:val="39"/>
    <w:rsid w:val="001F00B7"/>
    <w:pPr>
      <w:ind w:left="1680"/>
    </w:pPr>
  </w:style>
  <w:style w:type="paragraph" w:styleId="TOC9">
    <w:name w:val="toc 9"/>
    <w:basedOn w:val="Normal"/>
    <w:next w:val="Normal"/>
    <w:autoRedefine/>
    <w:uiPriority w:val="39"/>
    <w:rsid w:val="001F00B7"/>
    <w:pPr>
      <w:ind w:left="1920"/>
    </w:pPr>
  </w:style>
  <w:style w:type="paragraph" w:styleId="FootnoteText">
    <w:name w:val="footnote text"/>
    <w:basedOn w:val="Normal"/>
    <w:link w:val="FootnoteTextChar"/>
    <w:autoRedefine/>
    <w:rsid w:val="00CA3159"/>
    <w:pPr>
      <w:spacing w:after="120" w:line="276" w:lineRule="auto"/>
      <w:ind w:left="142" w:hanging="142"/>
      <w:jc w:val="both"/>
    </w:pPr>
    <w:rPr>
      <w:sz w:val="20"/>
    </w:rPr>
  </w:style>
  <w:style w:type="character" w:customStyle="1" w:styleId="FootnoteTextChar">
    <w:name w:val="Footnote Text Char"/>
    <w:link w:val="FootnoteText"/>
    <w:rsid w:val="00CA3159"/>
    <w:rPr>
      <w:rFonts w:eastAsia="Times New Roman"/>
      <w:lang w:eastAsia="en-US"/>
    </w:rPr>
  </w:style>
  <w:style w:type="paragraph" w:styleId="CommentText">
    <w:name w:val="annotation text"/>
    <w:basedOn w:val="Normal"/>
    <w:link w:val="CommentTextChar"/>
    <w:uiPriority w:val="99"/>
    <w:semiHidden/>
    <w:rsid w:val="001F00B7"/>
    <w:rPr>
      <w:sz w:val="20"/>
    </w:rPr>
  </w:style>
  <w:style w:type="character" w:customStyle="1" w:styleId="CommentTextChar">
    <w:name w:val="Comment Text Char"/>
    <w:link w:val="CommentText"/>
    <w:uiPriority w:val="99"/>
    <w:semiHidden/>
    <w:rsid w:val="001F00B7"/>
    <w:rPr>
      <w:rFonts w:ascii="Calibri" w:hAnsi="Calibri"/>
      <w:lang w:eastAsia="en-US"/>
    </w:rPr>
  </w:style>
  <w:style w:type="paragraph" w:styleId="Header">
    <w:name w:val="header"/>
    <w:basedOn w:val="Normal"/>
    <w:link w:val="HeaderChar"/>
    <w:rsid w:val="001F00B7"/>
    <w:pPr>
      <w:tabs>
        <w:tab w:val="center" w:pos="4536"/>
        <w:tab w:val="right" w:pos="9072"/>
      </w:tabs>
    </w:pPr>
  </w:style>
  <w:style w:type="character" w:customStyle="1" w:styleId="HeaderChar">
    <w:name w:val="Header Char"/>
    <w:link w:val="Header"/>
    <w:uiPriority w:val="99"/>
    <w:rsid w:val="001F00B7"/>
    <w:rPr>
      <w:rFonts w:ascii="Calibri" w:hAnsi="Calibri"/>
      <w:sz w:val="22"/>
      <w:szCs w:val="22"/>
      <w:lang w:eastAsia="en-US"/>
    </w:rPr>
  </w:style>
  <w:style w:type="paragraph" w:styleId="Footer">
    <w:name w:val="footer"/>
    <w:basedOn w:val="Normal"/>
    <w:link w:val="FooterChar"/>
    <w:rsid w:val="001F00B7"/>
    <w:pPr>
      <w:tabs>
        <w:tab w:val="center" w:pos="4536"/>
        <w:tab w:val="right" w:pos="9072"/>
      </w:tabs>
    </w:pPr>
  </w:style>
  <w:style w:type="character" w:customStyle="1" w:styleId="FooterChar">
    <w:name w:val="Footer Char"/>
    <w:link w:val="Footer"/>
    <w:uiPriority w:val="99"/>
    <w:rsid w:val="001F00B7"/>
    <w:rPr>
      <w:rFonts w:ascii="Calibri" w:hAnsi="Calibri"/>
      <w:sz w:val="22"/>
      <w:szCs w:val="22"/>
      <w:lang w:eastAsia="en-US"/>
    </w:rPr>
  </w:style>
  <w:style w:type="character" w:styleId="CommentReference">
    <w:name w:val="annotation reference"/>
    <w:uiPriority w:val="99"/>
    <w:semiHidden/>
    <w:rsid w:val="001F00B7"/>
    <w:rPr>
      <w:sz w:val="16"/>
    </w:rPr>
  </w:style>
  <w:style w:type="character" w:styleId="EndnoteReference">
    <w:name w:val="endnote reference"/>
    <w:uiPriority w:val="99"/>
    <w:semiHidden/>
    <w:rsid w:val="001F00B7"/>
    <w:rPr>
      <w:rFonts w:ascii="Times New Roman" w:hAnsi="Times New Roman"/>
      <w:sz w:val="20"/>
      <w:vertAlign w:val="superscript"/>
    </w:rPr>
  </w:style>
  <w:style w:type="character" w:styleId="Hyperlink">
    <w:name w:val="Hyperlink"/>
    <w:rsid w:val="001F00B7"/>
    <w:rPr>
      <w:color w:val="0000FF"/>
      <w:u w:val="single"/>
    </w:rPr>
  </w:style>
  <w:style w:type="character" w:styleId="FollowedHyperlink">
    <w:name w:val="FollowedHyperlink"/>
    <w:uiPriority w:val="99"/>
    <w:rsid w:val="001F00B7"/>
    <w:rPr>
      <w:color w:val="800080"/>
      <w:u w:val="single"/>
    </w:rPr>
  </w:style>
  <w:style w:type="paragraph" w:styleId="DocumentMap">
    <w:name w:val="Document Map"/>
    <w:basedOn w:val="Normal"/>
    <w:link w:val="DocumentMapChar"/>
    <w:uiPriority w:val="99"/>
    <w:semiHidden/>
    <w:rsid w:val="001F00B7"/>
    <w:pPr>
      <w:shd w:val="clear" w:color="auto" w:fill="000080"/>
    </w:pPr>
    <w:rPr>
      <w:rFonts w:ascii="Tahoma" w:hAnsi="Tahoma" w:cs="Tahoma"/>
    </w:rPr>
  </w:style>
  <w:style w:type="character" w:customStyle="1" w:styleId="DocumentMapChar">
    <w:name w:val="Document Map Char"/>
    <w:link w:val="DocumentMap"/>
    <w:uiPriority w:val="99"/>
    <w:semiHidden/>
    <w:rsid w:val="001F00B7"/>
    <w:rPr>
      <w:rFonts w:ascii="Tahoma" w:hAnsi="Tahoma" w:cs="Tahoma"/>
      <w:sz w:val="22"/>
      <w:szCs w:val="22"/>
      <w:shd w:val="clear" w:color="auto" w:fill="000080"/>
      <w:lang w:eastAsia="en-US"/>
    </w:rPr>
  </w:style>
  <w:style w:type="paragraph" w:styleId="CommentSubject">
    <w:name w:val="annotation subject"/>
    <w:basedOn w:val="CommentText"/>
    <w:next w:val="CommentText"/>
    <w:link w:val="CommentSubjectChar"/>
    <w:uiPriority w:val="99"/>
    <w:semiHidden/>
    <w:rsid w:val="001F00B7"/>
    <w:rPr>
      <w:b/>
      <w:bCs/>
    </w:rPr>
  </w:style>
  <w:style w:type="character" w:customStyle="1" w:styleId="CommentSubjectChar">
    <w:name w:val="Comment Subject Char"/>
    <w:link w:val="CommentSubject"/>
    <w:uiPriority w:val="99"/>
    <w:semiHidden/>
    <w:rsid w:val="001F00B7"/>
    <w:rPr>
      <w:rFonts w:ascii="Calibri" w:hAnsi="Calibri"/>
      <w:b/>
      <w:bCs/>
      <w:lang w:eastAsia="en-US"/>
    </w:rPr>
  </w:style>
  <w:style w:type="numbering" w:styleId="111111">
    <w:name w:val="Outline List 2"/>
    <w:basedOn w:val="NoList"/>
    <w:uiPriority w:val="99"/>
    <w:semiHidden/>
    <w:unhideWhenUsed/>
    <w:rsid w:val="001F00B7"/>
    <w:pPr>
      <w:numPr>
        <w:numId w:val="18"/>
      </w:numPr>
    </w:pPr>
  </w:style>
  <w:style w:type="paragraph" w:styleId="BalloonText">
    <w:name w:val="Balloon Text"/>
    <w:basedOn w:val="Normal"/>
    <w:link w:val="BalloonTextChar"/>
    <w:uiPriority w:val="99"/>
    <w:semiHidden/>
    <w:rsid w:val="001F00B7"/>
    <w:rPr>
      <w:rFonts w:ascii="Tahoma" w:hAnsi="Tahoma" w:cs="Tahoma"/>
      <w:sz w:val="16"/>
      <w:szCs w:val="16"/>
    </w:rPr>
  </w:style>
  <w:style w:type="character" w:customStyle="1" w:styleId="BalloonTextChar">
    <w:name w:val="Balloon Text Char"/>
    <w:link w:val="BalloonText"/>
    <w:uiPriority w:val="99"/>
    <w:semiHidden/>
    <w:rsid w:val="001F00B7"/>
    <w:rPr>
      <w:rFonts w:ascii="Tahoma" w:hAnsi="Tahoma" w:cs="Tahoma"/>
      <w:sz w:val="16"/>
      <w:szCs w:val="16"/>
      <w:lang w:eastAsia="en-US"/>
    </w:rPr>
  </w:style>
  <w:style w:type="table" w:styleId="TableGrid">
    <w:name w:val="Table Grid"/>
    <w:basedOn w:val="TableNormal"/>
    <w:uiPriority w:val="59"/>
    <w:rsid w:val="001F0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prag3">
    <w:name w:val="pprag3"/>
    <w:basedOn w:val="Normal"/>
    <w:next w:val="Normal"/>
    <w:link w:val="pprag3Char"/>
    <w:autoRedefine/>
    <w:qFormat/>
    <w:rsid w:val="00CF6F6C"/>
    <w:pPr>
      <w:widowControl w:val="0"/>
      <w:tabs>
        <w:tab w:val="left" w:pos="851"/>
        <w:tab w:val="num" w:pos="1080"/>
      </w:tabs>
      <w:spacing w:before="240" w:after="120"/>
      <w:ind w:left="1134" w:hanging="1134"/>
      <w:outlineLvl w:val="2"/>
    </w:pPr>
    <w:rPr>
      <w:rFonts w:ascii="Times New Roman Bold" w:hAnsi="Times New Roman Bold"/>
      <w:b/>
      <w:sz w:val="28"/>
      <w:szCs w:val="28"/>
      <w:lang w:eastAsia="fr-FR"/>
    </w:rPr>
  </w:style>
  <w:style w:type="character" w:customStyle="1" w:styleId="pprag3Char">
    <w:name w:val="pprag3 Char"/>
    <w:link w:val="pprag3"/>
    <w:locked/>
    <w:rsid w:val="00CF6F6C"/>
    <w:rPr>
      <w:rFonts w:ascii="Times New Roman Bold" w:eastAsia="Calibri" w:hAnsi="Times New Roman Bold"/>
      <w:b/>
      <w:sz w:val="28"/>
      <w:szCs w:val="28"/>
    </w:rPr>
  </w:style>
  <w:style w:type="paragraph" w:customStyle="1" w:styleId="Text2">
    <w:name w:val="Text 2"/>
    <w:basedOn w:val="Normal"/>
    <w:rsid w:val="0038536F"/>
    <w:pPr>
      <w:tabs>
        <w:tab w:val="left" w:pos="2161"/>
      </w:tabs>
      <w:spacing w:after="240"/>
      <w:ind w:left="1077"/>
    </w:pPr>
  </w:style>
  <w:style w:type="paragraph" w:styleId="ListParagraph">
    <w:name w:val="List Paragraph"/>
    <w:basedOn w:val="Normal"/>
    <w:uiPriority w:val="34"/>
    <w:rsid w:val="005D62F4"/>
    <w:pPr>
      <w:ind w:left="720"/>
    </w:pPr>
  </w:style>
  <w:style w:type="paragraph" w:styleId="Revision">
    <w:name w:val="Revision"/>
    <w:hidden/>
    <w:uiPriority w:val="99"/>
    <w:semiHidden/>
    <w:rsid w:val="00A13B0C"/>
    <w:rPr>
      <w:rFonts w:eastAsia="Times New Roman"/>
      <w:sz w:val="24"/>
      <w:lang w:eastAsia="en-US"/>
    </w:rPr>
  </w:style>
  <w:style w:type="character" w:customStyle="1" w:styleId="Bodytext1">
    <w:name w:val="Body text|1_"/>
    <w:link w:val="Bodytext10"/>
    <w:rsid w:val="00646BAB"/>
    <w:rPr>
      <w:sz w:val="22"/>
      <w:szCs w:val="22"/>
    </w:rPr>
  </w:style>
  <w:style w:type="paragraph" w:customStyle="1" w:styleId="Bodytext10">
    <w:name w:val="Body text|1"/>
    <w:basedOn w:val="Normal"/>
    <w:link w:val="Bodytext1"/>
    <w:rsid w:val="00646BAB"/>
    <w:pPr>
      <w:widowControl w:val="0"/>
      <w:spacing w:after="220"/>
    </w:pPr>
    <w:rPr>
      <w:rFonts w:eastAsia="Calibr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F010B-8DA3-4D15-BF32-56874E3AF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2063</Words>
  <Characters>11764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DUBOIS Laurence (DEVCO)</dc:creator>
  <cp:keywords/>
  <cp:lastModifiedBy>HAVOLLI-GOJNOVCI Kaltrina (EEAS-PRISTINA)</cp:lastModifiedBy>
  <cp:revision>2</cp:revision>
  <cp:lastPrinted>2019-01-07T12:04:00Z</cp:lastPrinted>
  <dcterms:created xsi:type="dcterms:W3CDTF">2025-03-19T12:48:00Z</dcterms:created>
  <dcterms:modified xsi:type="dcterms:W3CDTF">2025-03-19T12:48:00Z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2024-05-06T09:54:46Z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a91c6de5-5767-4607-98e1-2b5ce0255f04</vt:lpwstr>
  </property>
  <property fmtid="{D5CDD505-2E9C-101B-9397-08002B2CF9AE}" pid="8" name="MSIP_Label_6bd9ddd1-4d20-43f6-abfa-fc3c07406f94_ContentBits">
    <vt:lpwstr>0</vt:lpwstr>
  </property>
</Properties>
</file>