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5A3" w:rsidRPr="006C5EE0" w:rsidRDefault="000C33FD" w:rsidP="00D7413A">
      <w:pPr>
        <w:jc w:val="both"/>
        <w:rPr>
          <w:rFonts w:ascii="Bell MT" w:hAnsi="Bell MT"/>
          <w:b/>
          <w:smallCaps/>
          <w:sz w:val="32"/>
          <w:szCs w:val="32"/>
        </w:rPr>
      </w:pPr>
      <w:r w:rsidRPr="006C5EE0">
        <w:rPr>
          <w:rFonts w:ascii="Bell MT" w:hAnsi="Bell MT"/>
          <w:b/>
          <w:smallCaps/>
          <w:sz w:val="32"/>
          <w:szCs w:val="32"/>
        </w:rPr>
        <w:t xml:space="preserve">FACTSHEET </w:t>
      </w:r>
      <w:r w:rsidR="006B1916">
        <w:rPr>
          <w:rFonts w:ascii="Bell MT" w:hAnsi="Bell MT"/>
          <w:b/>
          <w:smallCaps/>
          <w:sz w:val="32"/>
          <w:szCs w:val="32"/>
        </w:rPr>
        <w:t>9</w:t>
      </w:r>
      <w:r w:rsidR="005E1AFF">
        <w:rPr>
          <w:rFonts w:ascii="Bell MT" w:hAnsi="Bell MT"/>
          <w:b/>
          <w:smallCaps/>
          <w:sz w:val="32"/>
          <w:szCs w:val="32"/>
        </w:rPr>
        <w:t xml:space="preserve"> - </w:t>
      </w:r>
      <w:r w:rsidR="005E1AFF" w:rsidRPr="005E1AFF">
        <w:rPr>
          <w:rFonts w:ascii="Bell MT" w:hAnsi="Bell MT"/>
          <w:b/>
          <w:smallCaps/>
          <w:sz w:val="32"/>
          <w:szCs w:val="32"/>
        </w:rPr>
        <w:t>Focus on…. Rights of LGBTI persons – Gender identity</w:t>
      </w:r>
    </w:p>
    <w:p w:rsidR="00E4511E" w:rsidRPr="00E4511E" w:rsidRDefault="00E4511E" w:rsidP="003F6A67">
      <w:pPr>
        <w:spacing w:after="60"/>
        <w:jc w:val="both"/>
        <w:rPr>
          <w:rFonts w:ascii="Bell MT" w:hAnsi="Bell MT"/>
          <w:b/>
          <w:sz w:val="24"/>
          <w:szCs w:val="24"/>
          <w:u w:val="single"/>
        </w:rPr>
      </w:pPr>
      <w:r w:rsidRPr="00E4511E">
        <w:rPr>
          <w:rFonts w:ascii="Bell MT" w:hAnsi="Bell MT"/>
          <w:b/>
          <w:sz w:val="24"/>
          <w:szCs w:val="24"/>
          <w:u w:val="single"/>
        </w:rPr>
        <w:t>Lexicon:</w:t>
      </w:r>
    </w:p>
    <w:p w:rsidR="00E4511E" w:rsidRPr="00E4511E" w:rsidRDefault="00E4511E" w:rsidP="003F6A67">
      <w:pPr>
        <w:spacing w:after="60"/>
        <w:jc w:val="both"/>
        <w:rPr>
          <w:rFonts w:ascii="Bell MT" w:hAnsi="Bell MT"/>
          <w:sz w:val="24"/>
          <w:szCs w:val="24"/>
        </w:rPr>
      </w:pPr>
      <w:r w:rsidRPr="00E4511E">
        <w:rPr>
          <w:rFonts w:ascii="Bell MT" w:hAnsi="Bell MT"/>
          <w:sz w:val="24"/>
          <w:szCs w:val="24"/>
        </w:rPr>
        <w:t xml:space="preserve">The acronym ‘LGBTI’ </w:t>
      </w:r>
      <w:r w:rsidR="003C4DDF" w:rsidRPr="00E4511E">
        <w:rPr>
          <w:rFonts w:ascii="Bell MT" w:hAnsi="Bell MT"/>
          <w:sz w:val="24"/>
          <w:szCs w:val="24"/>
        </w:rPr>
        <w:t xml:space="preserve">persons </w:t>
      </w:r>
      <w:r w:rsidRPr="00E4511E">
        <w:rPr>
          <w:rFonts w:ascii="Bell MT" w:hAnsi="Bell MT"/>
          <w:sz w:val="24"/>
          <w:szCs w:val="24"/>
        </w:rPr>
        <w:t>stands for</w:t>
      </w:r>
      <w:proofErr w:type="gramStart"/>
      <w:r w:rsidR="003C4DDF">
        <w:rPr>
          <w:rFonts w:ascii="Bell MT" w:hAnsi="Bell MT"/>
          <w:sz w:val="24"/>
          <w:szCs w:val="24"/>
        </w:rPr>
        <w:t>:</w:t>
      </w:r>
      <w:r w:rsidRPr="00E4511E">
        <w:rPr>
          <w:rFonts w:ascii="Bell MT" w:hAnsi="Bell MT"/>
          <w:sz w:val="24"/>
          <w:szCs w:val="24"/>
        </w:rPr>
        <w:t>.</w:t>
      </w:r>
      <w:proofErr w:type="gramEnd"/>
      <w:r w:rsidRPr="00E4511E">
        <w:rPr>
          <w:rFonts w:ascii="Bell MT" w:hAnsi="Bell MT"/>
          <w:sz w:val="24"/>
          <w:szCs w:val="24"/>
        </w:rPr>
        <w:t xml:space="preserve"> </w:t>
      </w:r>
    </w:p>
    <w:p w:rsidR="00E4511E" w:rsidRPr="00E4511E" w:rsidRDefault="00E4511E" w:rsidP="003F6A67">
      <w:pPr>
        <w:spacing w:after="60"/>
        <w:jc w:val="both"/>
        <w:rPr>
          <w:rFonts w:ascii="Bell MT" w:hAnsi="Bell MT"/>
          <w:sz w:val="24"/>
          <w:szCs w:val="24"/>
        </w:rPr>
      </w:pPr>
      <w:r w:rsidRPr="00E4511E">
        <w:rPr>
          <w:rFonts w:ascii="Bell MT" w:hAnsi="Bell MT"/>
          <w:sz w:val="24"/>
          <w:szCs w:val="24"/>
        </w:rPr>
        <w:t>1) "L" - lesbians;</w:t>
      </w:r>
    </w:p>
    <w:p w:rsidR="00E4511E" w:rsidRPr="00E4511E" w:rsidRDefault="00E4511E" w:rsidP="003F6A67">
      <w:pPr>
        <w:spacing w:after="60"/>
        <w:jc w:val="both"/>
        <w:rPr>
          <w:rFonts w:ascii="Bell MT" w:hAnsi="Bell MT"/>
          <w:sz w:val="24"/>
          <w:szCs w:val="24"/>
        </w:rPr>
      </w:pPr>
      <w:r w:rsidRPr="00E4511E">
        <w:rPr>
          <w:rFonts w:ascii="Bell MT" w:hAnsi="Bell MT"/>
          <w:sz w:val="24"/>
          <w:szCs w:val="24"/>
        </w:rPr>
        <w:t>2) "G" - gays;</w:t>
      </w:r>
    </w:p>
    <w:p w:rsidR="00E4511E" w:rsidRPr="00E4511E" w:rsidRDefault="00E4511E" w:rsidP="003F6A67">
      <w:pPr>
        <w:spacing w:after="60"/>
        <w:jc w:val="both"/>
        <w:rPr>
          <w:rFonts w:ascii="Bell MT" w:hAnsi="Bell MT"/>
          <w:sz w:val="24"/>
          <w:szCs w:val="24"/>
        </w:rPr>
      </w:pPr>
      <w:r w:rsidRPr="00E4511E">
        <w:rPr>
          <w:rFonts w:ascii="Bell MT" w:hAnsi="Bell MT"/>
          <w:sz w:val="24"/>
          <w:szCs w:val="24"/>
        </w:rPr>
        <w:t>3) "B" - bisexuals;</w:t>
      </w:r>
    </w:p>
    <w:p w:rsidR="00E4511E" w:rsidRPr="00E4511E" w:rsidRDefault="00E4511E" w:rsidP="003F6A67">
      <w:pPr>
        <w:spacing w:after="60"/>
        <w:jc w:val="both"/>
        <w:rPr>
          <w:rFonts w:ascii="Bell MT" w:hAnsi="Bell MT"/>
          <w:sz w:val="24"/>
          <w:szCs w:val="24"/>
        </w:rPr>
      </w:pPr>
      <w:r w:rsidRPr="00E4511E">
        <w:rPr>
          <w:rFonts w:ascii="Bell MT" w:hAnsi="Bell MT"/>
          <w:sz w:val="24"/>
          <w:szCs w:val="24"/>
        </w:rPr>
        <w:t>4) "T" - transgender people (see specific section below);</w:t>
      </w:r>
    </w:p>
    <w:p w:rsidR="00E4511E" w:rsidRPr="00E4511E" w:rsidRDefault="00E4511E" w:rsidP="003F6A67">
      <w:pPr>
        <w:spacing w:after="60"/>
        <w:jc w:val="both"/>
        <w:rPr>
          <w:rFonts w:ascii="Bell MT" w:hAnsi="Bell MT"/>
          <w:sz w:val="24"/>
          <w:szCs w:val="24"/>
        </w:rPr>
      </w:pPr>
      <w:r w:rsidRPr="00E4511E">
        <w:rPr>
          <w:rFonts w:ascii="Bell MT" w:hAnsi="Bell MT"/>
          <w:sz w:val="24"/>
          <w:szCs w:val="24"/>
        </w:rPr>
        <w:t>5) "I" - intersex people (see specific section below);</w:t>
      </w:r>
    </w:p>
    <w:p w:rsidR="00E4511E" w:rsidRPr="00E4511E" w:rsidRDefault="00E4511E" w:rsidP="003F6A67">
      <w:pPr>
        <w:spacing w:after="60"/>
        <w:jc w:val="both"/>
        <w:rPr>
          <w:rFonts w:ascii="Bell MT" w:hAnsi="Bell MT"/>
          <w:sz w:val="24"/>
          <w:szCs w:val="24"/>
        </w:rPr>
      </w:pPr>
      <w:r w:rsidRPr="00E4511E">
        <w:rPr>
          <w:rFonts w:ascii="Bell MT" w:hAnsi="Bell MT"/>
          <w:sz w:val="24"/>
          <w:szCs w:val="24"/>
        </w:rPr>
        <w:t>You may also come across slightly different terminology which we do not use at EU level at the moment, notably ‘LGBTIQ’ (Q standing for queer and questioning people) or ‘LGBTIQA’ (A standing for asexual or allies)</w:t>
      </w:r>
    </w:p>
    <w:p w:rsidR="00E4511E" w:rsidRDefault="00E4511E" w:rsidP="003F6A67">
      <w:pPr>
        <w:pStyle w:val="ListParagraph"/>
        <w:spacing w:after="60"/>
        <w:jc w:val="both"/>
        <w:rPr>
          <w:rFonts w:ascii="Bell MT" w:hAnsi="Bell MT"/>
          <w:b/>
          <w:sz w:val="24"/>
          <w:szCs w:val="24"/>
          <w:u w:val="single"/>
        </w:rPr>
      </w:pPr>
    </w:p>
    <w:p w:rsidR="00E4511E" w:rsidRDefault="00E4511E" w:rsidP="003F6A67">
      <w:pPr>
        <w:pStyle w:val="ListParagraph"/>
        <w:numPr>
          <w:ilvl w:val="0"/>
          <w:numId w:val="13"/>
        </w:numPr>
        <w:spacing w:after="60"/>
        <w:jc w:val="both"/>
        <w:rPr>
          <w:rFonts w:ascii="Bell MT" w:hAnsi="Bell MT"/>
          <w:b/>
          <w:sz w:val="24"/>
          <w:szCs w:val="24"/>
          <w:u w:val="single"/>
        </w:rPr>
      </w:pPr>
      <w:r w:rsidRPr="00E4511E">
        <w:rPr>
          <w:rFonts w:ascii="Bell MT" w:hAnsi="Bell MT"/>
          <w:b/>
          <w:sz w:val="24"/>
          <w:szCs w:val="24"/>
          <w:u w:val="single"/>
        </w:rPr>
        <w:t xml:space="preserve">What is the </w:t>
      </w:r>
      <w:proofErr w:type="gramStart"/>
      <w:r w:rsidRPr="00E4511E">
        <w:rPr>
          <w:rFonts w:ascii="Bell MT" w:hAnsi="Bell MT"/>
          <w:b/>
          <w:sz w:val="24"/>
          <w:szCs w:val="24"/>
          <w:u w:val="single"/>
        </w:rPr>
        <w:t>issue ?</w:t>
      </w:r>
      <w:proofErr w:type="gramEnd"/>
    </w:p>
    <w:p w:rsidR="003C4DDF" w:rsidRPr="00E4511E" w:rsidRDefault="003C4DDF" w:rsidP="0051240C">
      <w:pPr>
        <w:pStyle w:val="ListParagraph"/>
        <w:spacing w:after="60"/>
        <w:jc w:val="both"/>
        <w:rPr>
          <w:rFonts w:ascii="Bell MT" w:hAnsi="Bell MT"/>
          <w:b/>
          <w:sz w:val="24"/>
          <w:szCs w:val="24"/>
          <w:u w:val="single"/>
        </w:rPr>
      </w:pPr>
    </w:p>
    <w:p w:rsidR="00E4511E" w:rsidRPr="008B488C" w:rsidRDefault="00E4511E" w:rsidP="003F6A67">
      <w:pPr>
        <w:pStyle w:val="ListParagraph"/>
        <w:numPr>
          <w:ilvl w:val="0"/>
          <w:numId w:val="16"/>
        </w:numPr>
        <w:spacing w:after="60"/>
        <w:jc w:val="both"/>
        <w:rPr>
          <w:rFonts w:ascii="Bell MT" w:hAnsi="Bell MT"/>
          <w:sz w:val="24"/>
          <w:szCs w:val="24"/>
          <w:u w:val="single"/>
        </w:rPr>
      </w:pPr>
      <w:r w:rsidRPr="008B488C">
        <w:rPr>
          <w:rFonts w:ascii="Bell MT" w:hAnsi="Bell MT"/>
          <w:sz w:val="24"/>
          <w:szCs w:val="24"/>
          <w:u w:val="single"/>
        </w:rPr>
        <w:t>General</w:t>
      </w:r>
    </w:p>
    <w:p w:rsidR="00E4511E" w:rsidRDefault="00E4511E" w:rsidP="003F6A67">
      <w:pPr>
        <w:spacing w:after="60"/>
        <w:jc w:val="both"/>
        <w:rPr>
          <w:rFonts w:ascii="Bell MT" w:hAnsi="Bell MT"/>
          <w:sz w:val="24"/>
          <w:szCs w:val="24"/>
        </w:rPr>
      </w:pPr>
      <w:r w:rsidRPr="00E4511E">
        <w:rPr>
          <w:rFonts w:ascii="Bell MT" w:hAnsi="Bell MT"/>
          <w:sz w:val="24"/>
          <w:szCs w:val="24"/>
        </w:rPr>
        <w:t xml:space="preserve">In most countries in the world, LGBTI persons are subject of varying degrees of discrimination and hostility or even violence. In the NEAR region, the degrees of acceptance of LGBTI persons vary greatly. The issues relating to sexual orientation are well-known. Here we will concentrate on gender identity and the specific difficulties faced by transgender and intersex persons. While the importance conferred to sex as a classifier does not pose difficulties for most people, it does create serious problems for those who do not </w:t>
      </w:r>
      <w:r w:rsidR="006B1916">
        <w:rPr>
          <w:rFonts w:ascii="Bell MT" w:hAnsi="Bell MT"/>
          <w:sz w:val="24"/>
          <w:szCs w:val="24"/>
        </w:rPr>
        <w:t xml:space="preserve">into the traditional understanding of </w:t>
      </w:r>
      <w:r w:rsidRPr="00E4511E">
        <w:rPr>
          <w:rFonts w:ascii="Bell MT" w:hAnsi="Bell MT"/>
          <w:sz w:val="24"/>
          <w:szCs w:val="24"/>
        </w:rPr>
        <w:t>the “female”/”male” dichotomy. Th</w:t>
      </w:r>
      <w:r w:rsidR="006B1916">
        <w:rPr>
          <w:rFonts w:ascii="Bell MT" w:hAnsi="Bell MT"/>
          <w:sz w:val="24"/>
          <w:szCs w:val="24"/>
        </w:rPr>
        <w:t xml:space="preserve">e </w:t>
      </w:r>
      <w:r w:rsidRPr="00E4511E">
        <w:rPr>
          <w:rFonts w:ascii="Bell MT" w:hAnsi="Bell MT"/>
          <w:sz w:val="24"/>
          <w:szCs w:val="24"/>
        </w:rPr>
        <w:t xml:space="preserve">ability of intersex and </w:t>
      </w:r>
      <w:proofErr w:type="gramStart"/>
      <w:r w:rsidRPr="00E4511E">
        <w:rPr>
          <w:rFonts w:ascii="Bell MT" w:hAnsi="Bell MT"/>
          <w:sz w:val="24"/>
          <w:szCs w:val="24"/>
        </w:rPr>
        <w:t>trans</w:t>
      </w:r>
      <w:proofErr w:type="gramEnd"/>
      <w:r w:rsidRPr="00E4511E">
        <w:rPr>
          <w:rFonts w:ascii="Bell MT" w:hAnsi="Bell MT"/>
          <w:sz w:val="24"/>
          <w:szCs w:val="24"/>
        </w:rPr>
        <w:t xml:space="preserve"> people to enjoy their human rights is impacted by the current normative confines of sex and gender.</w:t>
      </w:r>
    </w:p>
    <w:p w:rsidR="003C4DDF" w:rsidRPr="00E4511E" w:rsidRDefault="003C4DDF" w:rsidP="003F6A67">
      <w:pPr>
        <w:spacing w:after="60"/>
        <w:jc w:val="both"/>
        <w:rPr>
          <w:rFonts w:ascii="Bell MT" w:hAnsi="Bell MT"/>
          <w:sz w:val="24"/>
          <w:szCs w:val="24"/>
        </w:rPr>
      </w:pPr>
    </w:p>
    <w:p w:rsidR="00E4511E" w:rsidRPr="008B488C" w:rsidRDefault="00E4511E" w:rsidP="003F6A67">
      <w:pPr>
        <w:pStyle w:val="ListParagraph"/>
        <w:numPr>
          <w:ilvl w:val="0"/>
          <w:numId w:val="15"/>
        </w:numPr>
        <w:spacing w:after="60"/>
        <w:jc w:val="both"/>
        <w:rPr>
          <w:rFonts w:ascii="Bell MT" w:hAnsi="Bell MT"/>
          <w:sz w:val="24"/>
          <w:szCs w:val="24"/>
          <w:u w:val="single"/>
        </w:rPr>
      </w:pPr>
      <w:r w:rsidRPr="008B488C">
        <w:rPr>
          <w:rFonts w:ascii="Bell MT" w:hAnsi="Bell MT"/>
          <w:sz w:val="24"/>
          <w:szCs w:val="24"/>
          <w:u w:val="single"/>
        </w:rPr>
        <w:t>Trans(gender) persons</w:t>
      </w:r>
    </w:p>
    <w:p w:rsidR="00E4511E" w:rsidRPr="00E4511E" w:rsidRDefault="00E4511E" w:rsidP="003F6A67">
      <w:pPr>
        <w:spacing w:after="60"/>
        <w:jc w:val="both"/>
        <w:rPr>
          <w:rFonts w:ascii="Bell MT" w:hAnsi="Bell MT"/>
          <w:sz w:val="24"/>
          <w:szCs w:val="24"/>
        </w:rPr>
      </w:pPr>
      <w:r w:rsidRPr="008B488C">
        <w:rPr>
          <w:rFonts w:ascii="Bell MT" w:hAnsi="Bell MT"/>
          <w:i/>
          <w:sz w:val="24"/>
          <w:szCs w:val="24"/>
        </w:rPr>
        <w:t>Definition:</w:t>
      </w:r>
      <w:r w:rsidRPr="00E4511E">
        <w:rPr>
          <w:rFonts w:ascii="Bell MT" w:hAnsi="Bell MT"/>
          <w:sz w:val="24"/>
          <w:szCs w:val="24"/>
        </w:rPr>
        <w:t xml:space="preserve"> People whose gender identity and/or gender expression differs from the sex they were assigned at birth. Gender identity is how we see ourselves – the internal and personalised perception of our own gender. Persons who identify as </w:t>
      </w:r>
      <w:proofErr w:type="gramStart"/>
      <w:r w:rsidRPr="00E4511E">
        <w:rPr>
          <w:rFonts w:ascii="Bell MT" w:hAnsi="Bell MT"/>
          <w:sz w:val="24"/>
          <w:szCs w:val="24"/>
        </w:rPr>
        <w:t>trans</w:t>
      </w:r>
      <w:proofErr w:type="gramEnd"/>
      <w:r w:rsidRPr="00E4511E">
        <w:rPr>
          <w:rFonts w:ascii="Bell MT" w:hAnsi="Bell MT"/>
          <w:sz w:val="24"/>
          <w:szCs w:val="24"/>
        </w:rPr>
        <w:t xml:space="preserve"> may or may not identify in the binary male or female and may or may not have had body modifications, including sex reassignment surgery</w:t>
      </w:r>
      <w:r w:rsidR="008B488C">
        <w:rPr>
          <w:rFonts w:ascii="Bell MT" w:hAnsi="Bell MT"/>
          <w:sz w:val="24"/>
          <w:szCs w:val="24"/>
        </w:rPr>
        <w:t xml:space="preserve"> (those who do are generally referred to as </w:t>
      </w:r>
      <w:r w:rsidR="008B488C" w:rsidRPr="008B488C">
        <w:rPr>
          <w:rFonts w:ascii="Bell MT" w:hAnsi="Bell MT"/>
          <w:i/>
          <w:sz w:val="24"/>
          <w:szCs w:val="24"/>
        </w:rPr>
        <w:t>transsexual</w:t>
      </w:r>
      <w:r w:rsidR="008B488C">
        <w:rPr>
          <w:rFonts w:ascii="Bell MT" w:hAnsi="Bell MT"/>
          <w:sz w:val="24"/>
          <w:szCs w:val="24"/>
        </w:rPr>
        <w:t>)</w:t>
      </w:r>
      <w:r w:rsidRPr="00E4511E">
        <w:rPr>
          <w:rFonts w:ascii="Bell MT" w:hAnsi="Bell MT"/>
          <w:sz w:val="24"/>
          <w:szCs w:val="24"/>
        </w:rPr>
        <w:t>.</w:t>
      </w:r>
    </w:p>
    <w:p w:rsidR="008B488C" w:rsidRDefault="00E4511E" w:rsidP="003F6A67">
      <w:pPr>
        <w:spacing w:after="60"/>
        <w:jc w:val="both"/>
        <w:rPr>
          <w:rFonts w:ascii="Bell MT" w:hAnsi="Bell MT"/>
          <w:sz w:val="24"/>
          <w:szCs w:val="24"/>
        </w:rPr>
      </w:pPr>
      <w:r w:rsidRPr="008B488C">
        <w:rPr>
          <w:rFonts w:ascii="Bell MT" w:hAnsi="Bell MT"/>
          <w:i/>
          <w:sz w:val="24"/>
          <w:szCs w:val="24"/>
        </w:rPr>
        <w:t>The issues:</w:t>
      </w:r>
      <w:r w:rsidRPr="00E4511E">
        <w:rPr>
          <w:rFonts w:ascii="Bell MT" w:hAnsi="Bell MT"/>
          <w:sz w:val="24"/>
          <w:szCs w:val="24"/>
        </w:rPr>
        <w:t xml:space="preserve"> </w:t>
      </w:r>
      <w:proofErr w:type="gramStart"/>
      <w:r w:rsidRPr="00E4511E">
        <w:rPr>
          <w:rFonts w:ascii="Bell MT" w:hAnsi="Bell MT"/>
          <w:sz w:val="24"/>
          <w:szCs w:val="24"/>
        </w:rPr>
        <w:t>Trans</w:t>
      </w:r>
      <w:proofErr w:type="gramEnd"/>
      <w:r w:rsidRPr="00E4511E">
        <w:rPr>
          <w:rFonts w:ascii="Bell MT" w:hAnsi="Bell MT"/>
          <w:sz w:val="24"/>
          <w:szCs w:val="24"/>
        </w:rPr>
        <w:t xml:space="preserve"> persons face multiple challenges in the exercise of their human rights. Among the LGBT community, trans persons are the most likely to encounter discrimination, harassment or violence</w:t>
      </w:r>
      <w:r w:rsidR="006B1916">
        <w:rPr>
          <w:rFonts w:ascii="Bell MT" w:hAnsi="Bell MT"/>
          <w:sz w:val="24"/>
          <w:szCs w:val="24"/>
        </w:rPr>
        <w:t xml:space="preserve">, with </w:t>
      </w:r>
      <w:r w:rsidR="008B488C" w:rsidRPr="00E4511E">
        <w:rPr>
          <w:rFonts w:ascii="Bell MT" w:hAnsi="Bell MT"/>
          <w:sz w:val="24"/>
          <w:szCs w:val="24"/>
        </w:rPr>
        <w:t xml:space="preserve">1 in every 2 trans persons interviewed </w:t>
      </w:r>
      <w:r w:rsidR="006B1916">
        <w:rPr>
          <w:rFonts w:ascii="Bell MT" w:hAnsi="Bell MT"/>
          <w:sz w:val="24"/>
          <w:szCs w:val="24"/>
        </w:rPr>
        <w:t>in the</w:t>
      </w:r>
      <w:r w:rsidR="006B1916" w:rsidRPr="00E4511E">
        <w:rPr>
          <w:rFonts w:ascii="Bell MT" w:hAnsi="Bell MT"/>
          <w:sz w:val="24"/>
          <w:szCs w:val="24"/>
        </w:rPr>
        <w:t xml:space="preserve"> FRA EU-wide LGBT survey of 2012</w:t>
      </w:r>
      <w:r w:rsidR="006B1916">
        <w:rPr>
          <w:rFonts w:ascii="Bell MT" w:hAnsi="Bell MT"/>
          <w:sz w:val="24"/>
          <w:szCs w:val="24"/>
        </w:rPr>
        <w:t xml:space="preserve"> </w:t>
      </w:r>
      <w:r w:rsidR="008B488C" w:rsidRPr="00E4511E">
        <w:rPr>
          <w:rFonts w:ascii="Bell MT" w:hAnsi="Bell MT"/>
          <w:sz w:val="24"/>
          <w:szCs w:val="24"/>
        </w:rPr>
        <w:t>report</w:t>
      </w:r>
      <w:r w:rsidR="006B1916">
        <w:rPr>
          <w:rFonts w:ascii="Bell MT" w:hAnsi="Bell MT"/>
          <w:sz w:val="24"/>
          <w:szCs w:val="24"/>
        </w:rPr>
        <w:t>ing</w:t>
      </w:r>
      <w:r w:rsidR="008B488C" w:rsidRPr="00E4511E">
        <w:rPr>
          <w:rFonts w:ascii="Bell MT" w:hAnsi="Bell MT"/>
          <w:sz w:val="24"/>
          <w:szCs w:val="24"/>
        </w:rPr>
        <w:t xml:space="preserve"> having been attacked or target of physical or verbal violence. </w:t>
      </w:r>
      <w:proofErr w:type="gramStart"/>
      <w:r w:rsidRPr="00E4511E">
        <w:rPr>
          <w:rFonts w:ascii="Bell MT" w:hAnsi="Bell MT"/>
          <w:sz w:val="24"/>
          <w:szCs w:val="24"/>
        </w:rPr>
        <w:t>Trans</w:t>
      </w:r>
      <w:proofErr w:type="gramEnd"/>
      <w:r w:rsidRPr="00E4511E">
        <w:rPr>
          <w:rFonts w:ascii="Bell MT" w:hAnsi="Bell MT"/>
          <w:sz w:val="24"/>
          <w:szCs w:val="24"/>
        </w:rPr>
        <w:t xml:space="preserve"> persons often face discrimination in healthcare, education and in the wider society, especially in countrie</w:t>
      </w:r>
      <w:r w:rsidR="006B1916">
        <w:rPr>
          <w:rFonts w:ascii="Bell MT" w:hAnsi="Bell MT"/>
          <w:sz w:val="24"/>
          <w:szCs w:val="24"/>
        </w:rPr>
        <w:t>s where they cannot change the gender markers in</w:t>
      </w:r>
      <w:r w:rsidRPr="00E4511E">
        <w:rPr>
          <w:rFonts w:ascii="Bell MT" w:hAnsi="Bell MT"/>
          <w:sz w:val="24"/>
          <w:szCs w:val="24"/>
        </w:rPr>
        <w:t xml:space="preserve"> </w:t>
      </w:r>
      <w:r w:rsidR="006B1916">
        <w:rPr>
          <w:rFonts w:ascii="Bell MT" w:hAnsi="Bell MT"/>
          <w:sz w:val="24"/>
          <w:szCs w:val="24"/>
        </w:rPr>
        <w:t xml:space="preserve">personal </w:t>
      </w:r>
      <w:r w:rsidRPr="00E4511E">
        <w:rPr>
          <w:rFonts w:ascii="Bell MT" w:hAnsi="Bell MT"/>
          <w:sz w:val="24"/>
          <w:szCs w:val="24"/>
        </w:rPr>
        <w:t xml:space="preserve">documentation. In many countries, </w:t>
      </w:r>
      <w:r w:rsidR="006B1916">
        <w:rPr>
          <w:rFonts w:ascii="Bell MT" w:hAnsi="Bell MT"/>
          <w:sz w:val="24"/>
          <w:szCs w:val="24"/>
        </w:rPr>
        <w:t xml:space="preserve">legal gender recognition is conditional </w:t>
      </w:r>
      <w:proofErr w:type="gramStart"/>
      <w:r w:rsidR="006B1916">
        <w:rPr>
          <w:rFonts w:ascii="Bell MT" w:hAnsi="Bell MT"/>
          <w:sz w:val="24"/>
          <w:szCs w:val="24"/>
        </w:rPr>
        <w:t>upon,</w:t>
      </w:r>
      <w:proofErr w:type="gramEnd"/>
      <w:r w:rsidR="006B1916">
        <w:rPr>
          <w:rFonts w:ascii="Bell MT" w:hAnsi="Bell MT"/>
          <w:sz w:val="24"/>
          <w:szCs w:val="24"/>
        </w:rPr>
        <w:t xml:space="preserve"> inter alia, </w:t>
      </w:r>
      <w:r w:rsidRPr="00E4511E">
        <w:rPr>
          <w:rFonts w:ascii="Bell MT" w:hAnsi="Bell MT"/>
          <w:sz w:val="24"/>
          <w:szCs w:val="24"/>
        </w:rPr>
        <w:t>compulsory diagnosis of a mental illness, forced sterilisation and</w:t>
      </w:r>
      <w:r w:rsidR="006B1916">
        <w:rPr>
          <w:rFonts w:ascii="Bell MT" w:hAnsi="Bell MT"/>
          <w:sz w:val="24"/>
          <w:szCs w:val="24"/>
        </w:rPr>
        <w:t>/or</w:t>
      </w:r>
      <w:r w:rsidRPr="00E4511E">
        <w:rPr>
          <w:rFonts w:ascii="Bell MT" w:hAnsi="Bell MT"/>
          <w:sz w:val="24"/>
          <w:szCs w:val="24"/>
        </w:rPr>
        <w:t xml:space="preserve"> compulsory divorce. </w:t>
      </w:r>
    </w:p>
    <w:p w:rsidR="003C4DDF" w:rsidRDefault="003C4DDF" w:rsidP="003F6A67">
      <w:pPr>
        <w:spacing w:after="60"/>
        <w:jc w:val="both"/>
        <w:rPr>
          <w:rFonts w:ascii="Bell MT" w:hAnsi="Bell MT"/>
          <w:sz w:val="24"/>
          <w:szCs w:val="24"/>
        </w:rPr>
      </w:pPr>
    </w:p>
    <w:p w:rsidR="00E4511E" w:rsidRPr="008B488C" w:rsidRDefault="00E4511E" w:rsidP="003F6A67">
      <w:pPr>
        <w:pStyle w:val="ListParagraph"/>
        <w:numPr>
          <w:ilvl w:val="0"/>
          <w:numId w:val="14"/>
        </w:numPr>
        <w:spacing w:after="60"/>
        <w:jc w:val="both"/>
        <w:rPr>
          <w:rFonts w:ascii="Bell MT" w:hAnsi="Bell MT"/>
          <w:sz w:val="24"/>
          <w:szCs w:val="24"/>
          <w:u w:val="single"/>
        </w:rPr>
      </w:pPr>
      <w:r w:rsidRPr="008B488C">
        <w:rPr>
          <w:rFonts w:ascii="Bell MT" w:hAnsi="Bell MT"/>
          <w:sz w:val="24"/>
          <w:szCs w:val="24"/>
          <w:u w:val="single"/>
        </w:rPr>
        <w:t>Intersex persons</w:t>
      </w:r>
    </w:p>
    <w:p w:rsidR="00E4511E" w:rsidRPr="00E4511E" w:rsidRDefault="00E4511E" w:rsidP="003F6A67">
      <w:pPr>
        <w:spacing w:after="60"/>
        <w:jc w:val="both"/>
        <w:rPr>
          <w:rFonts w:ascii="Bell MT" w:hAnsi="Bell MT"/>
          <w:sz w:val="24"/>
          <w:szCs w:val="24"/>
        </w:rPr>
      </w:pPr>
      <w:r w:rsidRPr="008B488C">
        <w:rPr>
          <w:rFonts w:ascii="Bell MT" w:hAnsi="Bell MT"/>
          <w:i/>
          <w:sz w:val="24"/>
          <w:szCs w:val="24"/>
        </w:rPr>
        <w:t>Definition:</w:t>
      </w:r>
      <w:r w:rsidRPr="00E4511E">
        <w:rPr>
          <w:rFonts w:ascii="Bell MT" w:hAnsi="Bell MT"/>
          <w:sz w:val="24"/>
          <w:szCs w:val="24"/>
        </w:rPr>
        <w:t xml:space="preserve"> Intersex people are born with sex characteristics (including genitals, gonads and chromosome patterns) that do not fit typical binary notions of male or female bodies. These can be neither wholly female nor wholly male; or a combination of female and male; or neither female nor male. Such variations may involve genital ambiguity, and combinations of chromosomal </w:t>
      </w:r>
      <w:hyperlink r:id="rId9" w:history="1">
        <w:r w:rsidRPr="00E4511E">
          <w:rPr>
            <w:rFonts w:ascii="Bell MT" w:hAnsi="Bell MT"/>
            <w:sz w:val="24"/>
            <w:szCs w:val="24"/>
          </w:rPr>
          <w:t>genotype</w:t>
        </w:r>
      </w:hyperlink>
      <w:r w:rsidRPr="00E4511E">
        <w:rPr>
          <w:rFonts w:ascii="Bell MT" w:hAnsi="Bell MT"/>
          <w:sz w:val="24"/>
          <w:szCs w:val="24"/>
        </w:rPr>
        <w:t xml:space="preserve"> and sexual </w:t>
      </w:r>
      <w:hyperlink r:id="rId10" w:history="1">
        <w:r w:rsidRPr="00E4511E">
          <w:rPr>
            <w:rFonts w:ascii="Bell MT" w:hAnsi="Bell MT"/>
            <w:sz w:val="24"/>
            <w:szCs w:val="24"/>
          </w:rPr>
          <w:t>phenotype</w:t>
        </w:r>
      </w:hyperlink>
      <w:r w:rsidRPr="00E4511E">
        <w:rPr>
          <w:rFonts w:ascii="Bell MT" w:hAnsi="Bell MT"/>
          <w:sz w:val="24"/>
          <w:szCs w:val="24"/>
        </w:rPr>
        <w:t xml:space="preserve"> other than </w:t>
      </w:r>
      <w:hyperlink r:id="rId11" w:history="1">
        <w:r w:rsidRPr="00E4511E">
          <w:rPr>
            <w:rFonts w:ascii="Bell MT" w:hAnsi="Bell MT"/>
            <w:sz w:val="24"/>
            <w:szCs w:val="24"/>
          </w:rPr>
          <w:t>XY-male and XX-female</w:t>
        </w:r>
      </w:hyperlink>
      <w:r w:rsidRPr="00E4511E">
        <w:rPr>
          <w:rFonts w:ascii="Bell MT" w:hAnsi="Bell MT"/>
          <w:sz w:val="24"/>
          <w:szCs w:val="24"/>
        </w:rPr>
        <w:t>. Intersex is an umbrella term used to describe a wide range of natural bodily variations</w:t>
      </w:r>
      <w:r w:rsidR="00E40E0C">
        <w:rPr>
          <w:rFonts w:ascii="Bell MT" w:hAnsi="Bell MT"/>
          <w:sz w:val="24"/>
          <w:szCs w:val="24"/>
        </w:rPr>
        <w:t xml:space="preserve">. </w:t>
      </w:r>
      <w:r w:rsidRPr="00E4511E">
        <w:rPr>
          <w:rFonts w:ascii="Bell MT" w:hAnsi="Bell MT"/>
          <w:sz w:val="24"/>
          <w:szCs w:val="24"/>
        </w:rPr>
        <w:t>According to experts, between 0.05% and 1.7% of the population is born with intersex traits</w:t>
      </w:r>
      <w:r w:rsidR="00E40E0C">
        <w:rPr>
          <w:rFonts w:ascii="Bell MT" w:hAnsi="Bell MT"/>
          <w:sz w:val="24"/>
          <w:szCs w:val="24"/>
        </w:rPr>
        <w:t>.</w:t>
      </w:r>
      <w:r w:rsidRPr="00E4511E">
        <w:rPr>
          <w:rFonts w:ascii="Bell MT" w:hAnsi="Bell MT"/>
          <w:sz w:val="24"/>
          <w:szCs w:val="24"/>
        </w:rPr>
        <w:t xml:space="preserve"> </w:t>
      </w:r>
    </w:p>
    <w:p w:rsidR="008B488C" w:rsidRDefault="00E4511E" w:rsidP="003F6A67">
      <w:pPr>
        <w:spacing w:after="60"/>
        <w:jc w:val="both"/>
        <w:rPr>
          <w:rFonts w:ascii="Bell MT" w:hAnsi="Bell MT"/>
          <w:sz w:val="24"/>
          <w:szCs w:val="24"/>
        </w:rPr>
      </w:pPr>
      <w:r w:rsidRPr="008B488C">
        <w:rPr>
          <w:rFonts w:ascii="Bell MT" w:hAnsi="Bell MT"/>
          <w:i/>
          <w:sz w:val="24"/>
          <w:szCs w:val="24"/>
        </w:rPr>
        <w:t>The issues:</w:t>
      </w:r>
      <w:r w:rsidRPr="00E4511E">
        <w:rPr>
          <w:rFonts w:ascii="Bell MT" w:hAnsi="Bell MT"/>
          <w:sz w:val="24"/>
          <w:szCs w:val="24"/>
        </w:rPr>
        <w:t xml:space="preserve"> One of the main fundamental rights violations experienced by intersex persons are 'sex normalising' treatments, including on very young children (often younger than 6 months old). These medical interventions are </w:t>
      </w:r>
      <w:r w:rsidR="00243A59">
        <w:rPr>
          <w:rFonts w:ascii="Bell MT" w:hAnsi="Bell MT"/>
          <w:sz w:val="24"/>
          <w:szCs w:val="24"/>
        </w:rPr>
        <w:t>often performed</w:t>
      </w:r>
      <w:r w:rsidRPr="00E4511E">
        <w:rPr>
          <w:rFonts w:ascii="Bell MT" w:hAnsi="Bell MT"/>
          <w:sz w:val="24"/>
          <w:szCs w:val="24"/>
        </w:rPr>
        <w:t xml:space="preserve"> </w:t>
      </w:r>
      <w:r w:rsidR="00243A59" w:rsidRPr="00E4511E">
        <w:rPr>
          <w:rFonts w:ascii="Bell MT" w:hAnsi="Bell MT"/>
          <w:sz w:val="24"/>
          <w:szCs w:val="24"/>
        </w:rPr>
        <w:t xml:space="preserve">without the full, free and informed consent of the person concerned </w:t>
      </w:r>
      <w:r w:rsidR="00243A59">
        <w:rPr>
          <w:rFonts w:ascii="Bell MT" w:hAnsi="Bell MT"/>
          <w:sz w:val="24"/>
          <w:szCs w:val="24"/>
        </w:rPr>
        <w:t xml:space="preserve">and </w:t>
      </w:r>
      <w:r w:rsidRPr="00E4511E">
        <w:rPr>
          <w:rFonts w:ascii="Bell MT" w:hAnsi="Bell MT"/>
          <w:sz w:val="24"/>
          <w:szCs w:val="24"/>
        </w:rPr>
        <w:t xml:space="preserve">can cause permanent infertility, pain, incontinence, loss of sexual sensation, and lifelong mental suffering, including depression. </w:t>
      </w:r>
    </w:p>
    <w:p w:rsidR="00E4511E" w:rsidRDefault="00E4511E" w:rsidP="003F6A67">
      <w:pPr>
        <w:spacing w:after="60"/>
        <w:jc w:val="both"/>
        <w:rPr>
          <w:rFonts w:ascii="Bell MT" w:hAnsi="Bell MT"/>
          <w:sz w:val="24"/>
          <w:szCs w:val="24"/>
        </w:rPr>
      </w:pPr>
      <w:r w:rsidRPr="00E4511E">
        <w:rPr>
          <w:rFonts w:ascii="Bell MT" w:hAnsi="Bell MT"/>
          <w:sz w:val="24"/>
          <w:szCs w:val="24"/>
        </w:rPr>
        <w:t xml:space="preserve">Birth registration also remains a problem. Only a few EU member states allow sex-neutral identification (represented by categories such as 'other') or a delay of sex determination to a later stage. </w:t>
      </w:r>
    </w:p>
    <w:p w:rsidR="003F6A67" w:rsidRPr="00E4511E" w:rsidRDefault="003F6A67" w:rsidP="003F6A67">
      <w:pPr>
        <w:spacing w:after="60"/>
        <w:jc w:val="both"/>
        <w:rPr>
          <w:rFonts w:ascii="Bell MT" w:hAnsi="Bell MT"/>
          <w:sz w:val="24"/>
          <w:szCs w:val="24"/>
        </w:rPr>
      </w:pPr>
    </w:p>
    <w:p w:rsidR="00E4511E" w:rsidRPr="008B488C" w:rsidRDefault="000D3FB3" w:rsidP="003F6A67">
      <w:pPr>
        <w:pStyle w:val="ListParagraph"/>
        <w:numPr>
          <w:ilvl w:val="0"/>
          <w:numId w:val="13"/>
        </w:numPr>
        <w:spacing w:after="60"/>
        <w:jc w:val="both"/>
        <w:rPr>
          <w:rFonts w:ascii="Bell MT" w:hAnsi="Bell MT"/>
          <w:b/>
          <w:sz w:val="24"/>
          <w:szCs w:val="24"/>
          <w:u w:val="single"/>
        </w:rPr>
      </w:pPr>
      <w:r>
        <w:rPr>
          <w:rFonts w:ascii="Bell MT" w:hAnsi="Bell MT"/>
          <w:b/>
          <w:sz w:val="24"/>
          <w:szCs w:val="24"/>
          <w:u w:val="single"/>
        </w:rPr>
        <w:t xml:space="preserve">How to address these </w:t>
      </w:r>
      <w:proofErr w:type="gramStart"/>
      <w:r>
        <w:rPr>
          <w:rFonts w:ascii="Bell MT" w:hAnsi="Bell MT"/>
          <w:b/>
          <w:sz w:val="24"/>
          <w:szCs w:val="24"/>
          <w:u w:val="single"/>
        </w:rPr>
        <w:t>issues</w:t>
      </w:r>
      <w:r w:rsidR="00E4511E" w:rsidRPr="008B488C">
        <w:rPr>
          <w:rFonts w:ascii="Bell MT" w:hAnsi="Bell MT"/>
          <w:b/>
          <w:sz w:val="24"/>
          <w:szCs w:val="24"/>
          <w:u w:val="single"/>
        </w:rPr>
        <w:t xml:space="preserve"> ?</w:t>
      </w:r>
      <w:proofErr w:type="gramEnd"/>
    </w:p>
    <w:p w:rsidR="00E4511E" w:rsidRPr="00E4511E" w:rsidRDefault="00E4511E" w:rsidP="003F6A67">
      <w:pPr>
        <w:spacing w:after="60"/>
        <w:jc w:val="both"/>
        <w:rPr>
          <w:rFonts w:ascii="Bell MT" w:hAnsi="Bell MT"/>
          <w:sz w:val="24"/>
          <w:szCs w:val="24"/>
        </w:rPr>
      </w:pPr>
      <w:r w:rsidRPr="00E4511E">
        <w:rPr>
          <w:rFonts w:ascii="Bell MT" w:hAnsi="Bell MT"/>
          <w:sz w:val="24"/>
          <w:szCs w:val="24"/>
        </w:rPr>
        <w:t>T</w:t>
      </w:r>
      <w:r w:rsidR="00E43161">
        <w:rPr>
          <w:rFonts w:ascii="Bell MT" w:hAnsi="Bell MT"/>
          <w:sz w:val="24"/>
          <w:szCs w:val="24"/>
        </w:rPr>
        <w:t>o address the issues described above, t</w:t>
      </w:r>
      <w:r w:rsidRPr="00E4511E">
        <w:rPr>
          <w:rFonts w:ascii="Bell MT" w:hAnsi="Bell MT"/>
          <w:sz w:val="24"/>
          <w:szCs w:val="24"/>
        </w:rPr>
        <w:t xml:space="preserve">he </w:t>
      </w:r>
      <w:r w:rsidR="00E43161">
        <w:rPr>
          <w:rFonts w:ascii="Bell MT" w:hAnsi="Bell MT"/>
          <w:sz w:val="24"/>
          <w:szCs w:val="24"/>
        </w:rPr>
        <w:t xml:space="preserve">first stage is </w:t>
      </w:r>
      <w:r w:rsidR="000D3FB3">
        <w:rPr>
          <w:rFonts w:ascii="Bell MT" w:hAnsi="Bell MT"/>
          <w:sz w:val="24"/>
          <w:szCs w:val="24"/>
        </w:rPr>
        <w:t xml:space="preserve">for countries to adopt/amend </w:t>
      </w:r>
      <w:r w:rsidR="00E43161">
        <w:rPr>
          <w:rFonts w:ascii="Bell MT" w:hAnsi="Bell MT"/>
          <w:sz w:val="24"/>
          <w:szCs w:val="24"/>
        </w:rPr>
        <w:t xml:space="preserve">the </w:t>
      </w:r>
      <w:r w:rsidR="00E43161" w:rsidRPr="000D3FB3">
        <w:rPr>
          <w:rFonts w:ascii="Bell MT" w:hAnsi="Bell MT"/>
          <w:b/>
          <w:sz w:val="24"/>
          <w:szCs w:val="24"/>
        </w:rPr>
        <w:t xml:space="preserve">anti-discrimination </w:t>
      </w:r>
      <w:r w:rsidR="000D3FB3">
        <w:rPr>
          <w:rFonts w:ascii="Bell MT" w:hAnsi="Bell MT"/>
          <w:b/>
          <w:sz w:val="24"/>
          <w:szCs w:val="24"/>
        </w:rPr>
        <w:t xml:space="preserve">legislation and criminal measures against hate crime </w:t>
      </w:r>
      <w:r w:rsidR="00E43161" w:rsidRPr="000D3FB3">
        <w:rPr>
          <w:rFonts w:ascii="Bell MT" w:hAnsi="Bell MT"/>
          <w:b/>
          <w:sz w:val="24"/>
          <w:szCs w:val="24"/>
        </w:rPr>
        <w:t>to cover sex characteristics, gender identity in addition to sexual orientation</w:t>
      </w:r>
      <w:r w:rsidR="00E43161" w:rsidRPr="00E4511E">
        <w:rPr>
          <w:rFonts w:ascii="Bell MT" w:hAnsi="Bell MT"/>
          <w:sz w:val="24"/>
          <w:szCs w:val="24"/>
        </w:rPr>
        <w:t>.</w:t>
      </w:r>
      <w:r w:rsidR="00E43161">
        <w:rPr>
          <w:rFonts w:ascii="Bell MT" w:hAnsi="Bell MT"/>
          <w:sz w:val="24"/>
          <w:szCs w:val="24"/>
        </w:rPr>
        <w:t xml:space="preserve"> </w:t>
      </w:r>
    </w:p>
    <w:p w:rsidR="00D23CC5" w:rsidRDefault="00E4511E" w:rsidP="003F6A67">
      <w:pPr>
        <w:spacing w:after="60"/>
        <w:jc w:val="both"/>
        <w:rPr>
          <w:rFonts w:ascii="Bell MT" w:hAnsi="Bell MT"/>
          <w:sz w:val="24"/>
          <w:szCs w:val="24"/>
        </w:rPr>
      </w:pPr>
      <w:r w:rsidRPr="00E4511E">
        <w:rPr>
          <w:rFonts w:ascii="Bell MT" w:hAnsi="Bell MT"/>
          <w:sz w:val="24"/>
          <w:szCs w:val="24"/>
        </w:rPr>
        <w:t>However</w:t>
      </w:r>
      <w:r w:rsidR="00202DAE">
        <w:rPr>
          <w:rFonts w:ascii="Bell MT" w:hAnsi="Bell MT"/>
          <w:sz w:val="24"/>
          <w:szCs w:val="24"/>
        </w:rPr>
        <w:t>,</w:t>
      </w:r>
      <w:r w:rsidR="00096072">
        <w:rPr>
          <w:rFonts w:ascii="Bell MT" w:hAnsi="Bell MT"/>
          <w:sz w:val="24"/>
          <w:szCs w:val="24"/>
        </w:rPr>
        <w:t xml:space="preserve"> addressing challenges faced by</w:t>
      </w:r>
      <w:r w:rsidRPr="00E4511E">
        <w:rPr>
          <w:rFonts w:ascii="Bell MT" w:hAnsi="Bell MT"/>
          <w:sz w:val="24"/>
          <w:szCs w:val="24"/>
        </w:rPr>
        <w:t xml:space="preserve"> </w:t>
      </w:r>
      <w:proofErr w:type="gramStart"/>
      <w:r w:rsidR="00096072">
        <w:rPr>
          <w:rFonts w:ascii="Bell MT" w:hAnsi="Bell MT"/>
          <w:sz w:val="24"/>
          <w:szCs w:val="24"/>
        </w:rPr>
        <w:t>trans</w:t>
      </w:r>
      <w:proofErr w:type="gramEnd"/>
      <w:r w:rsidR="00096072">
        <w:rPr>
          <w:rFonts w:ascii="Bell MT" w:hAnsi="Bell MT"/>
          <w:sz w:val="24"/>
          <w:szCs w:val="24"/>
        </w:rPr>
        <w:t xml:space="preserve"> and intersex persons requires measures which many States are not always ready to take, especially as they would require moving</w:t>
      </w:r>
      <w:r w:rsidR="00096072" w:rsidRPr="00E4511E">
        <w:rPr>
          <w:rFonts w:ascii="Bell MT" w:hAnsi="Bell MT"/>
          <w:sz w:val="24"/>
          <w:szCs w:val="24"/>
        </w:rPr>
        <w:t xml:space="preserve"> away from traditional and permanent attributions of gender binary characteristics</w:t>
      </w:r>
      <w:r w:rsidR="00096072">
        <w:rPr>
          <w:rFonts w:ascii="Bell MT" w:hAnsi="Bell MT"/>
          <w:sz w:val="24"/>
          <w:szCs w:val="24"/>
        </w:rPr>
        <w:t xml:space="preserve">. </w:t>
      </w:r>
      <w:r w:rsidR="00D23CC5">
        <w:rPr>
          <w:rFonts w:ascii="Bell MT" w:hAnsi="Bell MT"/>
          <w:sz w:val="24"/>
          <w:szCs w:val="24"/>
        </w:rPr>
        <w:t>Some of the main recommendations to address them are listed below:</w:t>
      </w:r>
    </w:p>
    <w:p w:rsidR="003C4DDF" w:rsidRPr="00E4511E" w:rsidRDefault="003C4DDF" w:rsidP="003F6A67">
      <w:pPr>
        <w:spacing w:after="60"/>
        <w:jc w:val="both"/>
        <w:rPr>
          <w:rFonts w:ascii="Bell MT" w:hAnsi="Bell MT"/>
          <w:sz w:val="24"/>
          <w:szCs w:val="24"/>
        </w:rPr>
      </w:pPr>
    </w:p>
    <w:p w:rsidR="00E4511E" w:rsidRPr="008B488C" w:rsidRDefault="00E4511E" w:rsidP="003F6A67">
      <w:pPr>
        <w:pStyle w:val="ListParagraph"/>
        <w:numPr>
          <w:ilvl w:val="0"/>
          <w:numId w:val="17"/>
        </w:numPr>
        <w:spacing w:after="60"/>
        <w:jc w:val="both"/>
        <w:rPr>
          <w:rFonts w:ascii="Bell MT" w:hAnsi="Bell MT"/>
          <w:sz w:val="24"/>
          <w:szCs w:val="24"/>
          <w:u w:val="single"/>
        </w:rPr>
      </w:pPr>
      <w:r w:rsidRPr="008B488C">
        <w:rPr>
          <w:rFonts w:ascii="Bell MT" w:hAnsi="Bell MT"/>
          <w:sz w:val="24"/>
          <w:szCs w:val="24"/>
          <w:u w:val="single"/>
        </w:rPr>
        <w:t>Trans</w:t>
      </w:r>
      <w:r w:rsidR="00EE12E0">
        <w:rPr>
          <w:rFonts w:ascii="Bell MT" w:hAnsi="Bell MT"/>
          <w:sz w:val="24"/>
          <w:szCs w:val="24"/>
          <w:u w:val="single"/>
        </w:rPr>
        <w:t>(</w:t>
      </w:r>
      <w:r w:rsidRPr="008B488C">
        <w:rPr>
          <w:rFonts w:ascii="Bell MT" w:hAnsi="Bell MT"/>
          <w:sz w:val="24"/>
          <w:szCs w:val="24"/>
          <w:u w:val="single"/>
        </w:rPr>
        <w:t>gender</w:t>
      </w:r>
      <w:r w:rsidR="00EE12E0">
        <w:rPr>
          <w:rFonts w:ascii="Bell MT" w:hAnsi="Bell MT"/>
          <w:sz w:val="24"/>
          <w:szCs w:val="24"/>
          <w:u w:val="single"/>
        </w:rPr>
        <w:t>)</w:t>
      </w:r>
      <w:r w:rsidRPr="008B488C">
        <w:rPr>
          <w:rFonts w:ascii="Bell MT" w:hAnsi="Bell MT"/>
          <w:sz w:val="24"/>
          <w:szCs w:val="24"/>
          <w:u w:val="single"/>
        </w:rPr>
        <w:t xml:space="preserve"> persons:</w:t>
      </w:r>
    </w:p>
    <w:p w:rsidR="00EE12E0" w:rsidRDefault="00C810BA" w:rsidP="003F6A67">
      <w:pPr>
        <w:spacing w:after="60"/>
        <w:jc w:val="both"/>
        <w:rPr>
          <w:rFonts w:ascii="Bell MT" w:hAnsi="Bell MT"/>
          <w:sz w:val="24"/>
          <w:szCs w:val="24"/>
        </w:rPr>
      </w:pPr>
      <w:r w:rsidRPr="00C810BA">
        <w:rPr>
          <w:rFonts w:ascii="Bell MT" w:hAnsi="Bell MT"/>
          <w:sz w:val="24"/>
          <w:szCs w:val="24"/>
        </w:rPr>
        <w:sym w:font="Wingdings" w:char="F0E0"/>
      </w:r>
      <w:r>
        <w:rPr>
          <w:rFonts w:ascii="Bell MT" w:hAnsi="Bell MT"/>
          <w:sz w:val="24"/>
          <w:szCs w:val="24"/>
        </w:rPr>
        <w:t xml:space="preserve"> </w:t>
      </w:r>
      <w:r w:rsidR="00EE12E0" w:rsidRPr="00EE12E0">
        <w:rPr>
          <w:rFonts w:ascii="Bell MT" w:hAnsi="Bell MT"/>
          <w:b/>
          <w:sz w:val="24"/>
          <w:szCs w:val="24"/>
        </w:rPr>
        <w:t>Legal gender recognition</w:t>
      </w:r>
      <w:r w:rsidR="00EE12E0">
        <w:rPr>
          <w:rFonts w:ascii="Bell MT" w:hAnsi="Bell MT"/>
          <w:sz w:val="24"/>
          <w:szCs w:val="24"/>
        </w:rPr>
        <w:t xml:space="preserve">: </w:t>
      </w:r>
    </w:p>
    <w:p w:rsidR="00EE12E0" w:rsidRDefault="00E4511E" w:rsidP="003F6A67">
      <w:pPr>
        <w:pStyle w:val="ListParagraph"/>
        <w:numPr>
          <w:ilvl w:val="0"/>
          <w:numId w:val="19"/>
        </w:numPr>
        <w:spacing w:after="60"/>
        <w:jc w:val="both"/>
        <w:rPr>
          <w:rFonts w:ascii="Bell MT" w:hAnsi="Bell MT"/>
          <w:sz w:val="24"/>
          <w:szCs w:val="24"/>
        </w:rPr>
      </w:pPr>
      <w:r w:rsidRPr="00EE12E0">
        <w:rPr>
          <w:rFonts w:ascii="Bell MT" w:hAnsi="Bell MT"/>
          <w:b/>
          <w:sz w:val="24"/>
          <w:szCs w:val="24"/>
        </w:rPr>
        <w:t>Prior requirements</w:t>
      </w:r>
      <w:r w:rsidRPr="00EE12E0">
        <w:rPr>
          <w:rFonts w:ascii="Bell MT" w:hAnsi="Bell MT"/>
          <w:sz w:val="24"/>
          <w:szCs w:val="24"/>
        </w:rPr>
        <w:t>, including changes of a physical nature</w:t>
      </w:r>
      <w:r w:rsidR="00194171" w:rsidRPr="00194171">
        <w:t xml:space="preserve"> </w:t>
      </w:r>
      <w:r w:rsidR="00194171" w:rsidRPr="00EE12E0">
        <w:rPr>
          <w:rFonts w:ascii="Bell MT" w:hAnsi="Bell MT"/>
          <w:b/>
          <w:sz w:val="24"/>
          <w:szCs w:val="24"/>
        </w:rPr>
        <w:t>for legal recognition of a gender reassignment</w:t>
      </w:r>
      <w:r w:rsidRPr="00EE12E0">
        <w:rPr>
          <w:rFonts w:ascii="Bell MT" w:hAnsi="Bell MT"/>
          <w:sz w:val="24"/>
          <w:szCs w:val="24"/>
        </w:rPr>
        <w:t xml:space="preserve">, should be regularly reviewed to </w:t>
      </w:r>
      <w:r w:rsidRPr="00EE12E0">
        <w:rPr>
          <w:rFonts w:ascii="Bell MT" w:hAnsi="Bell MT"/>
          <w:b/>
          <w:sz w:val="24"/>
          <w:szCs w:val="24"/>
        </w:rPr>
        <w:t>remove abusive requirements</w:t>
      </w:r>
      <w:r w:rsidR="00E25E2B">
        <w:rPr>
          <w:rStyle w:val="FootnoteReference"/>
          <w:rFonts w:ascii="Bell MT" w:hAnsi="Bell MT"/>
          <w:b/>
          <w:sz w:val="24"/>
          <w:szCs w:val="24"/>
        </w:rPr>
        <w:footnoteReference w:id="1"/>
      </w:r>
      <w:r w:rsidRPr="00EE12E0">
        <w:rPr>
          <w:rFonts w:ascii="Bell MT" w:hAnsi="Bell MT"/>
          <w:sz w:val="24"/>
          <w:szCs w:val="24"/>
        </w:rPr>
        <w:t>.</w:t>
      </w:r>
    </w:p>
    <w:p w:rsidR="00E4511E" w:rsidRPr="00EE12E0" w:rsidRDefault="00EE12E0" w:rsidP="003F6A67">
      <w:pPr>
        <w:pStyle w:val="ListParagraph"/>
        <w:numPr>
          <w:ilvl w:val="0"/>
          <w:numId w:val="19"/>
        </w:numPr>
        <w:spacing w:after="60"/>
        <w:jc w:val="both"/>
        <w:rPr>
          <w:rFonts w:ascii="Bell MT" w:hAnsi="Bell MT"/>
          <w:sz w:val="24"/>
          <w:szCs w:val="24"/>
        </w:rPr>
      </w:pPr>
      <w:r w:rsidRPr="00EE12E0">
        <w:rPr>
          <w:rFonts w:ascii="Bell MT" w:hAnsi="Bell MT"/>
          <w:b/>
          <w:sz w:val="24"/>
          <w:szCs w:val="24"/>
        </w:rPr>
        <w:t>Name and gender marker change</w:t>
      </w:r>
      <w:r w:rsidRPr="00EE12E0">
        <w:rPr>
          <w:rFonts w:ascii="Bell MT" w:hAnsi="Bell MT"/>
          <w:sz w:val="24"/>
          <w:szCs w:val="24"/>
        </w:rPr>
        <w:t>: m</w:t>
      </w:r>
      <w:r w:rsidR="00E4511E" w:rsidRPr="00EE12E0">
        <w:rPr>
          <w:rFonts w:ascii="Bell MT" w:hAnsi="Bell MT"/>
          <w:sz w:val="24"/>
          <w:szCs w:val="24"/>
        </w:rPr>
        <w:t>easures should be taken to guarantee the full legal recognition of a person’s gender reassignment in all areas of life</w:t>
      </w:r>
      <w:r w:rsidR="00C810BA" w:rsidRPr="00EE12E0">
        <w:rPr>
          <w:rFonts w:ascii="Bell MT" w:hAnsi="Bell MT"/>
          <w:sz w:val="24"/>
          <w:szCs w:val="24"/>
        </w:rPr>
        <w:t>, including</w:t>
      </w:r>
      <w:r w:rsidR="00E4511E" w:rsidRPr="00EE12E0">
        <w:rPr>
          <w:rFonts w:ascii="Bell MT" w:hAnsi="Bell MT"/>
          <w:sz w:val="24"/>
          <w:szCs w:val="24"/>
        </w:rPr>
        <w:t xml:space="preserve"> by making possible the change of name and gender in official documents in a </w:t>
      </w:r>
      <w:r w:rsidR="00E4511E" w:rsidRPr="00EE12E0">
        <w:rPr>
          <w:rFonts w:ascii="Bell MT" w:hAnsi="Bell MT"/>
          <w:sz w:val="24"/>
          <w:szCs w:val="24"/>
          <w:u w:val="single"/>
        </w:rPr>
        <w:t>quick, transparent and accessible way</w:t>
      </w:r>
      <w:r w:rsidR="00194171" w:rsidRPr="00EE12E0">
        <w:rPr>
          <w:rFonts w:ascii="Bell MT" w:hAnsi="Bell MT"/>
          <w:sz w:val="24"/>
          <w:szCs w:val="24"/>
        </w:rPr>
        <w:t xml:space="preserve"> and also </w:t>
      </w:r>
      <w:r w:rsidR="00E4511E" w:rsidRPr="00EE12E0">
        <w:rPr>
          <w:rFonts w:ascii="Bell MT" w:hAnsi="Bell MT"/>
          <w:sz w:val="24"/>
          <w:szCs w:val="24"/>
        </w:rPr>
        <w:t xml:space="preserve">ensure recognition and changes by non-state actors with respect to </w:t>
      </w:r>
      <w:r w:rsidR="00194171" w:rsidRPr="00EE12E0">
        <w:rPr>
          <w:rFonts w:ascii="Bell MT" w:hAnsi="Bell MT"/>
          <w:sz w:val="24"/>
          <w:szCs w:val="24"/>
        </w:rPr>
        <w:t xml:space="preserve">other </w:t>
      </w:r>
      <w:r w:rsidR="00E4511E" w:rsidRPr="00EE12E0">
        <w:rPr>
          <w:rFonts w:ascii="Bell MT" w:hAnsi="Bell MT"/>
          <w:sz w:val="24"/>
          <w:szCs w:val="24"/>
        </w:rPr>
        <w:t>key documents, such as educational or work certificates</w:t>
      </w:r>
      <w:r w:rsidR="00E25E2B">
        <w:rPr>
          <w:rStyle w:val="FootnoteReference"/>
          <w:rFonts w:ascii="Bell MT" w:hAnsi="Bell MT"/>
          <w:sz w:val="24"/>
          <w:szCs w:val="24"/>
        </w:rPr>
        <w:footnoteReference w:id="2"/>
      </w:r>
      <w:r w:rsidR="00E4511E" w:rsidRPr="00EE12E0">
        <w:rPr>
          <w:rFonts w:ascii="Bell MT" w:hAnsi="Bell MT"/>
          <w:sz w:val="24"/>
          <w:szCs w:val="24"/>
        </w:rPr>
        <w:t>.</w:t>
      </w:r>
    </w:p>
    <w:p w:rsidR="00E4511E" w:rsidRPr="00E4511E" w:rsidRDefault="00E25E2B" w:rsidP="003F6A67">
      <w:pPr>
        <w:spacing w:after="60"/>
        <w:jc w:val="both"/>
        <w:rPr>
          <w:rFonts w:ascii="Bell MT" w:hAnsi="Bell MT"/>
          <w:sz w:val="24"/>
          <w:szCs w:val="24"/>
        </w:rPr>
      </w:pPr>
      <w:r w:rsidRPr="00E25E2B">
        <w:rPr>
          <w:rFonts w:ascii="Bell MT" w:hAnsi="Bell MT"/>
          <w:sz w:val="24"/>
          <w:szCs w:val="24"/>
        </w:rPr>
        <w:lastRenderedPageBreak/>
        <w:sym w:font="Wingdings" w:char="F0E0"/>
      </w:r>
      <w:r>
        <w:rPr>
          <w:rFonts w:ascii="Bell MT" w:hAnsi="Bell MT"/>
          <w:sz w:val="24"/>
          <w:szCs w:val="24"/>
        </w:rPr>
        <w:t xml:space="preserve"> </w:t>
      </w:r>
      <w:r w:rsidR="00EE12E0">
        <w:rPr>
          <w:rFonts w:ascii="Bell MT" w:hAnsi="Bell MT"/>
          <w:sz w:val="24"/>
          <w:szCs w:val="24"/>
        </w:rPr>
        <w:t>H</w:t>
      </w:r>
      <w:r w:rsidRPr="00E25E2B">
        <w:rPr>
          <w:rFonts w:ascii="Bell MT" w:hAnsi="Bell MT"/>
          <w:b/>
          <w:sz w:val="24"/>
          <w:szCs w:val="24"/>
        </w:rPr>
        <w:t>ealthcare</w:t>
      </w:r>
      <w:r w:rsidR="00EE12E0">
        <w:rPr>
          <w:rFonts w:ascii="Bell MT" w:hAnsi="Bell MT"/>
          <w:b/>
          <w:sz w:val="24"/>
          <w:szCs w:val="24"/>
        </w:rPr>
        <w:t>:</w:t>
      </w:r>
      <w:r w:rsidRPr="00E4511E">
        <w:rPr>
          <w:rFonts w:ascii="Bell MT" w:hAnsi="Bell MT"/>
          <w:sz w:val="24"/>
          <w:szCs w:val="24"/>
        </w:rPr>
        <w:t xml:space="preserve"> </w:t>
      </w:r>
      <w:r w:rsidR="00EE12E0">
        <w:rPr>
          <w:rFonts w:ascii="Bell MT" w:hAnsi="Bell MT"/>
          <w:sz w:val="24"/>
          <w:szCs w:val="24"/>
        </w:rPr>
        <w:t xml:space="preserve">as all citizens, guaranteed </w:t>
      </w:r>
      <w:r>
        <w:rPr>
          <w:rFonts w:ascii="Bell MT" w:hAnsi="Bell MT"/>
          <w:sz w:val="24"/>
          <w:szCs w:val="24"/>
        </w:rPr>
        <w:t>non</w:t>
      </w:r>
      <w:r w:rsidR="00E4511E" w:rsidRPr="00E4511E">
        <w:rPr>
          <w:rFonts w:ascii="Bell MT" w:hAnsi="Bell MT"/>
          <w:sz w:val="24"/>
          <w:szCs w:val="24"/>
        </w:rPr>
        <w:t>-discriminatory access to quality healthcare (including HIV prevention and treatment)</w:t>
      </w:r>
      <w:r w:rsidR="00EE12E0">
        <w:rPr>
          <w:rFonts w:ascii="Bell MT" w:hAnsi="Bell MT"/>
          <w:sz w:val="24"/>
          <w:szCs w:val="24"/>
        </w:rPr>
        <w:t>.</w:t>
      </w:r>
      <w:r>
        <w:rPr>
          <w:rFonts w:ascii="Bell MT" w:hAnsi="Bell MT"/>
          <w:sz w:val="24"/>
          <w:szCs w:val="24"/>
        </w:rPr>
        <w:t xml:space="preserve"> </w:t>
      </w:r>
      <w:r w:rsidR="00EE12E0">
        <w:rPr>
          <w:rFonts w:ascii="Bell MT" w:hAnsi="Bell MT"/>
          <w:sz w:val="24"/>
          <w:szCs w:val="24"/>
        </w:rPr>
        <w:t xml:space="preserve">Availability </w:t>
      </w:r>
      <w:r w:rsidR="00EE12E0" w:rsidRPr="00E25E2B">
        <w:rPr>
          <w:rFonts w:ascii="Bell MT" w:hAnsi="Bell MT"/>
          <w:b/>
          <w:sz w:val="24"/>
          <w:szCs w:val="24"/>
        </w:rPr>
        <w:t>trans-specific healthcare</w:t>
      </w:r>
      <w:r w:rsidR="00EE12E0" w:rsidRPr="00E4511E">
        <w:rPr>
          <w:rFonts w:ascii="Bell MT" w:hAnsi="Bell MT"/>
          <w:sz w:val="24"/>
          <w:szCs w:val="24"/>
        </w:rPr>
        <w:t>, including hormonal, surgical, psychological, or other medical treatment</w:t>
      </w:r>
      <w:r w:rsidR="00EE12E0">
        <w:rPr>
          <w:rFonts w:ascii="Bell MT" w:hAnsi="Bell MT"/>
          <w:sz w:val="24"/>
          <w:szCs w:val="24"/>
        </w:rPr>
        <w:t xml:space="preserve"> should be considered. </w:t>
      </w:r>
    </w:p>
    <w:p w:rsidR="00E4511E" w:rsidRDefault="00EE12E0" w:rsidP="003F6A67">
      <w:pPr>
        <w:spacing w:after="60"/>
        <w:jc w:val="both"/>
        <w:rPr>
          <w:rFonts w:ascii="Bell MT" w:hAnsi="Bell MT"/>
          <w:sz w:val="24"/>
          <w:szCs w:val="24"/>
        </w:rPr>
      </w:pPr>
      <w:r w:rsidRPr="00EE12E0">
        <w:rPr>
          <w:rFonts w:ascii="Bell MT" w:hAnsi="Bell MT"/>
          <w:sz w:val="24"/>
          <w:szCs w:val="24"/>
        </w:rPr>
        <w:sym w:font="Wingdings" w:char="F0E0"/>
      </w:r>
      <w:r>
        <w:rPr>
          <w:rFonts w:ascii="Bell MT" w:hAnsi="Bell MT"/>
          <w:sz w:val="24"/>
          <w:szCs w:val="24"/>
        </w:rPr>
        <w:t xml:space="preserve"> </w:t>
      </w:r>
      <w:hyperlink r:id="rId12" w:history="1">
        <w:proofErr w:type="spellStart"/>
        <w:r w:rsidRPr="00EE12E0">
          <w:rPr>
            <w:rFonts w:ascii="Bell MT" w:hAnsi="Bell MT"/>
            <w:b/>
            <w:sz w:val="24"/>
            <w:szCs w:val="24"/>
          </w:rPr>
          <w:t>D</w:t>
        </w:r>
        <w:r w:rsidR="00E4511E" w:rsidRPr="00EE12E0">
          <w:rPr>
            <w:rFonts w:ascii="Bell MT" w:hAnsi="Bell MT"/>
            <w:b/>
            <w:sz w:val="24"/>
            <w:szCs w:val="24"/>
          </w:rPr>
          <w:t>epathologisation</w:t>
        </w:r>
        <w:proofErr w:type="spellEnd"/>
      </w:hyperlink>
      <w:r>
        <w:rPr>
          <w:rFonts w:ascii="Bell MT" w:hAnsi="Bell MT"/>
          <w:sz w:val="24"/>
          <w:szCs w:val="24"/>
        </w:rPr>
        <w:t>:</w:t>
      </w:r>
      <w:r w:rsidR="00E4511E" w:rsidRPr="00E4511E">
        <w:rPr>
          <w:rFonts w:ascii="Bell MT" w:hAnsi="Bell MT"/>
          <w:sz w:val="24"/>
          <w:szCs w:val="24"/>
        </w:rPr>
        <w:t xml:space="preserve"> </w:t>
      </w:r>
      <w:proofErr w:type="gramStart"/>
      <w:r w:rsidR="00E4511E" w:rsidRPr="00E4511E">
        <w:rPr>
          <w:rFonts w:ascii="Bell MT" w:hAnsi="Bell MT"/>
          <w:sz w:val="24"/>
          <w:szCs w:val="24"/>
        </w:rPr>
        <w:t>trans</w:t>
      </w:r>
      <w:proofErr w:type="gramEnd"/>
      <w:r w:rsidR="00E4511E" w:rsidRPr="00E4511E">
        <w:rPr>
          <w:rFonts w:ascii="Bell MT" w:hAnsi="Bell MT"/>
          <w:sz w:val="24"/>
          <w:szCs w:val="24"/>
        </w:rPr>
        <w:t xml:space="preserve"> identities </w:t>
      </w:r>
      <w:r>
        <w:rPr>
          <w:rFonts w:ascii="Bell MT" w:hAnsi="Bell MT"/>
          <w:sz w:val="24"/>
          <w:szCs w:val="24"/>
        </w:rPr>
        <w:t xml:space="preserve">should no longer be </w:t>
      </w:r>
      <w:r w:rsidR="00E4511E" w:rsidRPr="00E4511E">
        <w:rPr>
          <w:rFonts w:ascii="Bell MT" w:hAnsi="Bell MT"/>
          <w:sz w:val="24"/>
          <w:szCs w:val="24"/>
        </w:rPr>
        <w:t xml:space="preserve">considered mental health conditions. </w:t>
      </w:r>
    </w:p>
    <w:p w:rsidR="003C4DDF" w:rsidRPr="00E4511E" w:rsidRDefault="003C4DDF" w:rsidP="003F6A67">
      <w:pPr>
        <w:spacing w:after="60"/>
        <w:jc w:val="both"/>
        <w:rPr>
          <w:rFonts w:ascii="Bell MT" w:hAnsi="Bell MT"/>
          <w:sz w:val="24"/>
          <w:szCs w:val="24"/>
        </w:rPr>
      </w:pPr>
    </w:p>
    <w:p w:rsidR="00E4511E" w:rsidRPr="008B488C" w:rsidRDefault="00E4511E" w:rsidP="003F6A67">
      <w:pPr>
        <w:pStyle w:val="ListParagraph"/>
        <w:numPr>
          <w:ilvl w:val="0"/>
          <w:numId w:val="18"/>
        </w:numPr>
        <w:spacing w:after="60"/>
        <w:jc w:val="both"/>
        <w:rPr>
          <w:rFonts w:ascii="Bell MT" w:hAnsi="Bell MT"/>
          <w:sz w:val="24"/>
          <w:szCs w:val="24"/>
          <w:u w:val="single"/>
        </w:rPr>
      </w:pPr>
      <w:r w:rsidRPr="008B488C">
        <w:rPr>
          <w:rFonts w:ascii="Bell MT" w:hAnsi="Bell MT"/>
          <w:sz w:val="24"/>
          <w:szCs w:val="24"/>
          <w:u w:val="single"/>
        </w:rPr>
        <w:t>Intersex persons:</w:t>
      </w:r>
    </w:p>
    <w:p w:rsidR="00600AA4" w:rsidRPr="00600AA4" w:rsidRDefault="00600AA4" w:rsidP="003F6A67">
      <w:pPr>
        <w:spacing w:after="60"/>
        <w:jc w:val="both"/>
      </w:pPr>
      <w:r>
        <w:sym w:font="Wingdings" w:char="F0E0"/>
      </w:r>
      <w:r>
        <w:t xml:space="preserve"> </w:t>
      </w:r>
      <w:r w:rsidR="00D628CF">
        <w:rPr>
          <w:rFonts w:ascii="Bell MT" w:hAnsi="Bell MT"/>
          <w:b/>
          <w:sz w:val="24"/>
          <w:szCs w:val="24"/>
        </w:rPr>
        <w:t>Legal recognition</w:t>
      </w:r>
      <w:r w:rsidRPr="00600AA4">
        <w:rPr>
          <w:rFonts w:ascii="Bell MT" w:hAnsi="Bell MT"/>
          <w:b/>
          <w:sz w:val="24"/>
          <w:szCs w:val="24"/>
        </w:rPr>
        <w:t>:</w:t>
      </w:r>
      <w:r w:rsidRPr="00600AA4">
        <w:t xml:space="preserve"> </w:t>
      </w:r>
      <w:r w:rsidR="009056E3">
        <w:rPr>
          <w:rFonts w:ascii="Bell MT" w:hAnsi="Bell MT"/>
          <w:sz w:val="24"/>
          <w:szCs w:val="24"/>
        </w:rPr>
        <w:t>the right to self-</w:t>
      </w:r>
      <w:r w:rsidR="009056E3" w:rsidRPr="009056E3">
        <w:rPr>
          <w:rFonts w:ascii="Bell MT" w:hAnsi="Bell MT"/>
          <w:sz w:val="24"/>
          <w:szCs w:val="24"/>
        </w:rPr>
        <w:t xml:space="preserve">identification is </w:t>
      </w:r>
      <w:r w:rsidR="009056E3">
        <w:rPr>
          <w:rFonts w:ascii="Bell MT" w:hAnsi="Bell MT"/>
          <w:sz w:val="24"/>
          <w:szCs w:val="24"/>
        </w:rPr>
        <w:t>important</w:t>
      </w:r>
      <w:r w:rsidR="009056E3" w:rsidRPr="009056E3">
        <w:rPr>
          <w:rFonts w:ascii="Bell MT" w:hAnsi="Bell MT"/>
          <w:sz w:val="24"/>
          <w:szCs w:val="24"/>
        </w:rPr>
        <w:t xml:space="preserve"> in recognition of </w:t>
      </w:r>
      <w:r w:rsidRPr="00600AA4">
        <w:rPr>
          <w:rFonts w:ascii="Bell MT" w:hAnsi="Bell MT"/>
          <w:sz w:val="24"/>
          <w:szCs w:val="24"/>
        </w:rPr>
        <w:t xml:space="preserve">intersex individuals </w:t>
      </w:r>
      <w:r w:rsidR="009056E3">
        <w:rPr>
          <w:rFonts w:ascii="Bell MT" w:hAnsi="Bell MT"/>
          <w:sz w:val="24"/>
          <w:szCs w:val="24"/>
        </w:rPr>
        <w:t>and in</w:t>
      </w:r>
      <w:r w:rsidRPr="00600AA4">
        <w:rPr>
          <w:rFonts w:ascii="Bell MT" w:hAnsi="Bell MT"/>
          <w:sz w:val="24"/>
          <w:szCs w:val="24"/>
        </w:rPr>
        <w:t xml:space="preserve"> provision of birth certificates, civil registration</w:t>
      </w:r>
      <w:r>
        <w:rPr>
          <w:rFonts w:ascii="Bell MT" w:hAnsi="Bell MT"/>
          <w:sz w:val="24"/>
          <w:szCs w:val="24"/>
        </w:rPr>
        <w:t xml:space="preserve"> </w:t>
      </w:r>
      <w:r w:rsidRPr="00600AA4">
        <w:rPr>
          <w:rFonts w:ascii="Bell MT" w:hAnsi="Bell MT"/>
          <w:sz w:val="24"/>
          <w:szCs w:val="24"/>
        </w:rPr>
        <w:t xml:space="preserve">documents, identity papers, passports and other official personal documentation. </w:t>
      </w:r>
    </w:p>
    <w:p w:rsidR="009056E3" w:rsidRPr="00E4511E" w:rsidRDefault="009056E3" w:rsidP="003F6A67">
      <w:pPr>
        <w:spacing w:after="60"/>
        <w:jc w:val="both"/>
        <w:rPr>
          <w:rFonts w:ascii="Bell MT" w:hAnsi="Bell MT"/>
          <w:sz w:val="24"/>
          <w:szCs w:val="24"/>
        </w:rPr>
      </w:pPr>
      <w:r w:rsidRPr="00D23CC5">
        <w:rPr>
          <w:rFonts w:ascii="Bell MT" w:hAnsi="Bell MT"/>
          <w:sz w:val="24"/>
          <w:szCs w:val="24"/>
        </w:rPr>
        <w:sym w:font="Wingdings" w:char="F0E0"/>
      </w:r>
      <w:r>
        <w:rPr>
          <w:rFonts w:ascii="Bell MT" w:hAnsi="Bell MT"/>
          <w:sz w:val="24"/>
          <w:szCs w:val="24"/>
        </w:rPr>
        <w:t xml:space="preserve"> </w:t>
      </w:r>
      <w:r w:rsidRPr="00D23CC5">
        <w:rPr>
          <w:rFonts w:ascii="Bell MT" w:hAnsi="Bell MT"/>
          <w:b/>
          <w:sz w:val="24"/>
          <w:szCs w:val="24"/>
        </w:rPr>
        <w:t>Birth registration</w:t>
      </w:r>
      <w:r>
        <w:rPr>
          <w:rFonts w:ascii="Bell MT" w:hAnsi="Bell MT"/>
          <w:sz w:val="24"/>
          <w:szCs w:val="24"/>
        </w:rPr>
        <w:t>:</w:t>
      </w:r>
      <w:r w:rsidRPr="00E4511E">
        <w:rPr>
          <w:rFonts w:ascii="Bell MT" w:hAnsi="Bell MT"/>
          <w:sz w:val="24"/>
          <w:szCs w:val="24"/>
        </w:rPr>
        <w:t xml:space="preserve"> </w:t>
      </w:r>
      <w:r>
        <w:rPr>
          <w:rFonts w:ascii="Bell MT" w:hAnsi="Bell MT"/>
          <w:sz w:val="24"/>
          <w:szCs w:val="24"/>
        </w:rPr>
        <w:t>introduction of measures to enable postponing of</w:t>
      </w:r>
      <w:r w:rsidRPr="00E4511E">
        <w:rPr>
          <w:rFonts w:ascii="Bell MT" w:hAnsi="Bell MT"/>
          <w:sz w:val="24"/>
          <w:szCs w:val="24"/>
        </w:rPr>
        <w:t xml:space="preserve"> sex assignment until later in life and/or allowing alternative gender markers to be used;</w:t>
      </w:r>
    </w:p>
    <w:p w:rsidR="00600AA4" w:rsidRPr="00600AA4" w:rsidRDefault="00EE12E0" w:rsidP="003F6A67">
      <w:pPr>
        <w:autoSpaceDE w:val="0"/>
        <w:autoSpaceDN w:val="0"/>
        <w:adjustRightInd w:val="0"/>
        <w:spacing w:after="60"/>
        <w:jc w:val="both"/>
        <w:rPr>
          <w:rFonts w:ascii="Bell MT" w:hAnsi="Bell MT"/>
          <w:sz w:val="24"/>
          <w:szCs w:val="24"/>
        </w:rPr>
      </w:pPr>
      <w:r w:rsidRPr="00EE12E0">
        <w:sym w:font="Wingdings" w:char="F0E0"/>
      </w:r>
      <w:r w:rsidRPr="00EE12E0">
        <w:rPr>
          <w:rFonts w:ascii="Bell MT" w:hAnsi="Bell MT"/>
          <w:sz w:val="24"/>
          <w:szCs w:val="24"/>
        </w:rPr>
        <w:t xml:space="preserve"> </w:t>
      </w:r>
      <w:r w:rsidR="00D23CC5" w:rsidRPr="00D23CC5">
        <w:rPr>
          <w:rFonts w:ascii="Bell MT" w:hAnsi="Bell MT"/>
          <w:b/>
          <w:sz w:val="24"/>
          <w:szCs w:val="24"/>
        </w:rPr>
        <w:t>Healthcare:</w:t>
      </w:r>
      <w:r w:rsidR="00D23CC5">
        <w:rPr>
          <w:rFonts w:ascii="Bell MT" w:hAnsi="Bell MT"/>
          <w:sz w:val="24"/>
          <w:szCs w:val="24"/>
        </w:rPr>
        <w:t xml:space="preserve"> </w:t>
      </w:r>
      <w:r w:rsidR="00E4511E" w:rsidRPr="00E4511E">
        <w:rPr>
          <w:rFonts w:ascii="Bell MT" w:hAnsi="Bell MT"/>
          <w:sz w:val="24"/>
          <w:szCs w:val="24"/>
        </w:rPr>
        <w:t>"sex normalisation" surgery without full and informed consent of an intersex person themselves (outside of medical emergency cases)</w:t>
      </w:r>
      <w:r w:rsidR="00D23CC5" w:rsidRPr="00D23CC5">
        <w:rPr>
          <w:rFonts w:ascii="Bell MT" w:hAnsi="Bell MT"/>
          <w:sz w:val="24"/>
          <w:szCs w:val="24"/>
        </w:rPr>
        <w:t xml:space="preserve"> </w:t>
      </w:r>
      <w:r w:rsidR="00D23CC5">
        <w:rPr>
          <w:rFonts w:ascii="Bell MT" w:hAnsi="Bell MT"/>
          <w:sz w:val="24"/>
          <w:szCs w:val="24"/>
        </w:rPr>
        <w:t>should not be performed</w:t>
      </w:r>
      <w:r w:rsidR="00600AA4">
        <w:rPr>
          <w:rFonts w:ascii="Bell MT" w:hAnsi="Bell MT"/>
          <w:sz w:val="24"/>
          <w:szCs w:val="24"/>
        </w:rPr>
        <w:t xml:space="preserve">. </w:t>
      </w:r>
      <w:proofErr w:type="gramStart"/>
      <w:r w:rsidR="00600AA4">
        <w:rPr>
          <w:rFonts w:ascii="Bell MT" w:hAnsi="Bell MT"/>
          <w:sz w:val="24"/>
          <w:szCs w:val="24"/>
        </w:rPr>
        <w:t>Sex a</w:t>
      </w:r>
      <w:r w:rsidR="00600AA4" w:rsidRPr="00600AA4">
        <w:rPr>
          <w:rFonts w:ascii="Bell MT" w:hAnsi="Bell MT"/>
          <w:sz w:val="24"/>
          <w:szCs w:val="24"/>
        </w:rPr>
        <w:t>ssignment treatment</w:t>
      </w:r>
      <w:r w:rsidR="00600AA4">
        <w:rPr>
          <w:rFonts w:ascii="Bell MT" w:hAnsi="Bell MT"/>
          <w:sz w:val="24"/>
          <w:szCs w:val="24"/>
        </w:rPr>
        <w:t>, if they so desire,</w:t>
      </w:r>
      <w:r w:rsidR="00600AA4" w:rsidRPr="00600AA4">
        <w:rPr>
          <w:rFonts w:ascii="Bell MT" w:hAnsi="Bell MT"/>
          <w:sz w:val="24"/>
          <w:szCs w:val="24"/>
        </w:rPr>
        <w:t xml:space="preserve"> should be available to intersex</w:t>
      </w:r>
      <w:r w:rsidR="00600AA4">
        <w:rPr>
          <w:rFonts w:ascii="Bell MT" w:hAnsi="Bell MT"/>
          <w:sz w:val="24"/>
          <w:szCs w:val="24"/>
        </w:rPr>
        <w:t xml:space="preserve"> </w:t>
      </w:r>
      <w:r w:rsidR="00600AA4" w:rsidRPr="00600AA4">
        <w:rPr>
          <w:rFonts w:ascii="Bell MT" w:hAnsi="Bell MT"/>
          <w:sz w:val="24"/>
          <w:szCs w:val="24"/>
        </w:rPr>
        <w:t>individuals at an age when they can express their free and fully informed consent.</w:t>
      </w:r>
      <w:proofErr w:type="gramEnd"/>
    </w:p>
    <w:p w:rsidR="000D3FB3" w:rsidRDefault="000D3FB3" w:rsidP="003F6A67">
      <w:pPr>
        <w:spacing w:after="60"/>
        <w:jc w:val="both"/>
        <w:rPr>
          <w:rFonts w:ascii="Bell MT" w:hAnsi="Bell MT"/>
          <w:b/>
          <w:sz w:val="24"/>
          <w:szCs w:val="24"/>
          <w:u w:val="single"/>
        </w:rPr>
      </w:pPr>
    </w:p>
    <w:p w:rsidR="000D3FB3" w:rsidRDefault="000D3FB3" w:rsidP="003F6A67">
      <w:pPr>
        <w:pStyle w:val="ListParagraph"/>
        <w:numPr>
          <w:ilvl w:val="0"/>
          <w:numId w:val="13"/>
        </w:numPr>
        <w:spacing w:after="60"/>
        <w:jc w:val="both"/>
        <w:rPr>
          <w:rFonts w:ascii="Bell MT" w:hAnsi="Bell MT"/>
          <w:b/>
          <w:sz w:val="24"/>
          <w:szCs w:val="24"/>
          <w:u w:val="single"/>
        </w:rPr>
      </w:pPr>
      <w:r w:rsidRPr="000D3FB3">
        <w:rPr>
          <w:rFonts w:ascii="Bell MT" w:hAnsi="Bell MT"/>
          <w:b/>
          <w:sz w:val="24"/>
          <w:szCs w:val="24"/>
          <w:u w:val="single"/>
        </w:rPr>
        <w:t>Is there EU acquis/European standards?</w:t>
      </w:r>
    </w:p>
    <w:p w:rsidR="003C4DDF" w:rsidRPr="000D3FB3" w:rsidRDefault="003C4DDF" w:rsidP="0051240C">
      <w:pPr>
        <w:pStyle w:val="ListParagraph"/>
        <w:spacing w:after="60"/>
        <w:jc w:val="both"/>
        <w:rPr>
          <w:rFonts w:ascii="Bell MT" w:hAnsi="Bell MT"/>
          <w:b/>
          <w:sz w:val="24"/>
          <w:szCs w:val="24"/>
          <w:u w:val="single"/>
        </w:rPr>
      </w:pPr>
    </w:p>
    <w:p w:rsidR="000D3FB3" w:rsidRPr="000D3FB3" w:rsidRDefault="000D3FB3" w:rsidP="003F6A67">
      <w:pPr>
        <w:pStyle w:val="ListParagraph"/>
        <w:numPr>
          <w:ilvl w:val="0"/>
          <w:numId w:val="18"/>
        </w:numPr>
        <w:spacing w:after="60"/>
        <w:jc w:val="both"/>
        <w:rPr>
          <w:rFonts w:ascii="Bell MT" w:hAnsi="Bell MT"/>
          <w:sz w:val="24"/>
          <w:szCs w:val="24"/>
          <w:u w:val="single"/>
        </w:rPr>
      </w:pPr>
      <w:r w:rsidRPr="000D3FB3">
        <w:rPr>
          <w:rFonts w:ascii="Bell MT" w:hAnsi="Bell MT"/>
          <w:sz w:val="24"/>
          <w:szCs w:val="24"/>
          <w:u w:val="single"/>
        </w:rPr>
        <w:t>EU:</w:t>
      </w:r>
    </w:p>
    <w:p w:rsidR="003955C8" w:rsidRPr="003955C8" w:rsidRDefault="003955C8" w:rsidP="003955C8">
      <w:pPr>
        <w:spacing w:after="60"/>
        <w:jc w:val="both"/>
        <w:rPr>
          <w:rFonts w:ascii="Bell MT" w:hAnsi="Bell MT"/>
          <w:sz w:val="24"/>
          <w:szCs w:val="24"/>
        </w:rPr>
      </w:pPr>
      <w:r w:rsidRPr="003955C8">
        <w:rPr>
          <w:rFonts w:ascii="Bell MT" w:hAnsi="Bell MT"/>
          <w:sz w:val="24"/>
          <w:szCs w:val="24"/>
        </w:rPr>
        <w:t xml:space="preserve">To foster the rights of LGBTI persons, the Commission adopted in 2016 its </w:t>
      </w:r>
      <w:hyperlink r:id="rId13" w:history="1">
        <w:r w:rsidRPr="003955C8">
          <w:rPr>
            <w:rStyle w:val="Hyperlink"/>
            <w:rFonts w:ascii="Bell MT" w:hAnsi="Bell MT"/>
            <w:sz w:val="24"/>
            <w:szCs w:val="24"/>
          </w:rPr>
          <w:t>List of Actions to Advance LGBTI Equality</w:t>
        </w:r>
      </w:hyperlink>
      <w:r w:rsidRPr="003955C8">
        <w:rPr>
          <w:rFonts w:ascii="Bell MT" w:hAnsi="Bell MT"/>
          <w:sz w:val="24"/>
          <w:szCs w:val="24"/>
        </w:rPr>
        <w:t xml:space="preserve"> while the Council in 2013 adopted the </w:t>
      </w:r>
      <w:hyperlink r:id="rId14" w:history="1">
        <w:r w:rsidRPr="003955C8">
          <w:rPr>
            <w:rStyle w:val="Hyperlink"/>
            <w:rFonts w:ascii="Bell MT" w:hAnsi="Bell MT"/>
            <w:sz w:val="24"/>
            <w:szCs w:val="24"/>
          </w:rPr>
          <w:t>Guidelines to promote and protect the enjoyment of all human rights by lesbian, gay, bisexual, transgender and intersex (LGBTI) Persons</w:t>
        </w:r>
      </w:hyperlink>
      <w:r w:rsidRPr="003955C8">
        <w:rPr>
          <w:rFonts w:ascii="Bell MT" w:hAnsi="Bell MT"/>
          <w:sz w:val="24"/>
          <w:szCs w:val="24"/>
        </w:rPr>
        <w:t xml:space="preserve"> to be used in its external action.</w:t>
      </w:r>
    </w:p>
    <w:p w:rsidR="000D3FB3" w:rsidRDefault="00E4511E" w:rsidP="003F6A67">
      <w:pPr>
        <w:spacing w:after="60"/>
        <w:jc w:val="both"/>
        <w:rPr>
          <w:rFonts w:ascii="Bell MT" w:hAnsi="Bell MT"/>
          <w:sz w:val="24"/>
          <w:szCs w:val="24"/>
        </w:rPr>
      </w:pPr>
      <w:r w:rsidRPr="00E4511E">
        <w:rPr>
          <w:rFonts w:ascii="Bell MT" w:hAnsi="Bell MT"/>
          <w:sz w:val="24"/>
          <w:szCs w:val="24"/>
        </w:rPr>
        <w:t xml:space="preserve">Gender identity is not explicitly recognised as a ground of discrimination in any EU treaty. </w:t>
      </w:r>
      <w:r w:rsidR="000D3FB3">
        <w:rPr>
          <w:rFonts w:ascii="Bell MT" w:hAnsi="Bell MT"/>
          <w:sz w:val="24"/>
          <w:szCs w:val="24"/>
        </w:rPr>
        <w:t xml:space="preserve">However, </w:t>
      </w:r>
      <w:proofErr w:type="gramStart"/>
      <w:r w:rsidR="000D3FB3">
        <w:rPr>
          <w:rFonts w:ascii="Bell MT" w:hAnsi="Bell MT"/>
          <w:sz w:val="24"/>
          <w:szCs w:val="24"/>
        </w:rPr>
        <w:t>trans</w:t>
      </w:r>
      <w:proofErr w:type="gramEnd"/>
      <w:r w:rsidR="000D3FB3">
        <w:rPr>
          <w:rFonts w:ascii="Bell MT" w:hAnsi="Bell MT"/>
          <w:sz w:val="24"/>
          <w:szCs w:val="24"/>
        </w:rPr>
        <w:t xml:space="preserve"> </w:t>
      </w:r>
      <w:r w:rsidRPr="00E4511E">
        <w:rPr>
          <w:rFonts w:ascii="Bell MT" w:hAnsi="Bell MT"/>
          <w:sz w:val="24"/>
          <w:szCs w:val="24"/>
        </w:rPr>
        <w:t xml:space="preserve">people are partially protected against discrimination in the areas of employment and goods and services on the ground of “gender reassignment”. </w:t>
      </w:r>
      <w:r w:rsidR="000D3FB3">
        <w:rPr>
          <w:rFonts w:ascii="Bell MT" w:hAnsi="Bell MT"/>
          <w:sz w:val="24"/>
          <w:szCs w:val="24"/>
        </w:rPr>
        <w:t>Additionally, g</w:t>
      </w:r>
      <w:r w:rsidRPr="00E4511E">
        <w:rPr>
          <w:rFonts w:ascii="Bell MT" w:hAnsi="Bell MT"/>
          <w:sz w:val="24"/>
          <w:szCs w:val="24"/>
        </w:rPr>
        <w:t xml:space="preserve">ender identity is recognised in different pieces of EU legislation. </w:t>
      </w:r>
    </w:p>
    <w:p w:rsidR="00E4511E" w:rsidRDefault="00E4511E" w:rsidP="003F6A67">
      <w:pPr>
        <w:spacing w:after="60"/>
        <w:jc w:val="both"/>
        <w:rPr>
          <w:rFonts w:ascii="Bell MT" w:hAnsi="Bell MT"/>
          <w:sz w:val="24"/>
          <w:szCs w:val="24"/>
        </w:rPr>
      </w:pPr>
      <w:r w:rsidRPr="00E4511E">
        <w:rPr>
          <w:rFonts w:ascii="Bell MT" w:hAnsi="Bell MT"/>
          <w:sz w:val="24"/>
          <w:szCs w:val="24"/>
        </w:rPr>
        <w:t xml:space="preserve">For example, gender identity and gender expression have been explicitly recognised as grounds in the </w:t>
      </w:r>
      <w:hyperlink r:id="rId15" w:history="1">
        <w:r w:rsidR="00434693" w:rsidRPr="00434693">
          <w:rPr>
            <w:rStyle w:val="Hyperlink"/>
            <w:rFonts w:ascii="Bell MT" w:hAnsi="Bell MT"/>
            <w:sz w:val="24"/>
            <w:szCs w:val="24"/>
          </w:rPr>
          <w:t>Victims' Rights Directive</w:t>
        </w:r>
      </w:hyperlink>
      <w:r w:rsidRPr="00E4511E">
        <w:rPr>
          <w:rFonts w:ascii="Bell MT" w:hAnsi="Bell MT"/>
          <w:sz w:val="24"/>
          <w:szCs w:val="24"/>
        </w:rPr>
        <w:t>.</w:t>
      </w:r>
    </w:p>
    <w:p w:rsidR="00434693" w:rsidRDefault="00434693" w:rsidP="003F6A67">
      <w:pPr>
        <w:spacing w:after="60"/>
        <w:jc w:val="both"/>
        <w:rPr>
          <w:rFonts w:ascii="Bell MT" w:hAnsi="Bell MT"/>
          <w:sz w:val="24"/>
          <w:szCs w:val="24"/>
        </w:rPr>
      </w:pPr>
      <w:r w:rsidRPr="00E4511E">
        <w:rPr>
          <w:rFonts w:ascii="Bell MT" w:hAnsi="Bell MT"/>
          <w:sz w:val="24"/>
          <w:szCs w:val="24"/>
        </w:rPr>
        <w:t>The</w:t>
      </w:r>
      <w:hyperlink r:id="rId16" w:history="1">
        <w:r w:rsidRPr="00E4511E">
          <w:rPr>
            <w:rFonts w:ascii="Bell MT" w:hAnsi="Bell MT"/>
            <w:sz w:val="24"/>
            <w:szCs w:val="24"/>
          </w:rPr>
          <w:t xml:space="preserve"> EU has taken a position in favour of the </w:t>
        </w:r>
        <w:proofErr w:type="spellStart"/>
        <w:r w:rsidRPr="00E4511E">
          <w:rPr>
            <w:rFonts w:ascii="Bell MT" w:hAnsi="Bell MT"/>
            <w:sz w:val="24"/>
            <w:szCs w:val="24"/>
          </w:rPr>
          <w:t>depathologisation</w:t>
        </w:r>
        <w:proofErr w:type="spellEnd"/>
        <w:r w:rsidRPr="00E4511E">
          <w:rPr>
            <w:rFonts w:ascii="Bell MT" w:hAnsi="Bell MT"/>
            <w:sz w:val="24"/>
            <w:szCs w:val="24"/>
          </w:rPr>
          <w:t xml:space="preserve"> of </w:t>
        </w:r>
        <w:proofErr w:type="gramStart"/>
        <w:r w:rsidRPr="00E4511E">
          <w:rPr>
            <w:rFonts w:ascii="Bell MT" w:hAnsi="Bell MT"/>
            <w:sz w:val="24"/>
            <w:szCs w:val="24"/>
          </w:rPr>
          <w:t>trans</w:t>
        </w:r>
        <w:proofErr w:type="gramEnd"/>
        <w:r w:rsidRPr="00E4511E">
          <w:rPr>
            <w:rFonts w:ascii="Bell MT" w:hAnsi="Bell MT"/>
            <w:sz w:val="24"/>
            <w:szCs w:val="24"/>
          </w:rPr>
          <w:t xml:space="preserve"> identities</w:t>
        </w:r>
      </w:hyperlink>
      <w:r w:rsidRPr="00E4511E">
        <w:rPr>
          <w:rFonts w:ascii="Bell MT" w:hAnsi="Bell MT"/>
          <w:sz w:val="24"/>
          <w:szCs w:val="24"/>
        </w:rPr>
        <w:t xml:space="preserve"> for the next WHO International Classification of Diseases (ICD) edition which is due in 2018.</w:t>
      </w:r>
    </w:p>
    <w:p w:rsidR="00E571CF" w:rsidRDefault="00E571CF" w:rsidP="003F6A67">
      <w:pPr>
        <w:spacing w:after="60"/>
        <w:jc w:val="both"/>
        <w:rPr>
          <w:rFonts w:ascii="Bell MT" w:hAnsi="Bell MT"/>
          <w:sz w:val="24"/>
          <w:szCs w:val="24"/>
        </w:rPr>
      </w:pPr>
      <w:r>
        <w:rPr>
          <w:rFonts w:ascii="Bell MT" w:hAnsi="Bell MT"/>
          <w:sz w:val="24"/>
          <w:szCs w:val="24"/>
        </w:rPr>
        <w:t xml:space="preserve">The Fundamental Rights Agency has been active on this issue also publishing </w:t>
      </w:r>
    </w:p>
    <w:p w:rsidR="003C4DDF" w:rsidRDefault="003C4DDF" w:rsidP="003F6A67">
      <w:pPr>
        <w:spacing w:after="60"/>
        <w:jc w:val="both"/>
        <w:rPr>
          <w:rFonts w:ascii="Bell MT" w:hAnsi="Bell MT"/>
          <w:sz w:val="24"/>
          <w:szCs w:val="24"/>
        </w:rPr>
      </w:pPr>
    </w:p>
    <w:p w:rsidR="000D3FB3" w:rsidRPr="000D3FB3" w:rsidRDefault="000D3FB3" w:rsidP="003F6A67">
      <w:pPr>
        <w:pStyle w:val="ListParagraph"/>
        <w:numPr>
          <w:ilvl w:val="0"/>
          <w:numId w:val="18"/>
        </w:numPr>
        <w:spacing w:after="60"/>
        <w:jc w:val="both"/>
        <w:rPr>
          <w:rFonts w:ascii="Bell MT" w:hAnsi="Bell MT"/>
          <w:sz w:val="24"/>
          <w:szCs w:val="24"/>
          <w:u w:val="single"/>
        </w:rPr>
      </w:pPr>
      <w:r w:rsidRPr="000D3FB3">
        <w:rPr>
          <w:rFonts w:ascii="Bell MT" w:hAnsi="Bell MT"/>
          <w:sz w:val="24"/>
          <w:szCs w:val="24"/>
          <w:u w:val="single"/>
        </w:rPr>
        <w:t>Council of Europe</w:t>
      </w:r>
    </w:p>
    <w:p w:rsidR="00E4511E" w:rsidRDefault="003955C8" w:rsidP="003F6A67">
      <w:pPr>
        <w:spacing w:after="60"/>
        <w:jc w:val="both"/>
        <w:rPr>
          <w:rFonts w:ascii="Bell MT" w:hAnsi="Bell MT"/>
          <w:sz w:val="24"/>
          <w:szCs w:val="24"/>
        </w:rPr>
      </w:pPr>
      <w:hyperlink r:id="rId17" w:history="1">
        <w:r w:rsidR="000D3FB3" w:rsidRPr="000D3FB3">
          <w:rPr>
            <w:rStyle w:val="Hyperlink"/>
            <w:rFonts w:ascii="Bell MT" w:hAnsi="Bell MT"/>
            <w:sz w:val="24"/>
            <w:szCs w:val="24"/>
          </w:rPr>
          <w:t>Recommendation CM/Rec(2010)5 of the Committee of Ministers to member states on measures to combat discrimination on grounds of sexual orientation or gender identity</w:t>
        </w:r>
      </w:hyperlink>
      <w:r w:rsidR="000D3FB3">
        <w:rPr>
          <w:rFonts w:ascii="Bell MT" w:hAnsi="Bell MT"/>
          <w:sz w:val="24"/>
          <w:szCs w:val="24"/>
        </w:rPr>
        <w:t xml:space="preserve"> </w:t>
      </w:r>
      <w:r w:rsidR="00434693">
        <w:rPr>
          <w:rFonts w:ascii="Bell MT" w:hAnsi="Bell MT"/>
          <w:sz w:val="24"/>
          <w:szCs w:val="24"/>
        </w:rPr>
        <w:t xml:space="preserve">provides specific measures to be adopted to ensure rights of LGBT persons are guaranteed and in particular includes provisions on legal gender recognition procedures. </w:t>
      </w:r>
      <w:r w:rsidR="00E571CF">
        <w:rPr>
          <w:rFonts w:ascii="Bell MT" w:hAnsi="Bell MT"/>
          <w:sz w:val="24"/>
          <w:szCs w:val="24"/>
        </w:rPr>
        <w:t xml:space="preserve">The </w:t>
      </w:r>
      <w:proofErr w:type="spellStart"/>
      <w:r w:rsidR="00E571CF">
        <w:rPr>
          <w:rFonts w:ascii="Bell MT" w:hAnsi="Bell MT"/>
          <w:sz w:val="24"/>
          <w:szCs w:val="24"/>
        </w:rPr>
        <w:t>CoE</w:t>
      </w:r>
      <w:proofErr w:type="spellEnd"/>
      <w:r w:rsidR="00E571CF">
        <w:rPr>
          <w:rFonts w:ascii="Bell MT" w:hAnsi="Bell MT"/>
          <w:sz w:val="24"/>
          <w:szCs w:val="24"/>
        </w:rPr>
        <w:t xml:space="preserve"> also has a compilation of its standards on </w:t>
      </w:r>
      <w:hyperlink r:id="rId18" w:history="1">
        <w:r w:rsidR="00E571CF" w:rsidRPr="00E571CF">
          <w:rPr>
            <w:rStyle w:val="Hyperlink"/>
            <w:rFonts w:ascii="Bell MT" w:hAnsi="Bell MT"/>
            <w:sz w:val="24"/>
            <w:szCs w:val="24"/>
          </w:rPr>
          <w:t>Combating discrimination on grounds of sexual orientation or gender identity</w:t>
        </w:r>
      </w:hyperlink>
      <w:r w:rsidR="00E571CF">
        <w:rPr>
          <w:rFonts w:ascii="Bell MT" w:hAnsi="Bell MT"/>
          <w:sz w:val="24"/>
          <w:szCs w:val="24"/>
        </w:rPr>
        <w:t>.</w:t>
      </w:r>
    </w:p>
    <w:p w:rsidR="003C4DDF" w:rsidRPr="00E4511E" w:rsidRDefault="003C4DDF" w:rsidP="003F6A67">
      <w:pPr>
        <w:spacing w:after="60"/>
        <w:jc w:val="both"/>
        <w:rPr>
          <w:rFonts w:ascii="Bell MT" w:hAnsi="Bell MT"/>
          <w:sz w:val="24"/>
          <w:szCs w:val="24"/>
        </w:rPr>
      </w:pPr>
    </w:p>
    <w:p w:rsidR="00E571CF" w:rsidRDefault="00E571CF" w:rsidP="003F6A67">
      <w:pPr>
        <w:spacing w:after="60"/>
        <w:jc w:val="both"/>
        <w:rPr>
          <w:rFonts w:ascii="Bell MT" w:hAnsi="Bell MT"/>
          <w:sz w:val="24"/>
          <w:szCs w:val="24"/>
        </w:rPr>
      </w:pPr>
      <w:r>
        <w:rPr>
          <w:rFonts w:ascii="Bell MT" w:hAnsi="Bell MT"/>
          <w:sz w:val="24"/>
          <w:szCs w:val="24"/>
        </w:rPr>
        <w:lastRenderedPageBreak/>
        <w:t xml:space="preserve">The Sexual Orientation and Gender Identity Unit has produced </w:t>
      </w:r>
      <w:hyperlink r:id="rId19" w:history="1">
        <w:r>
          <w:rPr>
            <w:rFonts w:ascii="Bell MT" w:hAnsi="Bell MT"/>
            <w:sz w:val="24"/>
            <w:szCs w:val="24"/>
          </w:rPr>
          <w:t>a</w:t>
        </w:r>
        <w:r w:rsidRPr="00E571CF">
          <w:rPr>
            <w:rStyle w:val="Hyperlink"/>
            <w:rFonts w:ascii="Bell MT" w:hAnsi="Bell MT"/>
            <w:sz w:val="24"/>
            <w:szCs w:val="24"/>
          </w:rPr>
          <w:t xml:space="preserve"> short guide to legal gender recognition</w:t>
        </w:r>
      </w:hyperlink>
      <w:r>
        <w:rPr>
          <w:rFonts w:ascii="Bell MT" w:hAnsi="Bell MT"/>
          <w:sz w:val="24"/>
          <w:szCs w:val="24"/>
        </w:rPr>
        <w:t xml:space="preserve"> which explains the difficulties and the standards to be met. </w:t>
      </w:r>
    </w:p>
    <w:p w:rsidR="00E4511E" w:rsidRPr="00E4511E" w:rsidRDefault="00E571CF" w:rsidP="003F6A67">
      <w:pPr>
        <w:spacing w:after="60"/>
        <w:jc w:val="both"/>
        <w:rPr>
          <w:rFonts w:ascii="Bell MT" w:hAnsi="Bell MT"/>
          <w:sz w:val="24"/>
          <w:szCs w:val="24"/>
        </w:rPr>
      </w:pPr>
      <w:r>
        <w:rPr>
          <w:rFonts w:ascii="Bell MT" w:hAnsi="Bell MT"/>
          <w:sz w:val="24"/>
          <w:szCs w:val="24"/>
        </w:rPr>
        <w:t>Recommendations are also included in the Issue Papers published by t</w:t>
      </w:r>
      <w:r w:rsidR="00434693">
        <w:rPr>
          <w:rFonts w:ascii="Bell MT" w:hAnsi="Bell MT"/>
          <w:sz w:val="24"/>
          <w:szCs w:val="24"/>
        </w:rPr>
        <w:t xml:space="preserve">he Commissioner for Human Rights on </w:t>
      </w:r>
      <w:hyperlink r:id="rId20" w:history="1">
        <w:r w:rsidR="00434693" w:rsidRPr="00434693">
          <w:rPr>
            <w:rStyle w:val="Hyperlink"/>
            <w:rFonts w:ascii="Bell MT" w:hAnsi="Bell MT"/>
            <w:sz w:val="24"/>
            <w:szCs w:val="24"/>
          </w:rPr>
          <w:t>Human Rights and Gender Identity</w:t>
        </w:r>
      </w:hyperlink>
      <w:r w:rsidR="00434693">
        <w:rPr>
          <w:rFonts w:ascii="Bell MT" w:hAnsi="Bell MT"/>
          <w:sz w:val="24"/>
          <w:szCs w:val="24"/>
        </w:rPr>
        <w:t xml:space="preserve"> and on </w:t>
      </w:r>
      <w:hyperlink r:id="rId21" w:history="1">
        <w:r w:rsidR="00434693" w:rsidRPr="00434693">
          <w:rPr>
            <w:rStyle w:val="Hyperlink"/>
            <w:rFonts w:ascii="Bell MT" w:hAnsi="Bell MT"/>
            <w:sz w:val="24"/>
            <w:szCs w:val="24"/>
          </w:rPr>
          <w:t>Human Rights and Intersex People</w:t>
        </w:r>
      </w:hyperlink>
      <w:r w:rsidR="00434693">
        <w:rPr>
          <w:rFonts w:ascii="Bell MT" w:hAnsi="Bell MT"/>
          <w:sz w:val="24"/>
          <w:szCs w:val="24"/>
        </w:rPr>
        <w:t>.</w:t>
      </w:r>
    </w:p>
    <w:p w:rsidR="003955C8" w:rsidRDefault="003955C8" w:rsidP="003955C8">
      <w:pPr>
        <w:spacing w:after="60"/>
        <w:jc w:val="both"/>
        <w:rPr>
          <w:rFonts w:ascii="Bell MT" w:hAnsi="Bell MT"/>
          <w:sz w:val="24"/>
          <w:szCs w:val="24"/>
        </w:rPr>
      </w:pPr>
      <w:r>
        <w:rPr>
          <w:rFonts w:ascii="Bell MT" w:hAnsi="Bell MT"/>
          <w:sz w:val="24"/>
          <w:szCs w:val="24"/>
        </w:rPr>
        <w:t xml:space="preserve">Although gender identity is not explicitly listed in the grounds for which discrimination is prohibited in the exercise of the rights protected by the European Convention on Human Rights or its Protocol 12, this has been interpreted by the court as being covered under the "other status" and also "sex" by the </w:t>
      </w:r>
      <w:hyperlink r:id="rId22" w:history="1">
        <w:r w:rsidRPr="00E4511E">
          <w:rPr>
            <w:rFonts w:ascii="Bell MT" w:hAnsi="Bell MT"/>
            <w:sz w:val="24"/>
            <w:szCs w:val="24"/>
          </w:rPr>
          <w:t>European Court of Human Rights</w:t>
        </w:r>
      </w:hyperlink>
      <w:r>
        <w:rPr>
          <w:rFonts w:ascii="Bell MT" w:hAnsi="Bell MT"/>
          <w:sz w:val="24"/>
          <w:szCs w:val="24"/>
        </w:rPr>
        <w:t xml:space="preserve">. A very useful </w:t>
      </w:r>
      <w:hyperlink r:id="rId23" w:history="1">
        <w:r w:rsidRPr="005629B7">
          <w:rPr>
            <w:rStyle w:val="Hyperlink"/>
            <w:rFonts w:ascii="Bell MT" w:hAnsi="Bell MT"/>
            <w:sz w:val="24"/>
            <w:szCs w:val="24"/>
          </w:rPr>
          <w:t>Factsheet on gender identity issues</w:t>
        </w:r>
      </w:hyperlink>
      <w:r>
        <w:rPr>
          <w:rFonts w:ascii="Bell MT" w:hAnsi="Bell MT"/>
          <w:sz w:val="24"/>
          <w:szCs w:val="24"/>
        </w:rPr>
        <w:t xml:space="preserve"> which compiles some landmark judgements has been updated in April 2017. </w:t>
      </w:r>
    </w:p>
    <w:p w:rsidR="00E4511E" w:rsidRPr="00E4511E" w:rsidRDefault="00434693" w:rsidP="003F6A67">
      <w:pPr>
        <w:spacing w:after="60"/>
        <w:jc w:val="both"/>
        <w:rPr>
          <w:rFonts w:ascii="Bell MT" w:hAnsi="Bell MT"/>
          <w:sz w:val="24"/>
          <w:szCs w:val="24"/>
        </w:rPr>
      </w:pPr>
      <w:r>
        <w:rPr>
          <w:rFonts w:ascii="Bell MT" w:hAnsi="Bell MT"/>
          <w:sz w:val="24"/>
          <w:szCs w:val="24"/>
        </w:rPr>
        <w:t>The</w:t>
      </w:r>
      <w:r w:rsidR="00E4511E" w:rsidRPr="00E4511E">
        <w:rPr>
          <w:rFonts w:ascii="Bell MT" w:hAnsi="Bell MT"/>
          <w:sz w:val="24"/>
          <w:szCs w:val="24"/>
        </w:rPr>
        <w:t xml:space="preserve"> Council of Europe’s Parliamentary Assembly (PACE) </w:t>
      </w:r>
      <w:r>
        <w:rPr>
          <w:rFonts w:ascii="Bell MT" w:hAnsi="Bell MT"/>
          <w:sz w:val="24"/>
          <w:szCs w:val="24"/>
        </w:rPr>
        <w:t xml:space="preserve">also </w:t>
      </w:r>
      <w:r w:rsidR="00E4511E" w:rsidRPr="00E4511E">
        <w:rPr>
          <w:rFonts w:ascii="Bell MT" w:hAnsi="Bell MT"/>
          <w:sz w:val="24"/>
          <w:szCs w:val="24"/>
        </w:rPr>
        <w:t xml:space="preserve">passed a wide-ranging </w:t>
      </w:r>
      <w:hyperlink r:id="rId24" w:history="1">
        <w:r w:rsidRPr="00434693">
          <w:rPr>
            <w:rStyle w:val="Hyperlink"/>
            <w:rFonts w:ascii="Bell MT" w:hAnsi="Bell MT"/>
            <w:sz w:val="24"/>
            <w:szCs w:val="24"/>
          </w:rPr>
          <w:t>Resolution 2048 (2015) on Discrimination against transgender people in Europe</w:t>
        </w:r>
      </w:hyperlink>
      <w:r>
        <w:rPr>
          <w:rFonts w:ascii="Bell MT" w:hAnsi="Bell MT"/>
          <w:sz w:val="24"/>
          <w:szCs w:val="24"/>
        </w:rPr>
        <w:t xml:space="preserve"> which </w:t>
      </w:r>
      <w:r w:rsidR="00E4511E" w:rsidRPr="00E4511E">
        <w:rPr>
          <w:rFonts w:ascii="Bell MT" w:hAnsi="Bell MT"/>
          <w:sz w:val="24"/>
          <w:szCs w:val="24"/>
        </w:rPr>
        <w:t>reflect</w:t>
      </w:r>
      <w:r>
        <w:rPr>
          <w:rFonts w:ascii="Bell MT" w:hAnsi="Bell MT"/>
          <w:sz w:val="24"/>
          <w:szCs w:val="24"/>
        </w:rPr>
        <w:t>s</w:t>
      </w:r>
      <w:r w:rsidR="00E4511E" w:rsidRPr="00E4511E">
        <w:rPr>
          <w:rFonts w:ascii="Bell MT" w:hAnsi="Bell MT"/>
          <w:sz w:val="24"/>
          <w:szCs w:val="24"/>
        </w:rPr>
        <w:t xml:space="preserve"> the needs </w:t>
      </w:r>
      <w:r>
        <w:rPr>
          <w:rFonts w:ascii="Bell MT" w:hAnsi="Bell MT"/>
          <w:sz w:val="24"/>
          <w:szCs w:val="24"/>
        </w:rPr>
        <w:t xml:space="preserve">and </w:t>
      </w:r>
      <w:r w:rsidRPr="00E4511E">
        <w:rPr>
          <w:rFonts w:ascii="Bell MT" w:hAnsi="Bell MT"/>
          <w:sz w:val="24"/>
          <w:szCs w:val="24"/>
        </w:rPr>
        <w:t xml:space="preserve">discriminatory obstacles currently faced by </w:t>
      </w:r>
      <w:proofErr w:type="gramStart"/>
      <w:r w:rsidRPr="00E4511E">
        <w:rPr>
          <w:rFonts w:ascii="Bell MT" w:hAnsi="Bell MT"/>
          <w:sz w:val="24"/>
          <w:szCs w:val="24"/>
        </w:rPr>
        <w:t>trans</w:t>
      </w:r>
      <w:proofErr w:type="gramEnd"/>
      <w:r w:rsidRPr="00E4511E">
        <w:rPr>
          <w:rFonts w:ascii="Bell MT" w:hAnsi="Bell MT"/>
          <w:sz w:val="24"/>
          <w:szCs w:val="24"/>
        </w:rPr>
        <w:t xml:space="preserve"> people </w:t>
      </w:r>
      <w:r w:rsidR="00E4511E" w:rsidRPr="00E4511E">
        <w:rPr>
          <w:rFonts w:ascii="Bell MT" w:hAnsi="Bell MT"/>
          <w:sz w:val="24"/>
          <w:szCs w:val="24"/>
        </w:rPr>
        <w:t xml:space="preserve">in Europe. </w:t>
      </w:r>
    </w:p>
    <w:p w:rsidR="003C4DDF" w:rsidRDefault="003C4DDF" w:rsidP="003F6A67">
      <w:pPr>
        <w:spacing w:after="60"/>
        <w:jc w:val="both"/>
        <w:rPr>
          <w:rFonts w:ascii="Bell MT" w:hAnsi="Bell MT"/>
          <w:sz w:val="24"/>
          <w:szCs w:val="24"/>
        </w:rPr>
      </w:pPr>
    </w:p>
    <w:p w:rsidR="003C4DDF" w:rsidRPr="00E4511E" w:rsidRDefault="003C4DDF" w:rsidP="003F6A67">
      <w:pPr>
        <w:spacing w:after="60"/>
        <w:jc w:val="both"/>
        <w:rPr>
          <w:rFonts w:ascii="Bell MT" w:hAnsi="Bell MT"/>
          <w:sz w:val="24"/>
          <w:szCs w:val="24"/>
        </w:rPr>
      </w:pPr>
    </w:p>
    <w:p w:rsidR="00E4511E" w:rsidRPr="00627670" w:rsidRDefault="005629B7" w:rsidP="003F6A67">
      <w:pPr>
        <w:pStyle w:val="ListParagraph"/>
        <w:numPr>
          <w:ilvl w:val="0"/>
          <w:numId w:val="20"/>
        </w:numPr>
        <w:spacing w:after="60"/>
        <w:jc w:val="both"/>
      </w:pPr>
      <w:r w:rsidRPr="005629B7">
        <w:rPr>
          <w:rFonts w:ascii="Bell MT" w:hAnsi="Bell MT"/>
          <w:sz w:val="24"/>
          <w:szCs w:val="24"/>
          <w:u w:val="single"/>
        </w:rPr>
        <w:t>United Nations</w:t>
      </w:r>
      <w:r w:rsidR="00EE12E0" w:rsidRPr="005629B7">
        <w:rPr>
          <w:rFonts w:ascii="Bell MT" w:hAnsi="Bell MT"/>
          <w:sz w:val="24"/>
          <w:szCs w:val="24"/>
        </w:rPr>
        <w:t xml:space="preserve">: </w:t>
      </w:r>
    </w:p>
    <w:p w:rsidR="005629B7" w:rsidRPr="005629B7" w:rsidRDefault="00627670" w:rsidP="003F6A67">
      <w:pPr>
        <w:spacing w:after="60"/>
        <w:jc w:val="both"/>
        <w:rPr>
          <w:rStyle w:val="Hyperlink"/>
          <w:rFonts w:ascii="Bell MT" w:hAnsi="Bell MT"/>
          <w:sz w:val="24"/>
          <w:szCs w:val="24"/>
        </w:rPr>
      </w:pPr>
      <w:proofErr w:type="gramStart"/>
      <w:r w:rsidRPr="00627670">
        <w:rPr>
          <w:rFonts w:ascii="Bell MT" w:hAnsi="Bell MT"/>
          <w:sz w:val="24"/>
          <w:szCs w:val="24"/>
        </w:rPr>
        <w:t>In 2016, the UN</w:t>
      </w:r>
      <w:r>
        <w:t xml:space="preserve"> </w:t>
      </w:r>
      <w:hyperlink r:id="rId25" w:history="1">
        <w:r w:rsidR="005629B7" w:rsidRPr="005629B7">
          <w:rPr>
            <w:rStyle w:val="Hyperlink"/>
            <w:rFonts w:ascii="Bell MT" w:hAnsi="Bell MT"/>
            <w:sz w:val="24"/>
            <w:szCs w:val="24"/>
          </w:rPr>
          <w:t>Human Rights Council Resolution on Protection against violence and discrimination based on sexual orientation and gender identity</w:t>
        </w:r>
      </w:hyperlink>
      <w:r>
        <w:rPr>
          <w:rStyle w:val="Hyperlink"/>
          <w:rFonts w:ascii="Bell MT" w:hAnsi="Bell MT"/>
          <w:sz w:val="24"/>
          <w:szCs w:val="24"/>
        </w:rPr>
        <w:t>.</w:t>
      </w:r>
      <w:proofErr w:type="gramEnd"/>
      <w:r>
        <w:rPr>
          <w:rStyle w:val="Hyperlink"/>
          <w:rFonts w:ascii="Bell MT" w:hAnsi="Bell MT"/>
          <w:sz w:val="24"/>
          <w:szCs w:val="24"/>
        </w:rPr>
        <w:t xml:space="preserve"> </w:t>
      </w:r>
    </w:p>
    <w:p w:rsidR="00A66257" w:rsidRDefault="00A66257" w:rsidP="003F6A67">
      <w:pPr>
        <w:spacing w:after="60"/>
        <w:jc w:val="both"/>
        <w:rPr>
          <w:rFonts w:ascii="Bell MT" w:hAnsi="Bell MT"/>
          <w:b/>
          <w:sz w:val="24"/>
          <w:szCs w:val="24"/>
          <w:u w:val="single"/>
        </w:rPr>
      </w:pPr>
    </w:p>
    <w:p w:rsidR="00D655A3" w:rsidRPr="00E571CF" w:rsidRDefault="00D655A3" w:rsidP="003F6A67">
      <w:pPr>
        <w:spacing w:after="60"/>
        <w:jc w:val="both"/>
        <w:rPr>
          <w:rFonts w:ascii="Bell MT" w:hAnsi="Bell MT"/>
          <w:b/>
          <w:sz w:val="24"/>
          <w:szCs w:val="24"/>
          <w:u w:val="single"/>
        </w:rPr>
      </w:pPr>
      <w:r w:rsidRPr="00E571CF">
        <w:rPr>
          <w:rFonts w:ascii="Bell MT" w:hAnsi="Bell MT"/>
          <w:b/>
          <w:sz w:val="24"/>
          <w:szCs w:val="24"/>
          <w:u w:val="single"/>
        </w:rPr>
        <w:t>4. More studies and reports can be found here:</w:t>
      </w:r>
    </w:p>
    <w:p w:rsidR="00D655A3" w:rsidRPr="00E4511E" w:rsidRDefault="00E571CF" w:rsidP="003F6A67">
      <w:pPr>
        <w:spacing w:after="60"/>
        <w:jc w:val="both"/>
        <w:rPr>
          <w:rFonts w:ascii="Bell MT" w:hAnsi="Bell MT"/>
          <w:sz w:val="24"/>
          <w:szCs w:val="24"/>
          <w:highlight w:val="yellow"/>
        </w:rPr>
      </w:pPr>
      <w:r w:rsidRPr="00E571CF">
        <w:rPr>
          <w:rFonts w:ascii="Bell MT" w:hAnsi="Bell MT"/>
          <w:sz w:val="24"/>
          <w:szCs w:val="24"/>
        </w:rPr>
        <w:t>P:\Cote Rule of Law and Fundamental Rights\Fundamental Rights\LGBTI</w:t>
      </w:r>
    </w:p>
    <w:p w:rsidR="003F6A67" w:rsidRPr="003F6A67" w:rsidRDefault="003F6A67" w:rsidP="003F6A67">
      <w:pPr>
        <w:pStyle w:val="ListParagraph"/>
        <w:numPr>
          <w:ilvl w:val="0"/>
          <w:numId w:val="8"/>
        </w:numPr>
        <w:spacing w:after="60"/>
        <w:rPr>
          <w:rFonts w:ascii="Bell MT" w:hAnsi="Bell MT" w:cs="WarnockPro-Regular"/>
          <w:sz w:val="24"/>
          <w:szCs w:val="24"/>
        </w:rPr>
      </w:pPr>
      <w:r w:rsidRPr="003F6A67">
        <w:rPr>
          <w:rFonts w:ascii="Bell MT" w:hAnsi="Bell MT" w:cs="WarnockPro-Regular"/>
          <w:sz w:val="24"/>
          <w:szCs w:val="24"/>
        </w:rPr>
        <w:t>European Commission</w:t>
      </w:r>
      <w:r>
        <w:rPr>
          <w:rFonts w:ascii="Bell MT" w:hAnsi="Bell MT" w:cs="WarnockPro-Regular"/>
          <w:sz w:val="24"/>
          <w:szCs w:val="24"/>
        </w:rPr>
        <w:t xml:space="preserve"> Trans and Intersex People: Discrimination on the grounds of sex, gender identity </w:t>
      </w:r>
      <w:r w:rsidRPr="003F6A67">
        <w:rPr>
          <w:rFonts w:ascii="Bell MT" w:hAnsi="Bell MT" w:cs="WarnockPro-Regular"/>
          <w:sz w:val="24"/>
          <w:szCs w:val="24"/>
        </w:rPr>
        <w:t xml:space="preserve"> </w:t>
      </w:r>
      <w:r>
        <w:rPr>
          <w:rFonts w:ascii="Bell MT" w:hAnsi="Bell MT" w:cs="WarnockPro-Regular"/>
          <w:sz w:val="24"/>
          <w:szCs w:val="24"/>
        </w:rPr>
        <w:t xml:space="preserve">and gender expression </w:t>
      </w:r>
      <w:hyperlink r:id="rId26" w:history="1">
        <w:r w:rsidRPr="003F6A67">
          <w:rPr>
            <w:rStyle w:val="Hyperlink"/>
            <w:rFonts w:ascii="Bell MT" w:hAnsi="Bell MT" w:cs="WarnockPro-Regular"/>
            <w:sz w:val="24"/>
            <w:szCs w:val="24"/>
          </w:rPr>
          <w:t>http://ec.europa.eu/justice/discrimination/files/trans_and_intersex_people_web3_en.pdf</w:t>
        </w:r>
      </w:hyperlink>
      <w:r w:rsidRPr="003F6A67">
        <w:rPr>
          <w:rFonts w:ascii="Bell MT" w:hAnsi="Bell MT" w:cs="WarnockPro-Regular"/>
          <w:sz w:val="24"/>
          <w:szCs w:val="24"/>
        </w:rPr>
        <w:t xml:space="preserve"> </w:t>
      </w:r>
    </w:p>
    <w:p w:rsidR="00E571CF" w:rsidRDefault="00E571CF" w:rsidP="003F6A67">
      <w:pPr>
        <w:pStyle w:val="ListParagraph"/>
        <w:numPr>
          <w:ilvl w:val="0"/>
          <w:numId w:val="8"/>
        </w:numPr>
        <w:spacing w:after="60"/>
        <w:jc w:val="both"/>
        <w:rPr>
          <w:rFonts w:ascii="Bell MT" w:hAnsi="Bell MT" w:cs="WarnockPro-Regular"/>
          <w:sz w:val="24"/>
          <w:szCs w:val="24"/>
        </w:rPr>
      </w:pPr>
      <w:r>
        <w:rPr>
          <w:rFonts w:ascii="Bell MT" w:hAnsi="Bell MT" w:cs="WarnockPro-Regular"/>
          <w:sz w:val="24"/>
          <w:szCs w:val="24"/>
        </w:rPr>
        <w:t xml:space="preserve">Fundamental Rights Agency </w:t>
      </w:r>
      <w:r w:rsidR="003F6A67">
        <w:rPr>
          <w:rFonts w:ascii="Bell MT" w:hAnsi="Bell MT" w:cs="WarnockPro-Regular"/>
          <w:sz w:val="24"/>
          <w:szCs w:val="24"/>
        </w:rPr>
        <w:t xml:space="preserve">(FRA) </w:t>
      </w:r>
      <w:r>
        <w:rPr>
          <w:rFonts w:ascii="Bell MT" w:hAnsi="Bell MT" w:cs="WarnockPro-Regular"/>
          <w:sz w:val="24"/>
          <w:szCs w:val="24"/>
        </w:rPr>
        <w:t xml:space="preserve">Focus paper on </w:t>
      </w:r>
      <w:r w:rsidRPr="00E571CF">
        <w:rPr>
          <w:rFonts w:ascii="Bell MT" w:hAnsi="Bell MT" w:cs="WarnockPro-Regular"/>
          <w:sz w:val="24"/>
          <w:szCs w:val="24"/>
        </w:rPr>
        <w:t>The fundamental rights situation of intersex people</w:t>
      </w:r>
      <w:r>
        <w:rPr>
          <w:rFonts w:ascii="Bell MT" w:hAnsi="Bell MT" w:cs="WarnockPro-Regular"/>
          <w:sz w:val="24"/>
          <w:szCs w:val="24"/>
        </w:rPr>
        <w:t xml:space="preserve"> </w:t>
      </w:r>
      <w:hyperlink r:id="rId27" w:history="1">
        <w:r w:rsidRPr="005A4112">
          <w:rPr>
            <w:rStyle w:val="Hyperlink"/>
            <w:rFonts w:ascii="Bell MT" w:hAnsi="Bell MT" w:cs="WarnockPro-Regular"/>
            <w:sz w:val="24"/>
            <w:szCs w:val="24"/>
          </w:rPr>
          <w:t>http://fra.europa.eu/en/publication/2015/fundamental-rights-situation-intersex-people</w:t>
        </w:r>
      </w:hyperlink>
      <w:r>
        <w:rPr>
          <w:rFonts w:ascii="Bell MT" w:hAnsi="Bell MT" w:cs="WarnockPro-Regular"/>
          <w:sz w:val="24"/>
          <w:szCs w:val="24"/>
        </w:rPr>
        <w:t xml:space="preserve"> </w:t>
      </w:r>
    </w:p>
    <w:p w:rsidR="003F6A67" w:rsidRPr="003F6A67" w:rsidRDefault="003F6A67" w:rsidP="003F6A67">
      <w:pPr>
        <w:pStyle w:val="ListParagraph"/>
        <w:numPr>
          <w:ilvl w:val="0"/>
          <w:numId w:val="8"/>
        </w:numPr>
        <w:spacing w:after="60"/>
        <w:jc w:val="both"/>
        <w:rPr>
          <w:rFonts w:ascii="Bell MT" w:hAnsi="Bell MT" w:cs="WarnockPro-Regular"/>
          <w:sz w:val="24"/>
          <w:szCs w:val="24"/>
        </w:rPr>
      </w:pPr>
      <w:r w:rsidRPr="003F6A67">
        <w:rPr>
          <w:rFonts w:ascii="Bell MT" w:hAnsi="Bell MT" w:cs="WarnockPro-Regular"/>
          <w:sz w:val="24"/>
          <w:szCs w:val="24"/>
        </w:rPr>
        <w:t>FRA Comparative analysis of</w:t>
      </w:r>
      <w:r>
        <w:rPr>
          <w:rFonts w:ascii="Bell MT" w:hAnsi="Bell MT" w:cs="WarnockPro-Regular"/>
          <w:sz w:val="24"/>
          <w:szCs w:val="24"/>
        </w:rPr>
        <w:t xml:space="preserve"> </w:t>
      </w:r>
      <w:r w:rsidRPr="003F6A67">
        <w:rPr>
          <w:rFonts w:ascii="Bell MT" w:hAnsi="Bell MT" w:cs="WarnockPro-Regular"/>
          <w:sz w:val="24"/>
          <w:szCs w:val="24"/>
        </w:rPr>
        <w:t>EU LGBT survey data</w:t>
      </w:r>
      <w:r>
        <w:rPr>
          <w:rFonts w:ascii="Bell MT" w:hAnsi="Bell MT" w:cs="WarnockPro-Regular"/>
          <w:sz w:val="24"/>
          <w:szCs w:val="24"/>
        </w:rPr>
        <w:t xml:space="preserve"> on Being Trans in the European Union </w:t>
      </w:r>
      <w:hyperlink r:id="rId28" w:history="1">
        <w:r w:rsidRPr="005A4112">
          <w:rPr>
            <w:rStyle w:val="Hyperlink"/>
            <w:rFonts w:ascii="Bell MT" w:hAnsi="Bell MT" w:cs="WarnockPro-Regular"/>
            <w:sz w:val="24"/>
            <w:szCs w:val="24"/>
          </w:rPr>
          <w:t>http://fra.europa.eu/en/publication/2014/being-trans-eu-comparative-analysis-eu-lgbt-survey-data</w:t>
        </w:r>
      </w:hyperlink>
      <w:r>
        <w:rPr>
          <w:rFonts w:ascii="Bell MT" w:hAnsi="Bell MT" w:cs="WarnockPro-Regular"/>
          <w:sz w:val="24"/>
          <w:szCs w:val="24"/>
        </w:rPr>
        <w:t xml:space="preserve"> </w:t>
      </w:r>
    </w:p>
    <w:p w:rsidR="00E571CF" w:rsidRPr="00E571CF" w:rsidRDefault="00E571CF" w:rsidP="003F6A67">
      <w:pPr>
        <w:pStyle w:val="ListParagraph"/>
        <w:numPr>
          <w:ilvl w:val="0"/>
          <w:numId w:val="8"/>
        </w:numPr>
        <w:spacing w:after="60"/>
        <w:jc w:val="both"/>
        <w:rPr>
          <w:rFonts w:ascii="Bell MT" w:hAnsi="Bell MT" w:cs="WarnockPro-Regular"/>
          <w:sz w:val="24"/>
          <w:szCs w:val="24"/>
        </w:rPr>
      </w:pPr>
      <w:r w:rsidRPr="00E571CF">
        <w:rPr>
          <w:rFonts w:ascii="Bell MT" w:hAnsi="Bell MT" w:cs="WarnockPro-Regular"/>
          <w:sz w:val="24"/>
          <w:szCs w:val="24"/>
        </w:rPr>
        <w:t xml:space="preserve">Council of Europe Sexual Orientation and Gender Identity (SOGI) Unit: An insight into respect for the rights of trans and intersex children in Europe </w:t>
      </w:r>
      <w:hyperlink r:id="rId29" w:history="1">
        <w:r w:rsidRPr="00E571CF">
          <w:rPr>
            <w:rStyle w:val="Hyperlink"/>
            <w:rFonts w:ascii="Bell MT" w:hAnsi="Bell MT" w:cs="WarnockPro-Regular"/>
            <w:sz w:val="24"/>
            <w:szCs w:val="24"/>
          </w:rPr>
          <w:t>https://rm.coe.int/168047f2a7</w:t>
        </w:r>
      </w:hyperlink>
      <w:r w:rsidRPr="00E571CF">
        <w:rPr>
          <w:rFonts w:ascii="Bell MT" w:hAnsi="Bell MT" w:cs="WarnockPro-Regular"/>
          <w:sz w:val="24"/>
          <w:szCs w:val="24"/>
        </w:rPr>
        <w:t xml:space="preserve"> </w:t>
      </w:r>
      <w:bookmarkStart w:id="0" w:name="_GoBack"/>
      <w:bookmarkEnd w:id="0"/>
    </w:p>
    <w:p w:rsidR="003955C8" w:rsidRPr="003F6A67" w:rsidRDefault="003955C8" w:rsidP="003955C8">
      <w:pPr>
        <w:pStyle w:val="ListParagraph"/>
        <w:numPr>
          <w:ilvl w:val="0"/>
          <w:numId w:val="8"/>
        </w:numPr>
        <w:spacing w:after="60"/>
        <w:jc w:val="both"/>
        <w:rPr>
          <w:rFonts w:ascii="Bell MT" w:hAnsi="Bell MT" w:cs="WarnockPro-Regular"/>
          <w:sz w:val="24"/>
          <w:szCs w:val="24"/>
        </w:rPr>
      </w:pPr>
      <w:r>
        <w:rPr>
          <w:rFonts w:ascii="Bell MT" w:hAnsi="Bell MT" w:cs="WarnockPro-Regular"/>
          <w:sz w:val="24"/>
          <w:szCs w:val="24"/>
        </w:rPr>
        <w:t xml:space="preserve">The European Commission </w:t>
      </w:r>
      <w:proofErr w:type="gramStart"/>
      <w:r>
        <w:rPr>
          <w:rFonts w:ascii="Bell MT" w:hAnsi="Bell MT" w:cs="WarnockPro-Regular"/>
          <w:sz w:val="24"/>
          <w:szCs w:val="24"/>
        </w:rPr>
        <w:t>Against</w:t>
      </w:r>
      <w:proofErr w:type="gramEnd"/>
      <w:r>
        <w:rPr>
          <w:rFonts w:ascii="Bell MT" w:hAnsi="Bell MT" w:cs="WarnockPro-Regular"/>
          <w:sz w:val="24"/>
          <w:szCs w:val="24"/>
        </w:rPr>
        <w:t xml:space="preserve"> Racism and Intolerance of the </w:t>
      </w:r>
      <w:proofErr w:type="spellStart"/>
      <w:r>
        <w:rPr>
          <w:rFonts w:ascii="Bell MT" w:hAnsi="Bell MT" w:cs="WarnockPro-Regular"/>
          <w:sz w:val="24"/>
          <w:szCs w:val="24"/>
        </w:rPr>
        <w:t>CoE</w:t>
      </w:r>
      <w:proofErr w:type="spellEnd"/>
      <w:r>
        <w:rPr>
          <w:rFonts w:ascii="Bell MT" w:hAnsi="Bell MT" w:cs="WarnockPro-Regular"/>
          <w:sz w:val="24"/>
          <w:szCs w:val="24"/>
        </w:rPr>
        <w:t xml:space="preserve"> has covered LGBTI in its fifth monitoring round. The country reports can be found under: </w:t>
      </w:r>
      <w:hyperlink r:id="rId30" w:history="1">
        <w:r w:rsidRPr="005A4112">
          <w:rPr>
            <w:rStyle w:val="Hyperlink"/>
            <w:rFonts w:ascii="Bell MT" w:hAnsi="Bell MT" w:cs="WarnockPro-Regular"/>
            <w:sz w:val="24"/>
            <w:szCs w:val="24"/>
          </w:rPr>
          <w:t>http://www.coe.int/t/dghl/monitoring/ecri/activities/countrybycountry_en.asp</w:t>
        </w:r>
      </w:hyperlink>
      <w:r>
        <w:rPr>
          <w:rFonts w:ascii="Bell MT" w:hAnsi="Bell MT" w:cs="WarnockPro-Regular"/>
          <w:sz w:val="24"/>
          <w:szCs w:val="24"/>
        </w:rPr>
        <w:t xml:space="preserve"> </w:t>
      </w:r>
    </w:p>
    <w:p w:rsidR="00E571CF" w:rsidRDefault="003F6A67" w:rsidP="003F6A67">
      <w:pPr>
        <w:pStyle w:val="ListParagraph"/>
        <w:numPr>
          <w:ilvl w:val="0"/>
          <w:numId w:val="8"/>
        </w:numPr>
        <w:spacing w:after="60"/>
        <w:jc w:val="both"/>
        <w:rPr>
          <w:rFonts w:ascii="Bell MT" w:hAnsi="Bell MT" w:cs="WarnockPro-Regular"/>
          <w:sz w:val="24"/>
          <w:szCs w:val="24"/>
        </w:rPr>
      </w:pPr>
      <w:r w:rsidRPr="003F6A67">
        <w:rPr>
          <w:rFonts w:ascii="Bell MT" w:hAnsi="Bell MT" w:cs="WarnockPro-Regular"/>
          <w:sz w:val="24"/>
          <w:szCs w:val="24"/>
        </w:rPr>
        <w:t>Transgender Europe's</w:t>
      </w:r>
      <w:r w:rsidRPr="003F6A67">
        <w:t xml:space="preserve"> </w:t>
      </w:r>
      <w:r w:rsidRPr="003F6A67">
        <w:rPr>
          <w:rFonts w:ascii="Bell MT" w:hAnsi="Bell MT" w:cs="WarnockPro-Regular"/>
          <w:sz w:val="24"/>
          <w:szCs w:val="24"/>
        </w:rPr>
        <w:t xml:space="preserve">Human Rights and Gender Identity: Best Practice Catalogue </w:t>
      </w:r>
      <w:hyperlink r:id="rId31" w:history="1">
        <w:r w:rsidRPr="003F6A67">
          <w:rPr>
            <w:rStyle w:val="Hyperlink"/>
            <w:rFonts w:ascii="Bell MT" w:hAnsi="Bell MT" w:cs="WarnockPro-Regular"/>
            <w:sz w:val="24"/>
            <w:szCs w:val="24"/>
          </w:rPr>
          <w:t>http://tgeu.org/human-rights-gender-identity-best-practice-catalogue/</w:t>
        </w:r>
      </w:hyperlink>
      <w:r w:rsidRPr="003F6A67">
        <w:rPr>
          <w:rFonts w:ascii="Bell MT" w:hAnsi="Bell MT" w:cs="WarnockPro-Regular"/>
          <w:sz w:val="24"/>
          <w:szCs w:val="24"/>
        </w:rPr>
        <w:t xml:space="preserve"> </w:t>
      </w:r>
    </w:p>
    <w:p w:rsidR="00E26163" w:rsidRPr="003F6A67" w:rsidRDefault="00E26163" w:rsidP="003F6A67">
      <w:pPr>
        <w:spacing w:after="60"/>
        <w:jc w:val="both"/>
        <w:rPr>
          <w:rFonts w:ascii="Bell MT" w:hAnsi="Bell MT"/>
          <w:sz w:val="24"/>
          <w:szCs w:val="24"/>
        </w:rPr>
      </w:pPr>
    </w:p>
    <w:sectPr w:rsidR="00E26163" w:rsidRPr="003F6A67">
      <w:head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091" w:rsidRDefault="00F93091" w:rsidP="000C33FD">
      <w:pPr>
        <w:spacing w:after="0" w:line="240" w:lineRule="auto"/>
      </w:pPr>
      <w:r>
        <w:separator/>
      </w:r>
    </w:p>
  </w:endnote>
  <w:endnote w:type="continuationSeparator" w:id="0">
    <w:p w:rsidR="00F93091" w:rsidRDefault="00F93091" w:rsidP="000C3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WarnockPro-Regular">
    <w:altName w:val="Times New Roman"/>
    <w:panose1 w:val="00000000000000000000"/>
    <w:charset w:val="CC"/>
    <w:family w:val="roman"/>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091" w:rsidRDefault="00F93091" w:rsidP="000C33FD">
      <w:pPr>
        <w:spacing w:after="0" w:line="240" w:lineRule="auto"/>
      </w:pPr>
      <w:r>
        <w:separator/>
      </w:r>
    </w:p>
  </w:footnote>
  <w:footnote w:type="continuationSeparator" w:id="0">
    <w:p w:rsidR="00F93091" w:rsidRDefault="00F93091" w:rsidP="000C33FD">
      <w:pPr>
        <w:spacing w:after="0" w:line="240" w:lineRule="auto"/>
      </w:pPr>
      <w:r>
        <w:continuationSeparator/>
      </w:r>
    </w:p>
  </w:footnote>
  <w:footnote w:id="1">
    <w:p w:rsidR="00E25E2B" w:rsidRPr="0051240C" w:rsidRDefault="00E25E2B">
      <w:pPr>
        <w:pStyle w:val="FootnoteText"/>
        <w:rPr>
          <w:sz w:val="16"/>
          <w:szCs w:val="16"/>
        </w:rPr>
      </w:pPr>
      <w:r w:rsidRPr="0051240C">
        <w:rPr>
          <w:rStyle w:val="FootnoteReference"/>
          <w:sz w:val="16"/>
          <w:szCs w:val="16"/>
        </w:rPr>
        <w:footnoteRef/>
      </w:r>
      <w:r w:rsidRPr="0051240C">
        <w:rPr>
          <w:sz w:val="16"/>
          <w:szCs w:val="16"/>
        </w:rPr>
        <w:t xml:space="preserve"> Council of Europe Recommendation CM/Rec(2010)5 of the Committee of Ministers to member states on measures to combat discrimination on grounds of sexual orientation or gender identity: </w:t>
      </w:r>
      <w:hyperlink r:id="rId1" w:history="1">
        <w:r w:rsidRPr="0051240C">
          <w:rPr>
            <w:rStyle w:val="Hyperlink"/>
            <w:sz w:val="16"/>
            <w:szCs w:val="16"/>
          </w:rPr>
          <w:t>https://search.coe.int/cm/Pages/result_details.aspx?ObjectID=09000016805cf40a</w:t>
        </w:r>
      </w:hyperlink>
      <w:r w:rsidRPr="0051240C">
        <w:rPr>
          <w:sz w:val="16"/>
          <w:szCs w:val="16"/>
        </w:rPr>
        <w:t xml:space="preserve">). </w:t>
      </w:r>
    </w:p>
  </w:footnote>
  <w:footnote w:id="2">
    <w:p w:rsidR="00E25E2B" w:rsidRPr="0051240C" w:rsidRDefault="00E25E2B">
      <w:pPr>
        <w:pStyle w:val="FootnoteText"/>
        <w:rPr>
          <w:sz w:val="16"/>
          <w:szCs w:val="16"/>
          <w:lang w:val="fr-BE"/>
        </w:rPr>
      </w:pPr>
      <w:r w:rsidRPr="0051240C">
        <w:rPr>
          <w:rStyle w:val="FootnoteReference"/>
          <w:sz w:val="16"/>
          <w:szCs w:val="16"/>
        </w:rPr>
        <w:footnoteRef/>
      </w:r>
      <w:r w:rsidRPr="0051240C">
        <w:rPr>
          <w:sz w:val="16"/>
          <w:szCs w:val="16"/>
        </w:rPr>
        <w:t xml:space="preserve"> </w:t>
      </w:r>
      <w:proofErr w:type="spellStart"/>
      <w:r w:rsidRPr="0051240C">
        <w:rPr>
          <w:i/>
          <w:sz w:val="16"/>
          <w:szCs w:val="16"/>
          <w:lang w:val="fr-BE"/>
        </w:rPr>
        <w:t>Ibid</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0"/>
        <w:szCs w:val="20"/>
      </w:rPr>
      <w:alias w:val="Title"/>
      <w:id w:val="77738743"/>
      <w:placeholder>
        <w:docPart w:val="4750AE38988F4EB5A3677DB3A89E7734"/>
      </w:placeholder>
      <w:dataBinding w:prefixMappings="xmlns:ns0='http://schemas.openxmlformats.org/package/2006/metadata/core-properties' xmlns:ns1='http://purl.org/dc/elements/1.1/'" w:xpath="/ns0:coreProperties[1]/ns1:title[1]" w:storeItemID="{6C3C8BC8-F283-45AE-878A-BAB7291924A1}"/>
      <w:text/>
    </w:sdtPr>
    <w:sdtEndPr/>
    <w:sdtContent>
      <w:p w:rsidR="000C33FD" w:rsidRPr="000C33FD" w:rsidRDefault="000C33FD">
        <w:pPr>
          <w:pStyle w:val="Header"/>
          <w:pBdr>
            <w:bottom w:val="thickThinSmallGap" w:sz="24" w:space="1" w:color="622423" w:themeColor="accent2" w:themeShade="7F"/>
          </w:pBdr>
          <w:jc w:val="center"/>
          <w:rPr>
            <w:rFonts w:asciiTheme="majorHAnsi" w:eastAsiaTheme="majorEastAsia" w:hAnsiTheme="majorHAnsi" w:cstheme="majorBidi"/>
            <w:sz w:val="20"/>
            <w:szCs w:val="20"/>
          </w:rPr>
        </w:pPr>
        <w:r w:rsidRPr="000C33FD">
          <w:rPr>
            <w:rFonts w:asciiTheme="majorHAnsi" w:eastAsiaTheme="majorEastAsia" w:hAnsiTheme="majorHAnsi" w:cstheme="majorBidi"/>
            <w:sz w:val="20"/>
            <w:szCs w:val="20"/>
          </w:rPr>
          <w:t>The Centre of Thematic Expertise on Rule of Law and Fundamental Rights.</w:t>
        </w:r>
      </w:p>
    </w:sdtContent>
  </w:sdt>
  <w:p w:rsidR="000C33FD" w:rsidRDefault="000C33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55EB"/>
    <w:multiLevelType w:val="hybridMultilevel"/>
    <w:tmpl w:val="48C28D96"/>
    <w:lvl w:ilvl="0" w:tplc="1ED2C81A">
      <w:start w:val="1"/>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2B14D9"/>
    <w:multiLevelType w:val="hybridMultilevel"/>
    <w:tmpl w:val="6E4CE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8EB4ED1"/>
    <w:multiLevelType w:val="hybridMultilevel"/>
    <w:tmpl w:val="B66A77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395EC5"/>
    <w:multiLevelType w:val="hybridMultilevel"/>
    <w:tmpl w:val="B1CC76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294DAB"/>
    <w:multiLevelType w:val="hybridMultilevel"/>
    <w:tmpl w:val="B79096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414C7E"/>
    <w:multiLevelType w:val="hybridMultilevel"/>
    <w:tmpl w:val="A4387A88"/>
    <w:lvl w:ilvl="0" w:tplc="04AA49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6B7C74"/>
    <w:multiLevelType w:val="hybridMultilevel"/>
    <w:tmpl w:val="7204A2D8"/>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317463B"/>
    <w:multiLevelType w:val="hybridMultilevel"/>
    <w:tmpl w:val="B6CEA40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8">
    <w:nsid w:val="3CA96B4F"/>
    <w:multiLevelType w:val="hybridMultilevel"/>
    <w:tmpl w:val="2FB0C2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F057414"/>
    <w:multiLevelType w:val="hybridMultilevel"/>
    <w:tmpl w:val="C88885E2"/>
    <w:lvl w:ilvl="0" w:tplc="24A055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70C5783"/>
    <w:multiLevelType w:val="hybridMultilevel"/>
    <w:tmpl w:val="28FCCF4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1">
    <w:nsid w:val="4F8450DC"/>
    <w:multiLevelType w:val="hybridMultilevel"/>
    <w:tmpl w:val="9538EC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1B422AE"/>
    <w:multiLevelType w:val="multilevel"/>
    <w:tmpl w:val="68B6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8B68BB"/>
    <w:multiLevelType w:val="hybridMultilevel"/>
    <w:tmpl w:val="55AC322E"/>
    <w:lvl w:ilvl="0" w:tplc="24A055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4434A81"/>
    <w:multiLevelType w:val="hybridMultilevel"/>
    <w:tmpl w:val="E1064D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91F30F4"/>
    <w:multiLevelType w:val="hybridMultilevel"/>
    <w:tmpl w:val="A156100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5ACB78E2"/>
    <w:multiLevelType w:val="hybridMultilevel"/>
    <w:tmpl w:val="B3EAB08A"/>
    <w:lvl w:ilvl="0" w:tplc="24A055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FBB41AA"/>
    <w:multiLevelType w:val="hybridMultilevel"/>
    <w:tmpl w:val="B874E0C6"/>
    <w:lvl w:ilvl="0" w:tplc="24A055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5A67072"/>
    <w:multiLevelType w:val="hybridMultilevel"/>
    <w:tmpl w:val="503EE2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9FF7CB9"/>
    <w:multiLevelType w:val="hybridMultilevel"/>
    <w:tmpl w:val="3FD2C5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2"/>
  </w:num>
  <w:num w:numId="5">
    <w:abstractNumId w:val="17"/>
  </w:num>
  <w:num w:numId="6">
    <w:abstractNumId w:val="9"/>
  </w:num>
  <w:num w:numId="7">
    <w:abstractNumId w:val="13"/>
  </w:num>
  <w:num w:numId="8">
    <w:abstractNumId w:val="1"/>
  </w:num>
  <w:num w:numId="9">
    <w:abstractNumId w:val="16"/>
  </w:num>
  <w:num w:numId="10">
    <w:abstractNumId w:val="0"/>
  </w:num>
  <w:num w:numId="11">
    <w:abstractNumId w:val="18"/>
  </w:num>
  <w:num w:numId="12">
    <w:abstractNumId w:val="19"/>
  </w:num>
  <w:num w:numId="13">
    <w:abstractNumId w:val="8"/>
  </w:num>
  <w:num w:numId="14">
    <w:abstractNumId w:val="2"/>
  </w:num>
  <w:num w:numId="15">
    <w:abstractNumId w:val="4"/>
  </w:num>
  <w:num w:numId="16">
    <w:abstractNumId w:val="11"/>
  </w:num>
  <w:num w:numId="17">
    <w:abstractNumId w:val="14"/>
  </w:num>
  <w:num w:numId="18">
    <w:abstractNumId w:val="3"/>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3FD"/>
    <w:rsid w:val="00096072"/>
    <w:rsid w:val="000972FF"/>
    <w:rsid w:val="000C33FD"/>
    <w:rsid w:val="000D3FB3"/>
    <w:rsid w:val="00191E1F"/>
    <w:rsid w:val="001928D1"/>
    <w:rsid w:val="00194171"/>
    <w:rsid w:val="00202DAE"/>
    <w:rsid w:val="00243A59"/>
    <w:rsid w:val="002B587E"/>
    <w:rsid w:val="00307742"/>
    <w:rsid w:val="00360A50"/>
    <w:rsid w:val="00393D49"/>
    <w:rsid w:val="003955C8"/>
    <w:rsid w:val="003C4DDF"/>
    <w:rsid w:val="003F6A67"/>
    <w:rsid w:val="004158A3"/>
    <w:rsid w:val="00434693"/>
    <w:rsid w:val="004613DB"/>
    <w:rsid w:val="0051240C"/>
    <w:rsid w:val="00557659"/>
    <w:rsid w:val="005629B7"/>
    <w:rsid w:val="00572BE8"/>
    <w:rsid w:val="005E1AFF"/>
    <w:rsid w:val="00600AA4"/>
    <w:rsid w:val="00627670"/>
    <w:rsid w:val="006329FF"/>
    <w:rsid w:val="006B1916"/>
    <w:rsid w:val="006C5EE0"/>
    <w:rsid w:val="007A5F30"/>
    <w:rsid w:val="00851D06"/>
    <w:rsid w:val="008965EF"/>
    <w:rsid w:val="008B488C"/>
    <w:rsid w:val="008B5000"/>
    <w:rsid w:val="008E4A7D"/>
    <w:rsid w:val="009056E3"/>
    <w:rsid w:val="00924340"/>
    <w:rsid w:val="00960230"/>
    <w:rsid w:val="00984E7B"/>
    <w:rsid w:val="009E55F0"/>
    <w:rsid w:val="00A244E7"/>
    <w:rsid w:val="00A55B6E"/>
    <w:rsid w:val="00A66257"/>
    <w:rsid w:val="00AC420B"/>
    <w:rsid w:val="00AE1D18"/>
    <w:rsid w:val="00B61CDA"/>
    <w:rsid w:val="00C130BA"/>
    <w:rsid w:val="00C34D69"/>
    <w:rsid w:val="00C810BA"/>
    <w:rsid w:val="00CA3E32"/>
    <w:rsid w:val="00D23CC5"/>
    <w:rsid w:val="00D6215A"/>
    <w:rsid w:val="00D628CF"/>
    <w:rsid w:val="00D655A3"/>
    <w:rsid w:val="00D7413A"/>
    <w:rsid w:val="00DA67AA"/>
    <w:rsid w:val="00DF7E85"/>
    <w:rsid w:val="00E25E2B"/>
    <w:rsid w:val="00E26163"/>
    <w:rsid w:val="00E37CAF"/>
    <w:rsid w:val="00E40E0C"/>
    <w:rsid w:val="00E43161"/>
    <w:rsid w:val="00E4511E"/>
    <w:rsid w:val="00E571CF"/>
    <w:rsid w:val="00EE12E0"/>
    <w:rsid w:val="00F27CFB"/>
    <w:rsid w:val="00F6530A"/>
    <w:rsid w:val="00F84E51"/>
    <w:rsid w:val="00F93091"/>
    <w:rsid w:val="00FB5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3F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C33FD"/>
  </w:style>
  <w:style w:type="paragraph" w:styleId="Footer">
    <w:name w:val="footer"/>
    <w:basedOn w:val="Normal"/>
    <w:link w:val="FooterChar"/>
    <w:uiPriority w:val="99"/>
    <w:unhideWhenUsed/>
    <w:rsid w:val="000C33F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C33FD"/>
  </w:style>
  <w:style w:type="paragraph" w:styleId="BalloonText">
    <w:name w:val="Balloon Text"/>
    <w:basedOn w:val="Normal"/>
    <w:link w:val="BalloonTextChar"/>
    <w:uiPriority w:val="99"/>
    <w:semiHidden/>
    <w:unhideWhenUsed/>
    <w:rsid w:val="000C3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3FD"/>
    <w:rPr>
      <w:rFonts w:ascii="Tahoma" w:hAnsi="Tahoma" w:cs="Tahoma"/>
      <w:sz w:val="16"/>
      <w:szCs w:val="16"/>
    </w:rPr>
  </w:style>
  <w:style w:type="paragraph" w:styleId="FootnoteText">
    <w:name w:val="footnote text"/>
    <w:basedOn w:val="Normal"/>
    <w:link w:val="FootnoteTextChar"/>
    <w:uiPriority w:val="99"/>
    <w:semiHidden/>
    <w:unhideWhenUsed/>
    <w:rsid w:val="00393D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3D49"/>
    <w:rPr>
      <w:sz w:val="20"/>
      <w:szCs w:val="20"/>
    </w:rPr>
  </w:style>
  <w:style w:type="character" w:styleId="FootnoteReference">
    <w:name w:val="footnote reference"/>
    <w:basedOn w:val="DefaultParagraphFont"/>
    <w:uiPriority w:val="99"/>
    <w:semiHidden/>
    <w:unhideWhenUsed/>
    <w:rsid w:val="00393D49"/>
    <w:rPr>
      <w:vertAlign w:val="superscript"/>
    </w:rPr>
  </w:style>
  <w:style w:type="character" w:styleId="Hyperlink">
    <w:name w:val="Hyperlink"/>
    <w:basedOn w:val="DefaultParagraphFont"/>
    <w:uiPriority w:val="99"/>
    <w:unhideWhenUsed/>
    <w:rsid w:val="00E26163"/>
    <w:rPr>
      <w:color w:val="0000FF" w:themeColor="hyperlink"/>
      <w:u w:val="single"/>
    </w:rPr>
  </w:style>
  <w:style w:type="character" w:styleId="FollowedHyperlink">
    <w:name w:val="FollowedHyperlink"/>
    <w:basedOn w:val="DefaultParagraphFont"/>
    <w:uiPriority w:val="99"/>
    <w:semiHidden/>
    <w:unhideWhenUsed/>
    <w:rsid w:val="008E4A7D"/>
    <w:rPr>
      <w:color w:val="800080" w:themeColor="followedHyperlink"/>
      <w:u w:val="single"/>
    </w:rPr>
  </w:style>
  <w:style w:type="paragraph" w:customStyle="1" w:styleId="Default">
    <w:name w:val="Default"/>
    <w:rsid w:val="002B587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360A50"/>
    <w:rPr>
      <w:rFonts w:ascii="Times New Roman" w:hAnsi="Times New Roman" w:cs="Times New Roman"/>
      <w:sz w:val="24"/>
      <w:szCs w:val="24"/>
    </w:rPr>
  </w:style>
  <w:style w:type="paragraph" w:styleId="ListParagraph">
    <w:name w:val="List Paragraph"/>
    <w:basedOn w:val="Normal"/>
    <w:uiPriority w:val="34"/>
    <w:qFormat/>
    <w:rsid w:val="00360A50"/>
    <w:pPr>
      <w:ind w:left="720"/>
      <w:contextualSpacing/>
    </w:pPr>
  </w:style>
  <w:style w:type="character" w:styleId="CommentReference">
    <w:name w:val="annotation reference"/>
    <w:basedOn w:val="DefaultParagraphFont"/>
    <w:uiPriority w:val="99"/>
    <w:semiHidden/>
    <w:unhideWhenUsed/>
    <w:rsid w:val="003C4DDF"/>
    <w:rPr>
      <w:sz w:val="16"/>
      <w:szCs w:val="16"/>
    </w:rPr>
  </w:style>
  <w:style w:type="paragraph" w:styleId="CommentText">
    <w:name w:val="annotation text"/>
    <w:basedOn w:val="Normal"/>
    <w:link w:val="CommentTextChar"/>
    <w:uiPriority w:val="99"/>
    <w:semiHidden/>
    <w:unhideWhenUsed/>
    <w:rsid w:val="003C4DDF"/>
    <w:pPr>
      <w:spacing w:line="240" w:lineRule="auto"/>
    </w:pPr>
    <w:rPr>
      <w:sz w:val="20"/>
      <w:szCs w:val="20"/>
    </w:rPr>
  </w:style>
  <w:style w:type="character" w:customStyle="1" w:styleId="CommentTextChar">
    <w:name w:val="Comment Text Char"/>
    <w:basedOn w:val="DefaultParagraphFont"/>
    <w:link w:val="CommentText"/>
    <w:uiPriority w:val="99"/>
    <w:semiHidden/>
    <w:rsid w:val="003C4DDF"/>
    <w:rPr>
      <w:sz w:val="20"/>
      <w:szCs w:val="20"/>
    </w:rPr>
  </w:style>
  <w:style w:type="paragraph" w:styleId="CommentSubject">
    <w:name w:val="annotation subject"/>
    <w:basedOn w:val="CommentText"/>
    <w:next w:val="CommentText"/>
    <w:link w:val="CommentSubjectChar"/>
    <w:uiPriority w:val="99"/>
    <w:semiHidden/>
    <w:unhideWhenUsed/>
    <w:rsid w:val="003C4DDF"/>
    <w:rPr>
      <w:b/>
      <w:bCs/>
    </w:rPr>
  </w:style>
  <w:style w:type="character" w:customStyle="1" w:styleId="CommentSubjectChar">
    <w:name w:val="Comment Subject Char"/>
    <w:basedOn w:val="CommentTextChar"/>
    <w:link w:val="CommentSubject"/>
    <w:uiPriority w:val="99"/>
    <w:semiHidden/>
    <w:rsid w:val="003C4DD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3F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C33FD"/>
  </w:style>
  <w:style w:type="paragraph" w:styleId="Footer">
    <w:name w:val="footer"/>
    <w:basedOn w:val="Normal"/>
    <w:link w:val="FooterChar"/>
    <w:uiPriority w:val="99"/>
    <w:unhideWhenUsed/>
    <w:rsid w:val="000C33F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C33FD"/>
  </w:style>
  <w:style w:type="paragraph" w:styleId="BalloonText">
    <w:name w:val="Balloon Text"/>
    <w:basedOn w:val="Normal"/>
    <w:link w:val="BalloonTextChar"/>
    <w:uiPriority w:val="99"/>
    <w:semiHidden/>
    <w:unhideWhenUsed/>
    <w:rsid w:val="000C3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3FD"/>
    <w:rPr>
      <w:rFonts w:ascii="Tahoma" w:hAnsi="Tahoma" w:cs="Tahoma"/>
      <w:sz w:val="16"/>
      <w:szCs w:val="16"/>
    </w:rPr>
  </w:style>
  <w:style w:type="paragraph" w:styleId="FootnoteText">
    <w:name w:val="footnote text"/>
    <w:basedOn w:val="Normal"/>
    <w:link w:val="FootnoteTextChar"/>
    <w:uiPriority w:val="99"/>
    <w:semiHidden/>
    <w:unhideWhenUsed/>
    <w:rsid w:val="00393D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3D49"/>
    <w:rPr>
      <w:sz w:val="20"/>
      <w:szCs w:val="20"/>
    </w:rPr>
  </w:style>
  <w:style w:type="character" w:styleId="FootnoteReference">
    <w:name w:val="footnote reference"/>
    <w:basedOn w:val="DefaultParagraphFont"/>
    <w:uiPriority w:val="99"/>
    <w:semiHidden/>
    <w:unhideWhenUsed/>
    <w:rsid w:val="00393D49"/>
    <w:rPr>
      <w:vertAlign w:val="superscript"/>
    </w:rPr>
  </w:style>
  <w:style w:type="character" w:styleId="Hyperlink">
    <w:name w:val="Hyperlink"/>
    <w:basedOn w:val="DefaultParagraphFont"/>
    <w:uiPriority w:val="99"/>
    <w:unhideWhenUsed/>
    <w:rsid w:val="00E26163"/>
    <w:rPr>
      <w:color w:val="0000FF" w:themeColor="hyperlink"/>
      <w:u w:val="single"/>
    </w:rPr>
  </w:style>
  <w:style w:type="character" w:styleId="FollowedHyperlink">
    <w:name w:val="FollowedHyperlink"/>
    <w:basedOn w:val="DefaultParagraphFont"/>
    <w:uiPriority w:val="99"/>
    <w:semiHidden/>
    <w:unhideWhenUsed/>
    <w:rsid w:val="008E4A7D"/>
    <w:rPr>
      <w:color w:val="800080" w:themeColor="followedHyperlink"/>
      <w:u w:val="single"/>
    </w:rPr>
  </w:style>
  <w:style w:type="paragraph" w:customStyle="1" w:styleId="Default">
    <w:name w:val="Default"/>
    <w:rsid w:val="002B587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360A50"/>
    <w:rPr>
      <w:rFonts w:ascii="Times New Roman" w:hAnsi="Times New Roman" w:cs="Times New Roman"/>
      <w:sz w:val="24"/>
      <w:szCs w:val="24"/>
    </w:rPr>
  </w:style>
  <w:style w:type="paragraph" w:styleId="ListParagraph">
    <w:name w:val="List Paragraph"/>
    <w:basedOn w:val="Normal"/>
    <w:uiPriority w:val="34"/>
    <w:qFormat/>
    <w:rsid w:val="00360A50"/>
    <w:pPr>
      <w:ind w:left="720"/>
      <w:contextualSpacing/>
    </w:pPr>
  </w:style>
  <w:style w:type="character" w:styleId="CommentReference">
    <w:name w:val="annotation reference"/>
    <w:basedOn w:val="DefaultParagraphFont"/>
    <w:uiPriority w:val="99"/>
    <w:semiHidden/>
    <w:unhideWhenUsed/>
    <w:rsid w:val="003C4DDF"/>
    <w:rPr>
      <w:sz w:val="16"/>
      <w:szCs w:val="16"/>
    </w:rPr>
  </w:style>
  <w:style w:type="paragraph" w:styleId="CommentText">
    <w:name w:val="annotation text"/>
    <w:basedOn w:val="Normal"/>
    <w:link w:val="CommentTextChar"/>
    <w:uiPriority w:val="99"/>
    <w:semiHidden/>
    <w:unhideWhenUsed/>
    <w:rsid w:val="003C4DDF"/>
    <w:pPr>
      <w:spacing w:line="240" w:lineRule="auto"/>
    </w:pPr>
    <w:rPr>
      <w:sz w:val="20"/>
      <w:szCs w:val="20"/>
    </w:rPr>
  </w:style>
  <w:style w:type="character" w:customStyle="1" w:styleId="CommentTextChar">
    <w:name w:val="Comment Text Char"/>
    <w:basedOn w:val="DefaultParagraphFont"/>
    <w:link w:val="CommentText"/>
    <w:uiPriority w:val="99"/>
    <w:semiHidden/>
    <w:rsid w:val="003C4DDF"/>
    <w:rPr>
      <w:sz w:val="20"/>
      <w:szCs w:val="20"/>
    </w:rPr>
  </w:style>
  <w:style w:type="paragraph" w:styleId="CommentSubject">
    <w:name w:val="annotation subject"/>
    <w:basedOn w:val="CommentText"/>
    <w:next w:val="CommentText"/>
    <w:link w:val="CommentSubjectChar"/>
    <w:uiPriority w:val="99"/>
    <w:semiHidden/>
    <w:unhideWhenUsed/>
    <w:rsid w:val="003C4DDF"/>
    <w:rPr>
      <w:b/>
      <w:bCs/>
    </w:rPr>
  </w:style>
  <w:style w:type="character" w:customStyle="1" w:styleId="CommentSubjectChar">
    <w:name w:val="Comment Subject Char"/>
    <w:basedOn w:val="CommentTextChar"/>
    <w:link w:val="CommentSubject"/>
    <w:uiPriority w:val="99"/>
    <w:semiHidden/>
    <w:rsid w:val="003C4D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75040">
      <w:bodyDiv w:val="1"/>
      <w:marLeft w:val="0"/>
      <w:marRight w:val="0"/>
      <w:marTop w:val="0"/>
      <w:marBottom w:val="0"/>
      <w:divBdr>
        <w:top w:val="none" w:sz="0" w:space="0" w:color="auto"/>
        <w:left w:val="none" w:sz="0" w:space="0" w:color="auto"/>
        <w:bottom w:val="none" w:sz="0" w:space="0" w:color="auto"/>
        <w:right w:val="none" w:sz="0" w:space="0" w:color="auto"/>
      </w:divBdr>
    </w:div>
    <w:div w:id="1337804106">
      <w:bodyDiv w:val="1"/>
      <w:marLeft w:val="0"/>
      <w:marRight w:val="0"/>
      <w:marTop w:val="0"/>
      <w:marBottom w:val="0"/>
      <w:divBdr>
        <w:top w:val="none" w:sz="0" w:space="0" w:color="auto"/>
        <w:left w:val="none" w:sz="0" w:space="0" w:color="auto"/>
        <w:bottom w:val="none" w:sz="0" w:space="0" w:color="auto"/>
        <w:right w:val="none" w:sz="0" w:space="0" w:color="auto"/>
      </w:divBdr>
      <w:divsChild>
        <w:div w:id="884292511">
          <w:marLeft w:val="0"/>
          <w:marRight w:val="0"/>
          <w:marTop w:val="0"/>
          <w:marBottom w:val="0"/>
          <w:divBdr>
            <w:top w:val="none" w:sz="0" w:space="0" w:color="auto"/>
            <w:left w:val="none" w:sz="0" w:space="0" w:color="auto"/>
            <w:bottom w:val="none" w:sz="0" w:space="0" w:color="auto"/>
            <w:right w:val="none" w:sz="0" w:space="0" w:color="auto"/>
          </w:divBdr>
          <w:divsChild>
            <w:div w:id="1124884882">
              <w:marLeft w:val="0"/>
              <w:marRight w:val="0"/>
              <w:marTop w:val="0"/>
              <w:marBottom w:val="0"/>
              <w:divBdr>
                <w:top w:val="none" w:sz="0" w:space="0" w:color="auto"/>
                <w:left w:val="none" w:sz="0" w:space="0" w:color="auto"/>
                <w:bottom w:val="none" w:sz="0" w:space="0" w:color="auto"/>
                <w:right w:val="none" w:sz="0" w:space="0" w:color="auto"/>
              </w:divBdr>
              <w:divsChild>
                <w:div w:id="1784035350">
                  <w:marLeft w:val="0"/>
                  <w:marRight w:val="0"/>
                  <w:marTop w:val="0"/>
                  <w:marBottom w:val="0"/>
                  <w:divBdr>
                    <w:top w:val="none" w:sz="0" w:space="0" w:color="auto"/>
                    <w:left w:val="none" w:sz="0" w:space="0" w:color="auto"/>
                    <w:bottom w:val="none" w:sz="0" w:space="0" w:color="auto"/>
                    <w:right w:val="none" w:sz="0" w:space="0" w:color="auto"/>
                  </w:divBdr>
                  <w:divsChild>
                    <w:div w:id="841360022">
                      <w:marLeft w:val="0"/>
                      <w:marRight w:val="0"/>
                      <w:marTop w:val="0"/>
                      <w:marBottom w:val="0"/>
                      <w:divBdr>
                        <w:top w:val="none" w:sz="0" w:space="0" w:color="auto"/>
                        <w:left w:val="none" w:sz="0" w:space="0" w:color="auto"/>
                        <w:bottom w:val="none" w:sz="0" w:space="0" w:color="auto"/>
                        <w:right w:val="none" w:sz="0" w:space="0" w:color="auto"/>
                      </w:divBdr>
                      <w:divsChild>
                        <w:div w:id="10997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840014">
      <w:bodyDiv w:val="1"/>
      <w:marLeft w:val="0"/>
      <w:marRight w:val="0"/>
      <w:marTop w:val="0"/>
      <w:marBottom w:val="0"/>
      <w:divBdr>
        <w:top w:val="none" w:sz="0" w:space="0" w:color="auto"/>
        <w:left w:val="none" w:sz="0" w:space="0" w:color="auto"/>
        <w:bottom w:val="none" w:sz="0" w:space="0" w:color="auto"/>
        <w:right w:val="none" w:sz="0" w:space="0" w:color="auto"/>
      </w:divBdr>
      <w:divsChild>
        <w:div w:id="1455557205">
          <w:marLeft w:val="0"/>
          <w:marRight w:val="0"/>
          <w:marTop w:val="0"/>
          <w:marBottom w:val="0"/>
          <w:divBdr>
            <w:top w:val="none" w:sz="0" w:space="0" w:color="auto"/>
            <w:left w:val="none" w:sz="0" w:space="0" w:color="auto"/>
            <w:bottom w:val="none" w:sz="0" w:space="0" w:color="auto"/>
            <w:right w:val="none" w:sz="0" w:space="0" w:color="auto"/>
          </w:divBdr>
          <w:divsChild>
            <w:div w:id="929922199">
              <w:marLeft w:val="0"/>
              <w:marRight w:val="0"/>
              <w:marTop w:val="0"/>
              <w:marBottom w:val="0"/>
              <w:divBdr>
                <w:top w:val="none" w:sz="0" w:space="0" w:color="auto"/>
                <w:left w:val="none" w:sz="0" w:space="0" w:color="auto"/>
                <w:bottom w:val="none" w:sz="0" w:space="0" w:color="auto"/>
                <w:right w:val="none" w:sz="0" w:space="0" w:color="auto"/>
              </w:divBdr>
              <w:divsChild>
                <w:div w:id="1768889624">
                  <w:marLeft w:val="0"/>
                  <w:marRight w:val="0"/>
                  <w:marTop w:val="0"/>
                  <w:marBottom w:val="0"/>
                  <w:divBdr>
                    <w:top w:val="none" w:sz="0" w:space="0" w:color="auto"/>
                    <w:left w:val="none" w:sz="0" w:space="0" w:color="auto"/>
                    <w:bottom w:val="none" w:sz="0" w:space="0" w:color="auto"/>
                    <w:right w:val="none" w:sz="0" w:space="0" w:color="auto"/>
                  </w:divBdr>
                  <w:divsChild>
                    <w:div w:id="2007854868">
                      <w:marLeft w:val="0"/>
                      <w:marRight w:val="0"/>
                      <w:marTop w:val="0"/>
                      <w:marBottom w:val="0"/>
                      <w:divBdr>
                        <w:top w:val="none" w:sz="0" w:space="0" w:color="auto"/>
                        <w:left w:val="none" w:sz="0" w:space="0" w:color="auto"/>
                        <w:bottom w:val="none" w:sz="0" w:space="0" w:color="auto"/>
                        <w:right w:val="none" w:sz="0" w:space="0" w:color="auto"/>
                      </w:divBdr>
                      <w:divsChild>
                        <w:div w:id="163794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9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justice/discrimination/files/lgbti_actionlist_en.pdf" TargetMode="External"/><Relationship Id="rId18" Type="http://schemas.openxmlformats.org/officeDocument/2006/relationships/hyperlink" Target="https://rm.coe.int/168047f2a6" TargetMode="External"/><Relationship Id="rId26" Type="http://schemas.openxmlformats.org/officeDocument/2006/relationships/hyperlink" Target="http://ec.europa.eu/justice/discrimination/files/trans_and_intersex_people_web3_en.pdf" TargetMode="External"/><Relationship Id="rId3" Type="http://schemas.openxmlformats.org/officeDocument/2006/relationships/styles" Target="styles.xml"/><Relationship Id="rId21" Type="http://schemas.openxmlformats.org/officeDocument/2006/relationships/hyperlink" Target="https://rm.coe.int/16806da5d4" TargetMode="Externa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tgeu.org/issues/health_and_depathologisation/depathologisation-health_and_depathologisation/" TargetMode="External"/><Relationship Id="rId17" Type="http://schemas.openxmlformats.org/officeDocument/2006/relationships/hyperlink" Target="https://search.coe.int/cm/Pages/result_details.aspx?ObjectID=09000016805cf40a" TargetMode="External"/><Relationship Id="rId25" Type="http://schemas.openxmlformats.org/officeDocument/2006/relationships/hyperlink" Target="http://www.un.org/en/ga/search/view_doc.asp?symbol=A/HRC/RES/32/2"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gbt-ep.eu/intergroup-documents/summary-achieving-the-right-to-health-of-lgbti-people/" TargetMode="External"/><Relationship Id="rId20" Type="http://schemas.openxmlformats.org/officeDocument/2006/relationships/hyperlink" Target="https://rm.coe.int/16806da753" TargetMode="External"/><Relationship Id="rId29" Type="http://schemas.openxmlformats.org/officeDocument/2006/relationships/hyperlink" Target="https://rm.coe.int/168047f2a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XY_sex-determination_system" TargetMode="External"/><Relationship Id="rId24" Type="http://schemas.openxmlformats.org/officeDocument/2006/relationships/hyperlink" Target="http://assembly.coe.int/nw/xml/XRef/Xref-XML2HTML-EN.asp?fileid=21736&amp;lang=en"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eur-lex.europa.eu/legal-content/EN/TXT/PDF/?uri=CELEX:32012L0029&amp;from=EN" TargetMode="External"/><Relationship Id="rId23" Type="http://schemas.openxmlformats.org/officeDocument/2006/relationships/hyperlink" Target="http://www.echr.coe.int/Documents/FS_Gender_identity_ENG.pdf" TargetMode="External"/><Relationship Id="rId28" Type="http://schemas.openxmlformats.org/officeDocument/2006/relationships/hyperlink" Target="http://fra.europa.eu/en/publication/2014/being-trans-eu-comparative-analysis-eu-lgbt-survey-data" TargetMode="External"/><Relationship Id="rId10" Type="http://schemas.openxmlformats.org/officeDocument/2006/relationships/hyperlink" Target="https://en.wikipedia.org/wiki/Phenotype" TargetMode="External"/><Relationship Id="rId19" Type="http://schemas.openxmlformats.org/officeDocument/2006/relationships/hyperlink" Target="https://rm.coe.int/1680492119" TargetMode="External"/><Relationship Id="rId31" Type="http://schemas.openxmlformats.org/officeDocument/2006/relationships/hyperlink" Target="http://tgeu.org/human-rights-gender-identity-best-practice-catalogue/" TargetMode="External"/><Relationship Id="rId4" Type="http://schemas.microsoft.com/office/2007/relationships/stylesWithEffects" Target="stylesWithEffects.xml"/><Relationship Id="rId9" Type="http://schemas.openxmlformats.org/officeDocument/2006/relationships/hyperlink" Target="https://en.wikipedia.org/wiki/Genotype" TargetMode="External"/><Relationship Id="rId14" Type="http://schemas.openxmlformats.org/officeDocument/2006/relationships/hyperlink" Target="http://data.consilium.europa.eu/doc/document/ST-11492-2013-INIT/en/pdf" TargetMode="External"/><Relationship Id="rId22" Type="http://schemas.openxmlformats.org/officeDocument/2006/relationships/hyperlink" Target="http://www.echr.coe.int/Documents/FS_Gender_identity_ENG.pdf" TargetMode="External"/><Relationship Id="rId27" Type="http://schemas.openxmlformats.org/officeDocument/2006/relationships/hyperlink" Target="http://fra.europa.eu/en/publication/2015/fundamental-rights-situation-intersex-people" TargetMode="External"/><Relationship Id="rId30" Type="http://schemas.openxmlformats.org/officeDocument/2006/relationships/hyperlink" Target="http://www.coe.int/t/dghl/monitoring/ecri/activities/countrybycountry_en.asp"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cm/Pages/result_details.aspx?ObjectID=09000016805cf40a"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750AE38988F4EB5A3677DB3A89E7734"/>
        <w:category>
          <w:name w:val="General"/>
          <w:gallery w:val="placeholder"/>
        </w:category>
        <w:types>
          <w:type w:val="bbPlcHdr"/>
        </w:types>
        <w:behaviors>
          <w:behavior w:val="content"/>
        </w:behaviors>
        <w:guid w:val="{3C470EF3-3304-4E5F-B2F7-8F83F8D79B00}"/>
      </w:docPartPr>
      <w:docPartBody>
        <w:p w:rsidR="00DD4419" w:rsidRDefault="007944B6" w:rsidP="007944B6">
          <w:pPr>
            <w:pStyle w:val="4750AE38988F4EB5A3677DB3A89E773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WarnockPro-Regular">
    <w:altName w:val="Times New Roman"/>
    <w:panose1 w:val="00000000000000000000"/>
    <w:charset w:val="CC"/>
    <w:family w:val="roman"/>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4B6"/>
    <w:rsid w:val="00696794"/>
    <w:rsid w:val="007944B6"/>
    <w:rsid w:val="0089142B"/>
    <w:rsid w:val="00DD4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50AE38988F4EB5A3677DB3A89E7734">
    <w:name w:val="4750AE38988F4EB5A3677DB3A89E7734"/>
    <w:rsid w:val="007944B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50AE38988F4EB5A3677DB3A89E7734">
    <w:name w:val="4750AE38988F4EB5A3677DB3A89E7734"/>
    <w:rsid w:val="007944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8CAE2-D9B5-45C9-97A3-94D252A3A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1788</Words>
  <Characters>10196</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The Centre of Thematic Expertise on Rule of Law and Fundamental Rights.</vt:lpstr>
    </vt:vector>
  </TitlesOfParts>
  <Company>European Commission</Company>
  <LinksUpToDate>false</LinksUpToDate>
  <CharactersWithSpaces>11961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Centre of Thematic Expertise on Rule of Law and Fundamental Rights.</dc:title>
  <dc:creator>ZWAENEPOEL Sabine (NEAR)</dc:creator>
  <cp:lastModifiedBy>LAURENS-DINSDALE Chloe (NEAR)</cp:lastModifiedBy>
  <cp:revision>2</cp:revision>
  <dcterms:created xsi:type="dcterms:W3CDTF">2017-05-17T07:18:00Z</dcterms:created>
  <dcterms:modified xsi:type="dcterms:W3CDTF">2017-05-17T07:18:00Z</dcterms:modified>
</cp:coreProperties>
</file>