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A4F51" w14:textId="479DFDBF" w:rsidR="00ED229F" w:rsidRPr="004E61F9" w:rsidRDefault="004E61F9" w:rsidP="004E61F9">
      <w:pPr>
        <w:jc w:val="center"/>
        <w:rPr>
          <w:rFonts w:eastAsia="Calibri"/>
          <w:szCs w:val="20"/>
          <w:lang w:val="es-ES"/>
        </w:rPr>
      </w:pPr>
      <w:bookmarkStart w:id="0" w:name="_GoBack"/>
      <w:bookmarkEnd w:id="0"/>
      <w:r w:rsidRPr="004E61F9">
        <w:rPr>
          <w:rFonts w:eastAsia="Calibri"/>
          <w:b/>
          <w:szCs w:val="20"/>
          <w:lang w:val="es-ES"/>
        </w:rPr>
        <w:t>Lista de Países Participantes en el Instrumento de Vecindad, Desarrollo y Cooperación Internacional – Europa Global (NDICI-EUROPA GLOBAL), Instrumento de Ayuda de Preadhesión (IPA III), Instrumento Europeo para la Cooperación Internacional en Seguridad Nuclear (INSC), Decisión sobre la Asociación de Ultramar, incluyendo Groenlandia (DOAG) y la Facilidad para Ucrania (UF)</w:t>
      </w:r>
    </w:p>
    <w:p w14:paraId="0F6C4DA8" w14:textId="07F85031" w:rsidR="00D828C9" w:rsidRPr="004E61F9" w:rsidRDefault="004E61F9" w:rsidP="00ED229F">
      <w:pPr>
        <w:jc w:val="both"/>
        <w:rPr>
          <w:rFonts w:eastAsia="Calibri"/>
          <w:szCs w:val="20"/>
          <w:lang w:val="es-ES"/>
        </w:rPr>
      </w:pPr>
      <w:r w:rsidRPr="004E61F9">
        <w:rPr>
          <w:rFonts w:eastAsia="Calibri"/>
          <w:szCs w:val="20"/>
          <w:lang w:val="es-ES"/>
        </w:rPr>
        <w:t>Este documento presenta la composición de los diferentes grupos de países que pueden ser elegibles en las convocatorias de Acción Exterior (RELEX)</w:t>
      </w:r>
      <w:r w:rsidR="00D828C9" w:rsidRPr="004E61F9">
        <w:rPr>
          <w:rFonts w:eastAsia="Calibri"/>
          <w:szCs w:val="20"/>
          <w:lang w:val="es-ES"/>
        </w:rPr>
        <w:t>.</w:t>
      </w:r>
    </w:p>
    <w:p w14:paraId="22D25F70" w14:textId="12CEA786" w:rsidR="00D828C9" w:rsidRPr="004E61F9" w:rsidRDefault="004E61F9" w:rsidP="00ED229F">
      <w:pPr>
        <w:jc w:val="both"/>
        <w:rPr>
          <w:rFonts w:eastAsia="Calibri"/>
          <w:szCs w:val="20"/>
          <w:lang w:val="es-ES"/>
        </w:rPr>
      </w:pPr>
      <w:r w:rsidRPr="004E61F9">
        <w:rPr>
          <w:rFonts w:eastAsia="Calibri"/>
          <w:szCs w:val="20"/>
          <w:lang w:val="es-ES"/>
        </w:rPr>
        <w:t xml:space="preserve">Con el fin de determinar qué grupos de países son elegibles para una convocatoria específica, sírvase consultar el documento de la convocatoria pertinente (disponible en la </w:t>
      </w:r>
      <w:r w:rsidRPr="004E61F9">
        <w:rPr>
          <w:rFonts w:eastAsia="Calibri"/>
          <w:color w:val="548DD4" w:themeColor="text2" w:themeTint="99"/>
          <w:szCs w:val="20"/>
          <w:lang w:val="es-ES"/>
        </w:rPr>
        <w:t>página del tema del Portal de Financiación y Licitaciones</w:t>
      </w:r>
      <w:r w:rsidRPr="004E61F9">
        <w:rPr>
          <w:rFonts w:eastAsia="Calibri"/>
          <w:szCs w:val="20"/>
          <w:lang w:val="es-ES"/>
        </w:rPr>
        <w:t>)</w:t>
      </w:r>
      <w:r w:rsidR="00D828C9" w:rsidRPr="004E61F9">
        <w:rPr>
          <w:rFonts w:eastAsia="Calibri"/>
          <w:szCs w:val="20"/>
          <w:lang w:val="es-ES"/>
        </w:rPr>
        <w:t>.</w:t>
      </w:r>
    </w:p>
    <w:p w14:paraId="116C047A" w14:textId="42D72E43" w:rsidR="00D828C9" w:rsidRPr="004E61F9" w:rsidRDefault="00D828C9" w:rsidP="00ED229F">
      <w:pPr>
        <w:jc w:val="both"/>
        <w:rPr>
          <w:rFonts w:eastAsia="Calibri"/>
          <w:szCs w:val="20"/>
          <w:lang w:val="es-ES"/>
        </w:rPr>
      </w:pPr>
      <w:r w:rsidRPr="0093706A">
        <w:rPr>
          <w:noProof/>
          <w:lang w:val="en-GB" w:eastAsia="en-GB"/>
        </w:rPr>
        <w:drawing>
          <wp:inline distT="0" distB="0" distL="0" distR="0" wp14:anchorId="42F69A55" wp14:editId="71F93AB4">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E61F9">
        <w:rPr>
          <w:rFonts w:eastAsia="Calibri"/>
          <w:szCs w:val="20"/>
          <w:lang w:val="es-ES"/>
        </w:rPr>
        <w:t xml:space="preserve"> </w:t>
      </w:r>
      <w:r w:rsidR="004E61F9" w:rsidRPr="004E61F9">
        <w:rPr>
          <w:rFonts w:eastAsia="Calibri"/>
          <w:szCs w:val="20"/>
          <w:lang w:val="es-ES"/>
        </w:rPr>
        <w:t>Se ruega tomar nota de que, para el Programa Temático de Derechos Humanos y Democracia del NDICI, el Programa Temático de Paz, Estabilidad y Prevención de Conflictos y las Acciones de Respuesta Rápida, no existen condiciones de elegibilidad específicas por país. Permitiendo la naturaleza y los objetivos de las acciones, en principio, los participantes de todos los países son elegibles para participar</w:t>
      </w:r>
      <w:r w:rsidRPr="004E61F9">
        <w:rPr>
          <w:noProof/>
          <w:szCs w:val="24"/>
          <w:lang w:val="es-ES"/>
        </w:rPr>
        <w:t>.</w:t>
      </w:r>
    </w:p>
    <w:p w14:paraId="7FE935AD" w14:textId="2AF1685B" w:rsidR="00D828C9" w:rsidRPr="00D77B8F" w:rsidRDefault="00621FF2" w:rsidP="00B77C3C">
      <w:pPr>
        <w:jc w:val="both"/>
        <w:rPr>
          <w:b/>
          <w:i/>
          <w:iCs/>
          <w:szCs w:val="20"/>
          <w:lang w:val="es-ES"/>
        </w:rPr>
      </w:pPr>
      <w:r w:rsidRPr="00D77B8F">
        <w:rPr>
          <w:rStyle w:val="DeltaViewInsertion"/>
          <w:i w:val="0"/>
          <w:iCs/>
          <w:szCs w:val="20"/>
          <w:lang w:val="es-ES"/>
        </w:rPr>
        <w:t>ESTADOS MIEMBROS DE LA UE</w:t>
      </w:r>
      <w:r w:rsidR="00866C45" w:rsidRPr="00D77B8F">
        <w:rPr>
          <w:b/>
          <w:szCs w:val="20"/>
          <w:lang w:val="es-ES"/>
        </w:rPr>
        <w:t xml:space="preserve"> Y</w:t>
      </w:r>
      <w:r w:rsidR="00D828C9" w:rsidRPr="00D77B8F">
        <w:rPr>
          <w:b/>
          <w:szCs w:val="20"/>
          <w:lang w:val="es-ES"/>
        </w:rPr>
        <w:t xml:space="preserve"> </w:t>
      </w:r>
      <w:r w:rsidR="00866C45" w:rsidRPr="00D77B8F">
        <w:rPr>
          <w:b/>
          <w:caps/>
          <w:color w:val="000000"/>
          <w:szCs w:val="20"/>
          <w:lang w:val="es-ES"/>
        </w:rPr>
        <w:t>Países y territorios de ultramar</w:t>
      </w:r>
    </w:p>
    <w:p w14:paraId="1DB2CC06" w14:textId="17C3C4A8" w:rsidR="00D828C9" w:rsidRPr="00D77B8F" w:rsidRDefault="00621FF2" w:rsidP="00D828C9">
      <w:pPr>
        <w:pStyle w:val="BodyText"/>
        <w:numPr>
          <w:ilvl w:val="0"/>
          <w:numId w:val="3"/>
        </w:numPr>
        <w:ind w:left="714" w:right="140" w:hanging="357"/>
        <w:jc w:val="both"/>
        <w:rPr>
          <w:sz w:val="16"/>
          <w:szCs w:val="20"/>
          <w:lang w:val="es-ES"/>
        </w:rPr>
      </w:pPr>
      <w:bookmarkStart w:id="1" w:name="_Toc423007521"/>
      <w:bookmarkStart w:id="2" w:name="_Toc423007703"/>
      <w:r w:rsidRPr="00D77B8F">
        <w:rPr>
          <w:snapToGrid w:val="0"/>
          <w:szCs w:val="20"/>
          <w:lang w:val="es-ES"/>
        </w:rPr>
        <w:t>Alemania, Austria, Bélgica, Bulgaria, Chequia,</w:t>
      </w:r>
      <w:r w:rsidRPr="00D77B8F">
        <w:rPr>
          <w:szCs w:val="20"/>
          <w:lang w:val="es-ES"/>
        </w:rPr>
        <w:t xml:space="preserve"> </w:t>
      </w:r>
      <w:r w:rsidRPr="00D77B8F">
        <w:rPr>
          <w:snapToGrid w:val="0"/>
          <w:szCs w:val="20"/>
          <w:lang w:val="es-ES"/>
        </w:rPr>
        <w:t>Chipre, Croacia, Dinamarca, Eslovaquia, Eslovenia, España, Estonia, Finlandia, Francia, Grecia, Hungría, Italia, Irlanda, Letonia, Lituania, Luxemburgo, Malta, Países Bajos, Polonia, Portugal, Rumanía y Suecia.</w:t>
      </w:r>
      <w:bookmarkEnd w:id="1"/>
      <w:bookmarkEnd w:id="2"/>
    </w:p>
    <w:p w14:paraId="6059F0D2" w14:textId="416B7AA1" w:rsidR="00D828C9" w:rsidRPr="00D77B8F" w:rsidRDefault="00866C45" w:rsidP="00D828C9">
      <w:pPr>
        <w:pStyle w:val="BodyText"/>
        <w:numPr>
          <w:ilvl w:val="0"/>
          <w:numId w:val="3"/>
        </w:numPr>
        <w:ind w:left="714" w:right="140" w:hanging="357"/>
        <w:jc w:val="both"/>
        <w:rPr>
          <w:szCs w:val="20"/>
          <w:lang w:val="es-ES"/>
        </w:rPr>
      </w:pPr>
      <w:r w:rsidRPr="00D77B8F">
        <w:rPr>
          <w:szCs w:val="20"/>
          <w:lang w:val="es-ES"/>
        </w:rPr>
        <w:t>Aruba (NL), Bonaire (NL), Curazao (NL), Groenlandia (DK), Nueva Caledonia y sus dependencias (FR), Polinesia Francesa (FR), Saba (NL), San Bartolomé (FR), San Eustaquio (NL), San Martín (NL), San Pedro y Miquelón (FR), Territorios Australes Franceses (FR) y Wallis y Futuna (</w:t>
      </w:r>
      <w:r w:rsidR="00D828C9" w:rsidRPr="00D77B8F">
        <w:rPr>
          <w:szCs w:val="20"/>
          <w:lang w:val="es-ES"/>
        </w:rPr>
        <w:t>FR)</w:t>
      </w:r>
    </w:p>
    <w:p w14:paraId="3F51BD27" w14:textId="631CCC1D" w:rsidR="00C6445D" w:rsidRPr="00532904" w:rsidRDefault="00866C45" w:rsidP="00B77C3C">
      <w:pPr>
        <w:jc w:val="both"/>
        <w:rPr>
          <w:b/>
          <w:i/>
          <w:iCs/>
          <w:sz w:val="16"/>
          <w:szCs w:val="16"/>
        </w:rPr>
      </w:pPr>
      <w:bookmarkStart w:id="3" w:name="_Toc423007525"/>
      <w:bookmarkStart w:id="4" w:name="_Toc423007707"/>
      <w:r w:rsidRPr="00532904">
        <w:rPr>
          <w:rStyle w:val="DeltaViewInsertion"/>
          <w:i w:val="0"/>
          <w:iCs/>
          <w:caps/>
          <w:szCs w:val="18"/>
        </w:rPr>
        <w:t>Espacio Económico Europeo</w:t>
      </w:r>
      <w:bookmarkEnd w:id="3"/>
      <w:bookmarkEnd w:id="4"/>
    </w:p>
    <w:p w14:paraId="4A282B54" w14:textId="74534D56" w:rsidR="00C6445D" w:rsidRPr="00866C45" w:rsidRDefault="00866C45" w:rsidP="00DF3419">
      <w:pPr>
        <w:pStyle w:val="BodyText"/>
        <w:numPr>
          <w:ilvl w:val="0"/>
          <w:numId w:val="3"/>
        </w:numPr>
        <w:ind w:left="714" w:right="140" w:hanging="357"/>
        <w:jc w:val="both"/>
        <w:rPr>
          <w:sz w:val="16"/>
          <w:szCs w:val="16"/>
        </w:rPr>
      </w:pPr>
      <w:r w:rsidRPr="00866C45">
        <w:rPr>
          <w:szCs w:val="20"/>
        </w:rPr>
        <w:t>Islandia, Liechtenstein y Noruega.</w:t>
      </w:r>
    </w:p>
    <w:p w14:paraId="468E2D1B" w14:textId="33BDCC7C" w:rsidR="00D828C9" w:rsidRPr="00866C45" w:rsidRDefault="00621FF2" w:rsidP="00B77C3C">
      <w:pPr>
        <w:jc w:val="both"/>
        <w:rPr>
          <w:b/>
          <w:i/>
          <w:iCs/>
          <w:sz w:val="16"/>
          <w:szCs w:val="16"/>
        </w:rPr>
      </w:pPr>
      <w:r w:rsidRPr="00866C45">
        <w:rPr>
          <w:rStyle w:val="DeltaViewInsertion"/>
          <w:i w:val="0"/>
          <w:iCs/>
          <w:caps/>
          <w:szCs w:val="18"/>
        </w:rPr>
        <w:t>Beneficiarios</w:t>
      </w:r>
      <w:r w:rsidRPr="00866C45">
        <w:rPr>
          <w:rStyle w:val="DeltaViewInsertion"/>
          <w:i w:val="0"/>
          <w:iCs/>
          <w:szCs w:val="18"/>
        </w:rPr>
        <w:t xml:space="preserve"> del IAP III</w:t>
      </w:r>
      <w:r w:rsidRPr="00866C45">
        <w:rPr>
          <w:b/>
          <w:i/>
          <w:iCs/>
          <w:sz w:val="16"/>
          <w:szCs w:val="16"/>
        </w:rPr>
        <w:t xml:space="preserve"> </w:t>
      </w:r>
    </w:p>
    <w:p w14:paraId="7E73444A" w14:textId="217625A8" w:rsidR="00D828C9" w:rsidRPr="00D77B8F" w:rsidRDefault="00621FF2" w:rsidP="00D828C9">
      <w:pPr>
        <w:pStyle w:val="BodyText"/>
        <w:numPr>
          <w:ilvl w:val="0"/>
          <w:numId w:val="3"/>
        </w:numPr>
        <w:ind w:left="714" w:right="140" w:hanging="357"/>
        <w:jc w:val="both"/>
        <w:rPr>
          <w:noProof/>
          <w:sz w:val="16"/>
          <w:szCs w:val="20"/>
          <w:lang w:val="es-ES"/>
        </w:rPr>
      </w:pPr>
      <w:bookmarkStart w:id="5" w:name="_Toc423007522"/>
      <w:bookmarkStart w:id="6" w:name="_Toc423007704"/>
      <w:r w:rsidRPr="00D77B8F">
        <w:rPr>
          <w:szCs w:val="20"/>
          <w:lang w:val="es-ES"/>
        </w:rPr>
        <w:t>Albania, Bosnia y Herzegovina, Kosovo*, Montenegro, Macedonia del Norte, Serbia y Turquía.</w:t>
      </w:r>
      <w:bookmarkEnd w:id="5"/>
      <w:bookmarkEnd w:id="6"/>
    </w:p>
    <w:p w14:paraId="6F3C26FB" w14:textId="09797A7F" w:rsidR="00D828C9" w:rsidRPr="00D77B8F" w:rsidRDefault="00D828C9" w:rsidP="00D828C9">
      <w:pPr>
        <w:ind w:left="714"/>
        <w:jc w:val="both"/>
        <w:rPr>
          <w:b/>
          <w:sz w:val="16"/>
          <w:szCs w:val="16"/>
          <w:lang w:val="es-ES"/>
        </w:rPr>
      </w:pPr>
      <w:bookmarkStart w:id="7" w:name="_Toc423007523"/>
      <w:bookmarkStart w:id="8" w:name="_Toc423007705"/>
      <w:r w:rsidRPr="00D77B8F">
        <w:rPr>
          <w:noProof/>
          <w:sz w:val="16"/>
          <w:szCs w:val="16"/>
          <w:lang w:val="es-ES"/>
        </w:rPr>
        <w:t xml:space="preserve">* </w:t>
      </w:r>
      <w:bookmarkEnd w:id="7"/>
      <w:bookmarkEnd w:id="8"/>
      <w:r w:rsidR="00621FF2" w:rsidRPr="00D77B8F">
        <w:rPr>
          <w:sz w:val="16"/>
          <w:szCs w:val="16"/>
          <w:lang w:val="es-ES"/>
        </w:rPr>
        <w:t>Esta denominación se entiende sin perjuicio de las posiciones sobre su estatuto y está en consonancia con la Resolución 1244 (1999) del Consejo de Seguridad de las Naciones Unidas y con la Opinión de la Corte Internacional de Justicia sobre la declaración de independencia de Kosovo.</w:t>
      </w:r>
    </w:p>
    <w:p w14:paraId="5AA5D677" w14:textId="38CEA8C0" w:rsidR="00D828C9" w:rsidRPr="00D77B8F" w:rsidRDefault="00866C45" w:rsidP="00B77C3C">
      <w:pPr>
        <w:jc w:val="both"/>
        <w:rPr>
          <w:b/>
          <w:i/>
          <w:iCs/>
          <w:szCs w:val="20"/>
          <w:lang w:val="es-ES"/>
        </w:rPr>
      </w:pPr>
      <w:r w:rsidRPr="00D77B8F">
        <w:rPr>
          <w:rStyle w:val="DeltaViewInsertion"/>
          <w:i w:val="0"/>
          <w:iCs/>
          <w:szCs w:val="20"/>
          <w:lang w:val="es-ES"/>
        </w:rPr>
        <w:t>LISTA DE PAÍSES Y TERRITORIOS EN EL ÁMBITO DE LA VECINDAD</w:t>
      </w:r>
    </w:p>
    <w:p w14:paraId="7E440002" w14:textId="38CF4F1B" w:rsidR="00D828C9" w:rsidRPr="00D77B8F" w:rsidRDefault="00866C45" w:rsidP="00D828C9">
      <w:pPr>
        <w:pStyle w:val="BodyText"/>
        <w:numPr>
          <w:ilvl w:val="0"/>
          <w:numId w:val="3"/>
        </w:numPr>
        <w:ind w:left="714" w:right="140" w:hanging="357"/>
        <w:jc w:val="both"/>
        <w:rPr>
          <w:b/>
          <w:szCs w:val="20"/>
          <w:lang w:val="es-ES"/>
        </w:rPr>
      </w:pPr>
      <w:bookmarkStart w:id="9" w:name="_Toc423007532"/>
      <w:bookmarkStart w:id="10" w:name="_Toc423007714"/>
      <w:r w:rsidRPr="00D77B8F">
        <w:rPr>
          <w:szCs w:val="20"/>
          <w:lang w:val="es-ES"/>
        </w:rPr>
        <w:t>Argelia, Armenia, Azerbaiyán, Bielorrusia, Egipto, Georgia, Israel, Jordania, Líbano, Libia, Marruecos, Moldavia, Palestina, Siria, Túnez y Ucrania.</w:t>
      </w:r>
      <w:bookmarkEnd w:id="9"/>
      <w:bookmarkEnd w:id="10"/>
    </w:p>
    <w:p w14:paraId="1CE55C46" w14:textId="3EBB3B5F" w:rsidR="00D828C9" w:rsidRPr="00D77B8F" w:rsidRDefault="003747E9" w:rsidP="00B77C3C">
      <w:pPr>
        <w:jc w:val="both"/>
        <w:rPr>
          <w:rFonts w:cs="Arial"/>
          <w:b/>
          <w:szCs w:val="20"/>
          <w:lang w:val="es-ES"/>
        </w:rPr>
      </w:pPr>
      <w:r w:rsidRPr="00D77B8F">
        <w:rPr>
          <w:b/>
          <w:caps/>
          <w:color w:val="000000"/>
          <w:szCs w:val="18"/>
          <w:lang w:val="es-ES"/>
        </w:rPr>
        <w:t>Países en desarrollo</w:t>
      </w:r>
      <w:r w:rsidR="00D828C9" w:rsidRPr="00D77B8F">
        <w:rPr>
          <w:rFonts w:cs="Arial"/>
          <w:b/>
          <w:szCs w:val="20"/>
          <w:lang w:val="es-ES"/>
        </w:rPr>
        <w:t xml:space="preserve"> </w:t>
      </w:r>
      <w:r w:rsidR="004E61F9">
        <w:rPr>
          <w:rFonts w:cs="Arial"/>
          <w:b/>
          <w:szCs w:val="20"/>
          <w:lang w:val="es-ES"/>
        </w:rPr>
        <w:t>QUE NO SON</w:t>
      </w:r>
      <w:r w:rsidR="00D828C9" w:rsidRPr="00D77B8F">
        <w:rPr>
          <w:rFonts w:cs="Arial"/>
          <w:b/>
          <w:szCs w:val="20"/>
          <w:lang w:val="es-ES"/>
        </w:rPr>
        <w:t xml:space="preserve"> </w:t>
      </w:r>
      <w:r w:rsidRPr="00D77B8F">
        <w:rPr>
          <w:b/>
          <w:caps/>
          <w:color w:val="000000"/>
          <w:szCs w:val="18"/>
          <w:lang w:val="es-ES"/>
        </w:rPr>
        <w:t>miembros del G-20</w:t>
      </w:r>
    </w:p>
    <w:p w14:paraId="0BBCFA9C" w14:textId="25C13C04" w:rsidR="007D6D64" w:rsidRPr="00D77B8F" w:rsidRDefault="00720D26" w:rsidP="007D6D64">
      <w:pPr>
        <w:pStyle w:val="BodyText"/>
        <w:numPr>
          <w:ilvl w:val="0"/>
          <w:numId w:val="3"/>
        </w:numPr>
        <w:ind w:left="714" w:right="140" w:hanging="357"/>
        <w:jc w:val="both"/>
        <w:rPr>
          <w:noProof/>
          <w:szCs w:val="20"/>
          <w:lang w:val="es-ES"/>
        </w:rPr>
      </w:pPr>
      <w:bookmarkStart w:id="11" w:name="_Toc423007495"/>
      <w:bookmarkStart w:id="12" w:name="_Toc423007677"/>
      <w:r w:rsidRPr="00D77B8F">
        <w:rPr>
          <w:rStyle w:val="DeltaViewInsertion"/>
          <w:i w:val="0"/>
          <w:iCs/>
          <w:caps/>
          <w:szCs w:val="20"/>
          <w:lang w:val="es-ES"/>
        </w:rPr>
        <w:t>Países menos avanzados</w:t>
      </w:r>
      <w:r w:rsidR="007D6D64" w:rsidRPr="00D77B8F">
        <w:rPr>
          <w:b/>
          <w:noProof/>
          <w:szCs w:val="20"/>
          <w:lang w:val="es-ES"/>
        </w:rPr>
        <w:t>:</w:t>
      </w:r>
      <w:bookmarkStart w:id="13" w:name="_Toc423007496"/>
      <w:bookmarkStart w:id="14" w:name="_Toc423007678"/>
      <w:bookmarkEnd w:id="11"/>
      <w:bookmarkEnd w:id="12"/>
      <w:r w:rsidR="007D6D64" w:rsidRPr="00D77B8F">
        <w:rPr>
          <w:noProof/>
          <w:szCs w:val="20"/>
          <w:lang w:val="es-ES"/>
        </w:rPr>
        <w:t xml:space="preserve"> </w:t>
      </w:r>
      <w:r w:rsidRPr="00D77B8F">
        <w:rPr>
          <w:szCs w:val="20"/>
          <w:lang w:val="es-ES"/>
        </w:rPr>
        <w:t>Afganistán, Angola, Bangladés, Benín, Burkina Faso, Burundi, Camboya, Chad, Comoras, Congo (Kinsasa), Eritrea, Etiopía, Gambia, Guinea, Guinea-Bisáu, Haití, Islas Salomón, Kiribati, Laos, Lesoto, Liberia, Madagascar, Malaui, Mali, Mauritania, Mozambique, Myanmar/Birmania, Nepal, Níger, República Centroafricana, Ruanda, Santo Tomé y Príncipe, Senegal, Sierra Leona, Somalia, Sudán, Sudán del Sur, Tanzania, Timor Oriental, Togo, Tuvalu, Uganda, Yemen, Yibuti y Zambia</w:t>
      </w:r>
    </w:p>
    <w:bookmarkEnd w:id="13"/>
    <w:bookmarkEnd w:id="14"/>
    <w:p w14:paraId="626BF24F" w14:textId="3D213609" w:rsidR="007D6D64" w:rsidRPr="004E61F9" w:rsidRDefault="004E61F9" w:rsidP="007D6D64">
      <w:pPr>
        <w:pStyle w:val="ListParagraph"/>
        <w:numPr>
          <w:ilvl w:val="0"/>
          <w:numId w:val="3"/>
        </w:numPr>
        <w:rPr>
          <w:noProof/>
          <w:szCs w:val="20"/>
          <w:lang w:val="es-ES"/>
        </w:rPr>
      </w:pPr>
      <w:r w:rsidRPr="004E61F9">
        <w:rPr>
          <w:b/>
          <w:noProof/>
          <w:szCs w:val="20"/>
          <w:lang w:val="es-ES"/>
        </w:rPr>
        <w:lastRenderedPageBreak/>
        <w:t>OTROS PAÍSES DE BAJOS INGRESOS:</w:t>
      </w:r>
      <w:r w:rsidR="007D6D64" w:rsidRPr="004E61F9">
        <w:rPr>
          <w:color w:val="000000"/>
          <w:szCs w:val="20"/>
          <w:lang w:val="es-ES" w:eastAsia="en-GB"/>
        </w:rPr>
        <w:t xml:space="preserve"> </w:t>
      </w:r>
      <w:r w:rsidRPr="004E61F9">
        <w:rPr>
          <w:color w:val="000000" w:themeColor="text1"/>
          <w:lang w:val="es-ES" w:eastAsia="en-GB"/>
        </w:rPr>
        <w:t>República Árabe Siria,</w:t>
      </w:r>
      <w:r w:rsidR="00B55C64" w:rsidRPr="004E61F9">
        <w:rPr>
          <w:color w:val="000000" w:themeColor="text1"/>
          <w:lang w:val="es-ES" w:eastAsia="en-GB"/>
        </w:rPr>
        <w:t xml:space="preserve"> </w:t>
      </w:r>
      <w:r w:rsidRPr="004E61F9">
        <w:rPr>
          <w:color w:val="000000" w:themeColor="text1"/>
          <w:lang w:val="es-ES" w:eastAsia="en-GB"/>
        </w:rPr>
        <w:t>República Popular Democrática de Corea</w:t>
      </w:r>
    </w:p>
    <w:p w14:paraId="623BBBBB" w14:textId="5F387336" w:rsidR="007D6D64" w:rsidRPr="00D77B8F" w:rsidRDefault="00720D26" w:rsidP="007D6D64">
      <w:pPr>
        <w:pStyle w:val="ListParagraph"/>
        <w:numPr>
          <w:ilvl w:val="0"/>
          <w:numId w:val="3"/>
        </w:numPr>
        <w:jc w:val="both"/>
        <w:rPr>
          <w:noProof/>
          <w:szCs w:val="20"/>
          <w:lang w:val="es-ES"/>
        </w:rPr>
      </w:pPr>
      <w:bookmarkStart w:id="15" w:name="_Toc423007497"/>
      <w:bookmarkStart w:id="16" w:name="_Toc423007679"/>
      <w:r w:rsidRPr="00D77B8F">
        <w:rPr>
          <w:b/>
          <w:caps/>
          <w:color w:val="000000"/>
          <w:szCs w:val="20"/>
          <w:lang w:val="es-ES"/>
        </w:rPr>
        <w:t>Países y territorios de renta media-baja</w:t>
      </w:r>
      <w:r w:rsidR="007D6D64" w:rsidRPr="00D77B8F">
        <w:rPr>
          <w:b/>
          <w:noProof/>
          <w:szCs w:val="20"/>
          <w:lang w:val="es-ES"/>
        </w:rPr>
        <w:t xml:space="preserve">: </w:t>
      </w:r>
      <w:bookmarkEnd w:id="15"/>
      <w:bookmarkEnd w:id="16"/>
      <w:r w:rsidR="003D13C9" w:rsidRPr="00D77B8F">
        <w:rPr>
          <w:color w:val="000000" w:themeColor="text1"/>
          <w:sz w:val="16"/>
          <w:szCs w:val="18"/>
          <w:lang w:val="es-ES" w:eastAsia="en-GB"/>
        </w:rPr>
        <w:t xml:space="preserve"> </w:t>
      </w:r>
      <w:r w:rsidRPr="00D77B8F">
        <w:rPr>
          <w:szCs w:val="18"/>
          <w:lang w:val="es-ES"/>
        </w:rPr>
        <w:t>Argelia, Bután, Bolivia, Cabo Verde, Camerún, Congo (Brazzaville), Costa de Marfil, Egipto, Esuatini, Filipinas, Ghana, Honduras, India, Irán, Jordania, Kenia, Kirguistán, Líbano, Marruecos, Micronesia, Mongolia, Nicaragua, Nigeria, Pakistán, Papúa Nueva Guinea, Samoa, Sri Lanka, Tayikistán, Tokelau, Túnez, Ucrania, Uzbekistán, Vanuatu, Vietnam y Zimbabue</w:t>
      </w:r>
    </w:p>
    <w:p w14:paraId="6E230470" w14:textId="77777777" w:rsidR="004E61F9" w:rsidRPr="004E61F9" w:rsidRDefault="00720D26" w:rsidP="004E61F9">
      <w:pPr>
        <w:pStyle w:val="ListParagraph"/>
        <w:numPr>
          <w:ilvl w:val="0"/>
          <w:numId w:val="3"/>
        </w:numPr>
        <w:jc w:val="both"/>
        <w:rPr>
          <w:color w:val="000000"/>
          <w:szCs w:val="20"/>
          <w:lang w:val="es-ES" w:eastAsia="en-GB"/>
        </w:rPr>
      </w:pPr>
      <w:bookmarkStart w:id="17" w:name="_Toc423007498"/>
      <w:bookmarkStart w:id="18" w:name="_Toc423007680"/>
      <w:r w:rsidRPr="00D77B8F">
        <w:rPr>
          <w:b/>
          <w:caps/>
          <w:color w:val="000000"/>
          <w:szCs w:val="20"/>
          <w:lang w:val="es-ES"/>
        </w:rPr>
        <w:t>Países y territorios de renta media-alta</w:t>
      </w:r>
      <w:r w:rsidR="007D6D64" w:rsidRPr="00D77B8F">
        <w:rPr>
          <w:b/>
          <w:noProof/>
          <w:szCs w:val="20"/>
          <w:lang w:val="es-ES"/>
        </w:rPr>
        <w:t>:</w:t>
      </w:r>
      <w:bookmarkEnd w:id="17"/>
      <w:bookmarkEnd w:id="18"/>
      <w:r w:rsidR="007D6D64" w:rsidRPr="00D77B8F">
        <w:rPr>
          <w:noProof/>
          <w:sz w:val="16"/>
          <w:szCs w:val="16"/>
          <w:lang w:val="es-ES"/>
        </w:rPr>
        <w:t xml:space="preserve"> </w:t>
      </w:r>
      <w:r w:rsidRPr="00D77B8F">
        <w:rPr>
          <w:color w:val="000000"/>
          <w:szCs w:val="18"/>
          <w:lang w:val="es-ES"/>
        </w:rPr>
        <w:t>Albania, Argentina, Armenia, Azerbaiyán, Belice, Bielorrusia, Bosnia y Herzegovina, Botsuana, Brasil, China, Colombia, Costa Rica, Cuba, Dominica, Ecuador, El Salvador, Fiyi, Gabón, Georgia, Granada, Guatemala, Guinea Ecuatorial, Guyana, Indonesia, Irak, Islas Marshall, Jamaica, Jordania, Kazajistán, Kosovo*, Libia, Macedonia del Norte, Malasia, Maldivas, Mauricio, México, Moldavia, Montenegro, Montserrat, Namibia, Nauru, Niue, Palestina</w:t>
      </w:r>
      <w:r w:rsidRPr="00D77B8F">
        <w:rPr>
          <w:szCs w:val="18"/>
          <w:lang w:val="es-ES"/>
        </w:rPr>
        <w:t>**</w:t>
      </w:r>
      <w:r w:rsidRPr="00D77B8F">
        <w:rPr>
          <w:color w:val="000000"/>
          <w:szCs w:val="18"/>
          <w:lang w:val="es-ES"/>
        </w:rPr>
        <w:t>, Panamá, Paraguay, Perú, República Dominicana, Santa Helena, Santa Lucía, San Vicente y las Granadinas, Serbia, Sudáfrica, Surinam, Tailandia, Tonga, Turkmenistán, Turquía, Venezuela, Wallis y Futuna</w:t>
      </w:r>
      <w:r w:rsidRPr="00D77B8F">
        <w:rPr>
          <w:color w:val="000000"/>
          <w:szCs w:val="18"/>
          <w:lang w:val="es-ES"/>
        </w:rPr>
        <w:br/>
      </w:r>
      <w:r w:rsidRPr="00D77B8F">
        <w:rPr>
          <w:color w:val="000000"/>
          <w:szCs w:val="18"/>
          <w:lang w:val="es-ES"/>
        </w:rPr>
        <w:br/>
      </w:r>
      <w:r w:rsidRPr="00D77B8F">
        <w:rPr>
          <w:sz w:val="16"/>
          <w:szCs w:val="16"/>
          <w:lang w:val="es-ES"/>
        </w:rPr>
        <w:t>* Esta designación se entiende sin perjuicio de las posiciones sobre el estatus de este país, y se ajusta a la Resolución 1244/1999 del Consejo de Seguridad de las Naciones Unidas y al Dictamen de la Corte Internacional de Justicia sobre la declaración de independencia de Kosovo</w:t>
      </w:r>
      <w:r w:rsidRPr="00D77B8F">
        <w:rPr>
          <w:sz w:val="16"/>
          <w:szCs w:val="16"/>
          <w:lang w:val="es-ES"/>
        </w:rPr>
        <w:br/>
      </w:r>
      <w:r w:rsidRPr="00D77B8F">
        <w:rPr>
          <w:sz w:val="16"/>
          <w:szCs w:val="16"/>
          <w:lang w:val="es-ES"/>
        </w:rPr>
        <w:br/>
      </w:r>
      <w:r w:rsidRPr="004E61F9">
        <w:rPr>
          <w:color w:val="000000"/>
          <w:sz w:val="16"/>
          <w:szCs w:val="16"/>
          <w:lang w:val="es-ES" w:eastAsia="en-GB"/>
        </w:rPr>
        <w:t xml:space="preserve">** </w:t>
      </w:r>
      <w:r w:rsidRPr="004E61F9">
        <w:rPr>
          <w:sz w:val="16"/>
          <w:szCs w:val="16"/>
          <w:lang w:val="es-ES"/>
        </w:rPr>
        <w:t>Esta designación no implica ningún reconocimiento de Palestina como Estado y se entiende sin perjuicio de las posiciones sobre el reconocimiento de Palestina como Estado</w:t>
      </w:r>
    </w:p>
    <w:p w14:paraId="367AC20F" w14:textId="7B0AF341" w:rsidR="00774C69" w:rsidRPr="004E61F9" w:rsidRDefault="004E61F9" w:rsidP="004E61F9">
      <w:pPr>
        <w:pStyle w:val="ListParagraph"/>
        <w:numPr>
          <w:ilvl w:val="0"/>
          <w:numId w:val="3"/>
        </w:numPr>
        <w:jc w:val="both"/>
        <w:rPr>
          <w:color w:val="000000"/>
          <w:szCs w:val="20"/>
          <w:lang w:val="es-ES" w:eastAsia="en-GB"/>
        </w:rPr>
      </w:pPr>
      <w:r w:rsidRPr="004E61F9">
        <w:rPr>
          <w:rFonts w:eastAsia="Verdana" w:cs="Verdana"/>
          <w:b/>
          <w:bCs/>
          <w:color w:val="333333"/>
          <w:szCs w:val="20"/>
          <w:lang w:val="es-ES"/>
        </w:rPr>
        <w:t>PAÍSES POBRES MUY ENDEUDADOS</w:t>
      </w:r>
      <w:r w:rsidR="00774C69" w:rsidRPr="004E61F9">
        <w:rPr>
          <w:rFonts w:eastAsia="Verdana" w:cs="Verdana"/>
          <w:b/>
          <w:bCs/>
          <w:color w:val="333333"/>
          <w:szCs w:val="20"/>
          <w:lang w:val="es-ES"/>
        </w:rPr>
        <w:t>:</w:t>
      </w:r>
      <w:r w:rsidR="00774C69" w:rsidRPr="004E61F9">
        <w:rPr>
          <w:rFonts w:eastAsia="Verdana" w:cs="Verdana"/>
          <w:color w:val="333333"/>
          <w:szCs w:val="20"/>
          <w:lang w:val="es-ES"/>
        </w:rPr>
        <w:t xml:space="preserve"> </w:t>
      </w:r>
      <w:r w:rsidR="00D77B8F" w:rsidRPr="004E61F9">
        <w:rPr>
          <w:rFonts w:eastAsia="Verdana" w:cs="Verdana"/>
          <w:color w:val="333333"/>
          <w:szCs w:val="20"/>
          <w:lang w:val="es-ES"/>
        </w:rPr>
        <w:t>Afganistán, Benín, Bolivia, Burkina Faso, Burundi, Camerún, Chad, Comoras, Costa de Marfil, Eritrea, Etiopía, Gambia, Ghana, Guinea, Guinea-Bisáu, Guyana, Haití, Honduras, Liberia, Madagascar, Malaui, Mali, Mauritania, Mozambique, Nicaragua, Níger, República Centroafricana, República del Congo, República Democrática del Congo, Ruanda, Santo Tomé y Príncipe, Senegal, Sierra Leona, Somalia, Sudán, Tanzania, Togo, Uganda, Zambia,</w:t>
      </w:r>
    </w:p>
    <w:p w14:paraId="747FD89F" w14:textId="0C5E78D2" w:rsidR="00D828C9" w:rsidRPr="00D77B8F" w:rsidRDefault="00532904" w:rsidP="00B77C3C">
      <w:pPr>
        <w:jc w:val="both"/>
        <w:rPr>
          <w:rFonts w:cs="Arial"/>
          <w:b/>
          <w:sz w:val="16"/>
          <w:szCs w:val="16"/>
          <w:lang w:val="es-ES"/>
        </w:rPr>
      </w:pPr>
      <w:r w:rsidRPr="00D77B8F">
        <w:rPr>
          <w:b/>
          <w:caps/>
          <w:color w:val="000000"/>
          <w:szCs w:val="18"/>
          <w:lang w:val="es-ES"/>
        </w:rPr>
        <w:t>Países en desarrollo miembros del G-20</w:t>
      </w:r>
    </w:p>
    <w:p w14:paraId="62957ECB" w14:textId="3E59F97C" w:rsidR="00D828C9" w:rsidRPr="00532904" w:rsidRDefault="00532904" w:rsidP="007D6D64">
      <w:pPr>
        <w:pStyle w:val="ListParagraph"/>
        <w:numPr>
          <w:ilvl w:val="0"/>
          <w:numId w:val="3"/>
        </w:numPr>
        <w:jc w:val="both"/>
        <w:rPr>
          <w:b/>
          <w:sz w:val="16"/>
          <w:szCs w:val="16"/>
          <w:lang w:val="es-CU"/>
        </w:rPr>
      </w:pPr>
      <w:r w:rsidRPr="00D77B8F">
        <w:rPr>
          <w:szCs w:val="18"/>
          <w:lang w:val="es-ES"/>
        </w:rPr>
        <w:t>Argentina, Brasil, China, India, Indonesia, México, Sudáfrica y Turquía</w:t>
      </w:r>
    </w:p>
    <w:p w14:paraId="14619276" w14:textId="64650D3D" w:rsidR="00D828C9" w:rsidRPr="003747E9" w:rsidRDefault="003747E9" w:rsidP="00B77C3C">
      <w:pPr>
        <w:jc w:val="both"/>
        <w:rPr>
          <w:b/>
          <w:sz w:val="16"/>
          <w:szCs w:val="16"/>
          <w:lang w:val="fr-BE"/>
        </w:rPr>
      </w:pPr>
      <w:r w:rsidRPr="003747E9">
        <w:rPr>
          <w:b/>
          <w:caps/>
          <w:color w:val="000000"/>
          <w:szCs w:val="18"/>
          <w:lang w:val="fr-BE"/>
        </w:rPr>
        <w:t>Estados miembros de la OCDE</w:t>
      </w:r>
    </w:p>
    <w:p w14:paraId="27595CDB" w14:textId="367170C7" w:rsidR="007D6D64" w:rsidRPr="00D77B8F" w:rsidRDefault="003747E9" w:rsidP="007D6D64">
      <w:pPr>
        <w:pStyle w:val="ListParagraph"/>
        <w:numPr>
          <w:ilvl w:val="0"/>
          <w:numId w:val="3"/>
        </w:numPr>
        <w:jc w:val="both"/>
        <w:rPr>
          <w:sz w:val="16"/>
          <w:szCs w:val="16"/>
          <w:lang w:val="es-ES"/>
        </w:rPr>
      </w:pPr>
      <w:r w:rsidRPr="00D77B8F">
        <w:rPr>
          <w:szCs w:val="18"/>
          <w:lang w:val="es-ES"/>
        </w:rPr>
        <w:t>Alemania, Austria, Bélgica, Chequia, Dinamarca, Eslovaquia, Eslovenia, España, Estonia, Finlandia, Francia, Grecia, Hungría, Italia, Irlanda, Letonia, Lituania, Luxemburgo, Países Bajos, Polonia, Portugal y Suecia</w:t>
      </w:r>
    </w:p>
    <w:p w14:paraId="3AECF054" w14:textId="22D8B972" w:rsidR="00D828C9" w:rsidRPr="00D77B8F" w:rsidRDefault="003747E9" w:rsidP="007D6D64">
      <w:pPr>
        <w:pStyle w:val="ListParagraph"/>
        <w:numPr>
          <w:ilvl w:val="0"/>
          <w:numId w:val="3"/>
        </w:numPr>
        <w:jc w:val="both"/>
        <w:rPr>
          <w:bCs/>
          <w:sz w:val="16"/>
          <w:szCs w:val="16"/>
          <w:lang w:val="es-ES"/>
        </w:rPr>
      </w:pPr>
      <w:r w:rsidRPr="00D77B8F">
        <w:rPr>
          <w:szCs w:val="18"/>
          <w:lang w:val="es-ES"/>
        </w:rPr>
        <w:t>Australia, Canadá, Chile, Colombia, Corea, Costa Rica, Estados Unidos de América, Islandia, Israel, Japón, México, Noruega, Nueva Zelanda, Reino Unido, Suiza y Turquía</w:t>
      </w:r>
    </w:p>
    <w:p w14:paraId="5B7ACD44" w14:textId="138121BC" w:rsidR="00D828C9" w:rsidRDefault="004E61F9" w:rsidP="004E61F9">
      <w:pPr>
        <w:jc w:val="both"/>
        <w:rPr>
          <w:szCs w:val="20"/>
          <w:highlight w:val="yellow"/>
          <w:lang w:val="es-ES"/>
        </w:rPr>
      </w:pPr>
      <w:r w:rsidRPr="004E61F9">
        <w:rPr>
          <w:rFonts w:cs="Arial"/>
          <w:b/>
          <w:lang w:val="es-ES"/>
        </w:rPr>
        <w:t>Países para los cuales la Comisión ha otorgado acceso recíproco</w:t>
      </w:r>
    </w:p>
    <w:p w14:paraId="0A77B663" w14:textId="25F89809" w:rsidR="00A77E4C" w:rsidRPr="004E61F9" w:rsidRDefault="004E61F9" w:rsidP="004E61F9">
      <w:pPr>
        <w:pStyle w:val="ListParagraph"/>
        <w:numPr>
          <w:ilvl w:val="0"/>
          <w:numId w:val="10"/>
        </w:numPr>
        <w:ind w:right="221"/>
        <w:jc w:val="both"/>
        <w:rPr>
          <w:szCs w:val="20"/>
          <w:lang w:val="en-GB"/>
        </w:rPr>
      </w:pPr>
      <w:r w:rsidRPr="004E61F9">
        <w:rPr>
          <w:szCs w:val="20"/>
          <w:lang w:val="en-GB"/>
        </w:rPr>
        <w:t>Actualmente, ninguno</w:t>
      </w:r>
    </w:p>
    <w:p w14:paraId="758E55D8" w14:textId="77777777" w:rsidR="003B7948" w:rsidRDefault="008C1B48" w:rsidP="003B7948">
      <w:pPr>
        <w:jc w:val="both"/>
        <w:rPr>
          <w:rFonts w:cs="Arial"/>
          <w:i/>
          <w:sz w:val="18"/>
          <w:szCs w:val="20"/>
          <w:lang w:val="es-ES"/>
        </w:rPr>
      </w:pPr>
      <w:r w:rsidRPr="0063406E">
        <w:rPr>
          <w:rFonts w:cs="Arial"/>
          <w:noProof/>
          <w:color w:val="7F7F7F"/>
          <w:sz w:val="16"/>
          <w:szCs w:val="21"/>
          <w:lang w:val="en-GB" w:eastAsia="en-GB"/>
        </w:rPr>
        <w:drawing>
          <wp:inline distT="0" distB="0" distL="0" distR="0" wp14:anchorId="2A6FAC1D" wp14:editId="192A8D2F">
            <wp:extent cx="191135" cy="191135"/>
            <wp:effectExtent l="0" t="0" r="0" b="0"/>
            <wp:docPr id="1" name="Picture 1"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3B7948">
        <w:rPr>
          <w:rFonts w:cs="Arial"/>
          <w:sz w:val="18"/>
          <w:szCs w:val="20"/>
          <w:lang w:val="es-ES"/>
        </w:rPr>
        <w:t xml:space="preserve"> </w:t>
      </w:r>
      <w:r w:rsidR="003B7948" w:rsidRPr="003B7948">
        <w:rPr>
          <w:rFonts w:cs="Arial"/>
          <w:i/>
          <w:sz w:val="18"/>
          <w:szCs w:val="20"/>
          <w:lang w:val="es-ES"/>
        </w:rPr>
        <w:t>Tenga en cuenta que las entidades sujetas a medidas restrictivas de la UE en virtud del Artículo 29 del Tratado de la Unión Europea (TUE) y del Artículo 215 del Tratado de Funcionamiento de la UE (TFUE) NO son elegibles para participar en ninguna capacidad (incluyendo como beneficiarios, entidades afiliadas, socios asociados, terceros que brinden contribuciones en especie, subcontratistas o receptores de apoyo financiero a terceros, si los hay).</w:t>
      </w:r>
    </w:p>
    <w:p w14:paraId="158E0974" w14:textId="18A1B275" w:rsidR="007D6D64" w:rsidRPr="003B7948" w:rsidRDefault="007D6D64" w:rsidP="003B7948">
      <w:pPr>
        <w:jc w:val="both"/>
        <w:rPr>
          <w:i/>
          <w:sz w:val="18"/>
          <w:szCs w:val="20"/>
          <w:lang w:val="es-ES"/>
        </w:rPr>
      </w:pPr>
      <w:r w:rsidRPr="0063406E">
        <w:rPr>
          <w:rFonts w:cs="Arial"/>
          <w:noProof/>
          <w:color w:val="7F7F7F"/>
          <w:sz w:val="16"/>
          <w:szCs w:val="21"/>
          <w:lang w:val="en-GB" w:eastAsia="en-GB"/>
        </w:rPr>
        <w:drawing>
          <wp:inline distT="0" distB="0" distL="0" distR="0" wp14:anchorId="0F6A36A3" wp14:editId="78BEC6DB">
            <wp:extent cx="191135" cy="191135"/>
            <wp:effectExtent l="0" t="0" r="0" b="0"/>
            <wp:docPr id="4" name="Picture 4"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3B7948">
        <w:rPr>
          <w:i/>
          <w:sz w:val="18"/>
          <w:szCs w:val="20"/>
          <w:lang w:val="es-ES"/>
        </w:rPr>
        <w:t xml:space="preserve"> </w:t>
      </w:r>
      <w:r w:rsidR="003B7948" w:rsidRPr="003B7948">
        <w:rPr>
          <w:i/>
          <w:sz w:val="18"/>
          <w:szCs w:val="20"/>
          <w:lang w:val="es-ES"/>
        </w:rPr>
        <w:t xml:space="preserve">Con respecto a las entidades israelíes, por favor siga las Directrices sobre la elegibilidad de las </w:t>
      </w:r>
      <w:r w:rsidR="003B7948" w:rsidRPr="003B7948">
        <w:rPr>
          <w:i/>
          <w:sz w:val="18"/>
          <w:szCs w:val="20"/>
          <w:lang w:val="es-ES"/>
        </w:rPr>
        <w:lastRenderedPageBreak/>
        <w:t>entidades israelíes y sus actividades en los territorios ocupados por Israel desde junio de 1967 para subvenciones, premios e instrumentos financieros financiados por la UE desde 2014 en adelante.</w:t>
      </w:r>
    </w:p>
    <w:p w14:paraId="05AFDDB0" w14:textId="77777777" w:rsidR="00924EBB" w:rsidRPr="003B7948" w:rsidRDefault="00924EBB" w:rsidP="00924EBB">
      <w:pPr>
        <w:rPr>
          <w:rFonts w:eastAsia="Calibri"/>
          <w:lang w:val="es-ES"/>
        </w:rPr>
      </w:pPr>
    </w:p>
    <w:p w14:paraId="444AA710" w14:textId="77777777" w:rsidR="00151D5D" w:rsidRPr="003B7948" w:rsidRDefault="00151D5D" w:rsidP="00924EBB">
      <w:pPr>
        <w:rPr>
          <w:rFonts w:eastAsia="Calibri"/>
          <w:lang w:val="es-ES"/>
        </w:rPr>
      </w:pPr>
    </w:p>
    <w:p w14:paraId="09C38565" w14:textId="77777777" w:rsidR="00151D5D" w:rsidRPr="003B7948" w:rsidRDefault="00151D5D" w:rsidP="00924EBB">
      <w:pPr>
        <w:rPr>
          <w:rFonts w:eastAsia="Calibri"/>
          <w:lang w:val="es-ES"/>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46"/>
        <w:gridCol w:w="1828"/>
        <w:gridCol w:w="5481"/>
      </w:tblGrid>
      <w:tr w:rsidR="00924EBB" w:rsidRPr="00E4224A" w14:paraId="56ADE28C" w14:textId="77777777" w:rsidTr="00667BB8">
        <w:trPr>
          <w:jc w:val="center"/>
        </w:trPr>
        <w:tc>
          <w:tcPr>
            <w:tcW w:w="8755" w:type="dxa"/>
            <w:gridSpan w:val="3"/>
            <w:hideMark/>
          </w:tcPr>
          <w:p w14:paraId="1578CF1A" w14:textId="3000E9F3" w:rsidR="00924EBB" w:rsidRPr="00E4224A" w:rsidRDefault="003B7948" w:rsidP="00667BB8">
            <w:pPr>
              <w:spacing w:after="0" w:line="276" w:lineRule="auto"/>
              <w:jc w:val="center"/>
              <w:rPr>
                <w:rFonts w:cs="Arial"/>
                <w:b/>
                <w:color w:val="4AA55B"/>
                <w:sz w:val="18"/>
                <w:szCs w:val="18"/>
                <w:lang w:val="hu-HU" w:eastAsia="ko-KR" w:bidi="ne-NP"/>
              </w:rPr>
            </w:pPr>
            <w:r w:rsidRPr="003B7948">
              <w:rPr>
                <w:rFonts w:cs="Arial"/>
                <w:b/>
                <w:color w:val="4AA55B"/>
                <w:sz w:val="18"/>
                <w:szCs w:val="18"/>
                <w:lang w:val="hu-HU" w:eastAsia="ko-KR" w:bidi="ne-NP"/>
              </w:rPr>
              <w:t>HISTORIAL DE CAMBIOS</w:t>
            </w:r>
          </w:p>
        </w:tc>
      </w:tr>
      <w:tr w:rsidR="00924EBB" w:rsidRPr="00E4224A" w14:paraId="3681CFCF" w14:textId="77777777" w:rsidTr="00667BB8">
        <w:trPr>
          <w:jc w:val="center"/>
        </w:trPr>
        <w:tc>
          <w:tcPr>
            <w:tcW w:w="1446" w:type="dxa"/>
            <w:hideMark/>
          </w:tcPr>
          <w:p w14:paraId="67D90759" w14:textId="6FF51FFC" w:rsidR="00924EBB" w:rsidRPr="00E4224A" w:rsidRDefault="003B7948" w:rsidP="00667BB8">
            <w:pPr>
              <w:spacing w:after="0" w:line="276" w:lineRule="auto"/>
              <w:jc w:val="center"/>
              <w:rPr>
                <w:rFonts w:cs="Arial"/>
                <w:color w:val="4AA55B"/>
                <w:sz w:val="18"/>
                <w:szCs w:val="18"/>
                <w:lang w:val="hu-HU" w:eastAsia="ko-KR" w:bidi="ne-NP"/>
              </w:rPr>
            </w:pPr>
            <w:r w:rsidRPr="003B7948">
              <w:rPr>
                <w:rFonts w:cs="Arial"/>
                <w:color w:val="4AA55B"/>
                <w:sz w:val="18"/>
                <w:szCs w:val="18"/>
                <w:lang w:val="hu-HU" w:eastAsia="ko-KR" w:bidi="ne-NP"/>
              </w:rPr>
              <w:t>VERSIÓN</w:t>
            </w:r>
          </w:p>
        </w:tc>
        <w:tc>
          <w:tcPr>
            <w:tcW w:w="1828" w:type="dxa"/>
            <w:hideMark/>
          </w:tcPr>
          <w:p w14:paraId="0BFBD028" w14:textId="1F9C8969" w:rsidR="00924EBB" w:rsidRPr="00E4224A" w:rsidRDefault="003B7948" w:rsidP="00667BB8">
            <w:pPr>
              <w:spacing w:after="0" w:line="276" w:lineRule="auto"/>
              <w:jc w:val="center"/>
              <w:rPr>
                <w:rFonts w:cs="Arial"/>
                <w:color w:val="4AA55B"/>
                <w:sz w:val="18"/>
                <w:szCs w:val="18"/>
                <w:lang w:val="hu-HU" w:eastAsia="ko-KR" w:bidi="ne-NP"/>
              </w:rPr>
            </w:pPr>
            <w:r w:rsidRPr="003B7948">
              <w:rPr>
                <w:rFonts w:cs="Arial"/>
                <w:color w:val="4AA55B"/>
                <w:sz w:val="18"/>
                <w:szCs w:val="18"/>
                <w:lang w:eastAsia="ko-KR"/>
              </w:rPr>
              <w:t>FECHA DE PUBLICACIÓN</w:t>
            </w:r>
          </w:p>
        </w:tc>
        <w:tc>
          <w:tcPr>
            <w:tcW w:w="5481" w:type="dxa"/>
            <w:hideMark/>
          </w:tcPr>
          <w:p w14:paraId="566D3472" w14:textId="09D27377" w:rsidR="00924EBB" w:rsidRPr="00E4224A" w:rsidRDefault="003B7948" w:rsidP="00667BB8">
            <w:pPr>
              <w:spacing w:after="0" w:line="276" w:lineRule="auto"/>
              <w:jc w:val="center"/>
              <w:rPr>
                <w:rFonts w:cs="Arial"/>
                <w:color w:val="4AA55B"/>
                <w:sz w:val="18"/>
                <w:szCs w:val="18"/>
                <w:lang w:val="hu-HU" w:eastAsia="ko-KR" w:bidi="ne-NP"/>
              </w:rPr>
            </w:pPr>
            <w:r w:rsidRPr="003B7948">
              <w:rPr>
                <w:rFonts w:cs="Arial"/>
                <w:color w:val="4AA55B"/>
                <w:sz w:val="18"/>
                <w:szCs w:val="18"/>
                <w:lang w:val="hu-HU" w:eastAsia="ko-KR" w:bidi="ne-NP"/>
              </w:rPr>
              <w:t>CAMBIO</w:t>
            </w:r>
          </w:p>
        </w:tc>
      </w:tr>
      <w:tr w:rsidR="00924EBB" w:rsidRPr="003B7948" w14:paraId="4C0A3ACA" w14:textId="77777777" w:rsidTr="00667BB8">
        <w:trPr>
          <w:jc w:val="center"/>
        </w:trPr>
        <w:tc>
          <w:tcPr>
            <w:tcW w:w="1446" w:type="dxa"/>
          </w:tcPr>
          <w:p w14:paraId="2D0DFC3C" w14:textId="77777777" w:rsidR="00924EBB" w:rsidRPr="00E4224A" w:rsidRDefault="00924EBB" w:rsidP="00667BB8">
            <w:pPr>
              <w:spacing w:after="0" w:line="276" w:lineRule="auto"/>
              <w:jc w:val="center"/>
              <w:rPr>
                <w:rFonts w:cs="Arial"/>
                <w:color w:val="4AA55B"/>
                <w:sz w:val="18"/>
                <w:szCs w:val="18"/>
                <w:lang w:val="hu-HU" w:eastAsia="ko-KR" w:bidi="ne-NP"/>
              </w:rPr>
            </w:pPr>
            <w:r w:rsidRPr="00E4224A">
              <w:rPr>
                <w:rFonts w:cs="Arial"/>
                <w:color w:val="4AA55B"/>
                <w:sz w:val="18"/>
                <w:szCs w:val="18"/>
                <w:lang w:val="hu-HU" w:eastAsia="ko-KR" w:bidi="ne-NP"/>
              </w:rPr>
              <w:t>1.0</w:t>
            </w:r>
          </w:p>
        </w:tc>
        <w:tc>
          <w:tcPr>
            <w:tcW w:w="1828" w:type="dxa"/>
          </w:tcPr>
          <w:p w14:paraId="0C9260F1" w14:textId="05F35BF2" w:rsidR="00924EBB" w:rsidRPr="00E4224A" w:rsidRDefault="00370B60" w:rsidP="00FA7BA1">
            <w:pPr>
              <w:spacing w:after="0" w:line="276" w:lineRule="auto"/>
              <w:jc w:val="center"/>
              <w:rPr>
                <w:rFonts w:cs="Arial"/>
                <w:color w:val="4AA55B"/>
                <w:sz w:val="18"/>
                <w:szCs w:val="18"/>
                <w:lang w:val="hu-HU" w:eastAsia="ko-KR" w:bidi="ne-NP"/>
              </w:rPr>
            </w:pPr>
            <w:r>
              <w:rPr>
                <w:rFonts w:cs="Arial"/>
                <w:color w:val="4AA55B"/>
                <w:sz w:val="18"/>
                <w:szCs w:val="18"/>
                <w:lang w:val="hu-HU" w:eastAsia="ko-KR" w:bidi="ne-NP"/>
              </w:rPr>
              <w:t>01</w:t>
            </w:r>
            <w:r w:rsidR="00924EBB">
              <w:rPr>
                <w:rFonts w:cs="Arial"/>
                <w:color w:val="4AA55B"/>
                <w:sz w:val="18"/>
                <w:szCs w:val="18"/>
                <w:lang w:val="hu-HU" w:eastAsia="ko-KR" w:bidi="ne-NP"/>
              </w:rPr>
              <w:t>.</w:t>
            </w:r>
            <w:r w:rsidR="00E2304E">
              <w:rPr>
                <w:rFonts w:cs="Arial"/>
                <w:color w:val="4AA55B"/>
                <w:sz w:val="18"/>
                <w:szCs w:val="18"/>
                <w:lang w:val="hu-HU" w:eastAsia="ko-KR" w:bidi="ne-NP"/>
              </w:rPr>
              <w:t>01</w:t>
            </w:r>
            <w:r w:rsidR="00924EBB" w:rsidRPr="00E4224A">
              <w:rPr>
                <w:rFonts w:cs="Arial"/>
                <w:color w:val="4AA55B"/>
                <w:sz w:val="18"/>
                <w:szCs w:val="18"/>
                <w:lang w:val="hu-HU" w:eastAsia="ko-KR" w:bidi="ne-NP"/>
              </w:rPr>
              <w:t>.20</w:t>
            </w:r>
            <w:r>
              <w:rPr>
                <w:rFonts w:cs="Arial"/>
                <w:color w:val="4AA55B"/>
                <w:sz w:val="18"/>
                <w:szCs w:val="18"/>
                <w:lang w:val="hu-HU" w:eastAsia="ko-KR" w:bidi="ne-NP"/>
              </w:rPr>
              <w:t>2</w:t>
            </w:r>
            <w:r w:rsidR="00E2304E">
              <w:rPr>
                <w:rFonts w:cs="Arial"/>
                <w:color w:val="4AA55B"/>
                <w:sz w:val="18"/>
                <w:szCs w:val="18"/>
                <w:lang w:val="hu-HU" w:eastAsia="ko-KR" w:bidi="ne-NP"/>
              </w:rPr>
              <w:t>5</w:t>
            </w:r>
          </w:p>
        </w:tc>
        <w:tc>
          <w:tcPr>
            <w:tcW w:w="5481" w:type="dxa"/>
          </w:tcPr>
          <w:p w14:paraId="669DBA8A" w14:textId="259054FF" w:rsidR="00924EBB" w:rsidRPr="00E4224A" w:rsidRDefault="003B7948" w:rsidP="00667BB8">
            <w:pPr>
              <w:spacing w:after="0" w:line="276" w:lineRule="auto"/>
              <w:rPr>
                <w:rFonts w:cs="Arial"/>
                <w:color w:val="4AA55B"/>
                <w:sz w:val="18"/>
                <w:szCs w:val="18"/>
                <w:lang w:val="hu-HU" w:eastAsia="ko-KR" w:bidi="ne-NP"/>
              </w:rPr>
            </w:pPr>
            <w:r w:rsidRPr="003B7948">
              <w:rPr>
                <w:rFonts w:cs="Arial"/>
                <w:color w:val="4AA55B"/>
                <w:sz w:val="18"/>
                <w:szCs w:val="18"/>
                <w:lang w:val="hu-HU" w:eastAsia="ko-KR" w:bidi="ne-NP"/>
              </w:rPr>
              <w:t>Versión inicial (nuevo MFF-eGrants)</w:t>
            </w:r>
          </w:p>
        </w:tc>
      </w:tr>
      <w:tr w:rsidR="00924EBB" w:rsidRPr="003B7948" w14:paraId="2FD72D9B" w14:textId="77777777" w:rsidTr="00667BB8">
        <w:trPr>
          <w:jc w:val="center"/>
        </w:trPr>
        <w:tc>
          <w:tcPr>
            <w:tcW w:w="1446" w:type="dxa"/>
          </w:tcPr>
          <w:p w14:paraId="3F7E3E7C" w14:textId="77777777" w:rsidR="00924EBB" w:rsidRPr="00E4224A" w:rsidRDefault="00924EBB" w:rsidP="00667BB8">
            <w:pPr>
              <w:spacing w:after="0" w:line="276" w:lineRule="auto"/>
              <w:jc w:val="center"/>
              <w:rPr>
                <w:rFonts w:cs="Arial"/>
                <w:color w:val="4AA55B"/>
                <w:sz w:val="18"/>
                <w:szCs w:val="18"/>
                <w:lang w:val="hu-HU" w:eastAsia="ko-KR" w:bidi="ne-NP"/>
              </w:rPr>
            </w:pPr>
          </w:p>
        </w:tc>
        <w:tc>
          <w:tcPr>
            <w:tcW w:w="1828" w:type="dxa"/>
          </w:tcPr>
          <w:p w14:paraId="692FF27C" w14:textId="77777777" w:rsidR="00924EBB" w:rsidRPr="00E4224A" w:rsidRDefault="00924EBB" w:rsidP="00667BB8">
            <w:pPr>
              <w:spacing w:after="0" w:line="276" w:lineRule="auto"/>
              <w:jc w:val="center"/>
              <w:rPr>
                <w:rFonts w:cs="Arial"/>
                <w:color w:val="4AA55B"/>
                <w:sz w:val="18"/>
                <w:szCs w:val="18"/>
                <w:lang w:val="hu-HU" w:eastAsia="ko-KR" w:bidi="ne-NP"/>
              </w:rPr>
            </w:pPr>
          </w:p>
        </w:tc>
        <w:tc>
          <w:tcPr>
            <w:tcW w:w="5481" w:type="dxa"/>
          </w:tcPr>
          <w:p w14:paraId="6F767E46" w14:textId="77777777" w:rsidR="00924EBB" w:rsidRPr="00E4224A" w:rsidRDefault="00924EBB" w:rsidP="00667BB8">
            <w:pPr>
              <w:spacing w:after="0" w:line="276" w:lineRule="auto"/>
              <w:rPr>
                <w:rFonts w:cs="Arial"/>
                <w:color w:val="4AA55B"/>
                <w:sz w:val="18"/>
                <w:szCs w:val="18"/>
                <w:lang w:val="hu-HU" w:eastAsia="ko-KR" w:bidi="ne-NP"/>
              </w:rPr>
            </w:pPr>
          </w:p>
        </w:tc>
      </w:tr>
      <w:tr w:rsidR="00924EBB" w:rsidRPr="003B7948" w14:paraId="271DADAD" w14:textId="77777777" w:rsidTr="00667BB8">
        <w:trPr>
          <w:jc w:val="center"/>
        </w:trPr>
        <w:tc>
          <w:tcPr>
            <w:tcW w:w="1446" w:type="dxa"/>
          </w:tcPr>
          <w:p w14:paraId="6CFD559E" w14:textId="77777777" w:rsidR="00924EBB" w:rsidRPr="00E4224A" w:rsidRDefault="00924EBB" w:rsidP="00667BB8">
            <w:pPr>
              <w:spacing w:after="0" w:line="276" w:lineRule="auto"/>
              <w:jc w:val="center"/>
              <w:rPr>
                <w:rFonts w:cs="Arial"/>
                <w:color w:val="4AA55B"/>
                <w:sz w:val="18"/>
                <w:szCs w:val="18"/>
                <w:lang w:val="hu-HU" w:eastAsia="ko-KR" w:bidi="ne-NP"/>
              </w:rPr>
            </w:pPr>
          </w:p>
        </w:tc>
        <w:tc>
          <w:tcPr>
            <w:tcW w:w="1828" w:type="dxa"/>
          </w:tcPr>
          <w:p w14:paraId="4DCA8516" w14:textId="77777777" w:rsidR="00924EBB" w:rsidRPr="00E4224A" w:rsidRDefault="00924EBB" w:rsidP="00667BB8">
            <w:pPr>
              <w:spacing w:after="0" w:line="276" w:lineRule="auto"/>
              <w:jc w:val="center"/>
              <w:rPr>
                <w:rFonts w:cs="Arial"/>
                <w:color w:val="4AA55B"/>
                <w:sz w:val="18"/>
                <w:szCs w:val="18"/>
                <w:lang w:val="hu-HU" w:eastAsia="ko-KR" w:bidi="ne-NP"/>
              </w:rPr>
            </w:pPr>
          </w:p>
        </w:tc>
        <w:tc>
          <w:tcPr>
            <w:tcW w:w="5481" w:type="dxa"/>
          </w:tcPr>
          <w:p w14:paraId="6D606C0A" w14:textId="77777777" w:rsidR="00924EBB" w:rsidRPr="00E4224A" w:rsidRDefault="00924EBB" w:rsidP="00667BB8">
            <w:pPr>
              <w:spacing w:after="0" w:line="276" w:lineRule="auto"/>
              <w:rPr>
                <w:rFonts w:cs="Arial"/>
                <w:color w:val="4AA55B"/>
                <w:sz w:val="18"/>
                <w:szCs w:val="18"/>
                <w:lang w:val="hu-HU" w:eastAsia="ko-KR" w:bidi="ne-NP"/>
              </w:rPr>
            </w:pPr>
          </w:p>
        </w:tc>
      </w:tr>
      <w:tr w:rsidR="00924EBB" w:rsidRPr="003B7948" w14:paraId="1DC76214" w14:textId="77777777" w:rsidTr="00667BB8">
        <w:trPr>
          <w:jc w:val="center"/>
        </w:trPr>
        <w:tc>
          <w:tcPr>
            <w:tcW w:w="1446" w:type="dxa"/>
          </w:tcPr>
          <w:p w14:paraId="389C8B02" w14:textId="77777777" w:rsidR="00924EBB" w:rsidRPr="00E4224A" w:rsidRDefault="00924EBB" w:rsidP="00667BB8">
            <w:pPr>
              <w:spacing w:after="0" w:line="276" w:lineRule="auto"/>
              <w:jc w:val="center"/>
              <w:rPr>
                <w:rFonts w:cs="Arial"/>
                <w:color w:val="4AA55B"/>
                <w:sz w:val="18"/>
                <w:szCs w:val="18"/>
                <w:lang w:val="hu-HU" w:eastAsia="ko-KR" w:bidi="ne-NP"/>
              </w:rPr>
            </w:pPr>
          </w:p>
        </w:tc>
        <w:tc>
          <w:tcPr>
            <w:tcW w:w="1828" w:type="dxa"/>
          </w:tcPr>
          <w:p w14:paraId="688D984D" w14:textId="77777777" w:rsidR="00924EBB" w:rsidRPr="00E4224A" w:rsidRDefault="00924EBB" w:rsidP="00667BB8">
            <w:pPr>
              <w:spacing w:after="0" w:line="276" w:lineRule="auto"/>
              <w:jc w:val="center"/>
              <w:rPr>
                <w:rFonts w:cs="Arial"/>
                <w:color w:val="4AA55B"/>
                <w:sz w:val="18"/>
                <w:szCs w:val="18"/>
                <w:lang w:val="hu-HU" w:eastAsia="ko-KR" w:bidi="ne-NP"/>
              </w:rPr>
            </w:pPr>
          </w:p>
        </w:tc>
        <w:tc>
          <w:tcPr>
            <w:tcW w:w="5481" w:type="dxa"/>
          </w:tcPr>
          <w:p w14:paraId="1B18B43E" w14:textId="77777777" w:rsidR="00924EBB" w:rsidRPr="00E4224A" w:rsidRDefault="00924EBB" w:rsidP="00667BB8">
            <w:pPr>
              <w:spacing w:after="0" w:line="276" w:lineRule="auto"/>
              <w:rPr>
                <w:rFonts w:cs="Arial"/>
                <w:color w:val="4AA55B"/>
                <w:sz w:val="18"/>
                <w:szCs w:val="18"/>
                <w:lang w:val="hu-HU" w:eastAsia="ko-KR" w:bidi="ne-NP"/>
              </w:rPr>
            </w:pPr>
          </w:p>
        </w:tc>
      </w:tr>
      <w:tr w:rsidR="00924EBB" w:rsidRPr="003B7948" w14:paraId="6F2A2824" w14:textId="77777777" w:rsidTr="00667BB8">
        <w:trPr>
          <w:jc w:val="center"/>
        </w:trPr>
        <w:tc>
          <w:tcPr>
            <w:tcW w:w="1446" w:type="dxa"/>
          </w:tcPr>
          <w:p w14:paraId="050A4B8C" w14:textId="77777777" w:rsidR="00924EBB" w:rsidRPr="003B7948" w:rsidRDefault="00924EBB" w:rsidP="00667BB8">
            <w:pPr>
              <w:spacing w:after="0" w:line="276" w:lineRule="auto"/>
              <w:jc w:val="center"/>
              <w:rPr>
                <w:rFonts w:cs="Arial"/>
                <w:color w:val="4AA55B"/>
                <w:sz w:val="18"/>
                <w:szCs w:val="18"/>
                <w:lang w:val="es-ES" w:eastAsia="ko-KR" w:bidi="ne-NP"/>
              </w:rPr>
            </w:pPr>
          </w:p>
        </w:tc>
        <w:tc>
          <w:tcPr>
            <w:tcW w:w="1828" w:type="dxa"/>
          </w:tcPr>
          <w:p w14:paraId="7700E8C3" w14:textId="77777777" w:rsidR="00924EBB" w:rsidRPr="00E4224A" w:rsidRDefault="00924EBB" w:rsidP="00667BB8">
            <w:pPr>
              <w:spacing w:after="0" w:line="276" w:lineRule="auto"/>
              <w:jc w:val="center"/>
              <w:rPr>
                <w:rFonts w:cs="Arial"/>
                <w:color w:val="4AA55B"/>
                <w:sz w:val="18"/>
                <w:szCs w:val="18"/>
                <w:lang w:val="hu-HU" w:eastAsia="ko-KR" w:bidi="ne-NP"/>
              </w:rPr>
            </w:pPr>
          </w:p>
        </w:tc>
        <w:tc>
          <w:tcPr>
            <w:tcW w:w="5481" w:type="dxa"/>
          </w:tcPr>
          <w:p w14:paraId="78EE75CD" w14:textId="77777777" w:rsidR="00924EBB" w:rsidRPr="00E4224A" w:rsidRDefault="00924EBB" w:rsidP="00667BB8">
            <w:pPr>
              <w:spacing w:after="0" w:line="276" w:lineRule="auto"/>
              <w:rPr>
                <w:rFonts w:cs="Arial"/>
                <w:color w:val="4AA55B"/>
                <w:sz w:val="18"/>
                <w:szCs w:val="18"/>
                <w:lang w:val="hu-HU" w:eastAsia="ko-KR" w:bidi="ne-NP"/>
              </w:rPr>
            </w:pPr>
          </w:p>
        </w:tc>
      </w:tr>
    </w:tbl>
    <w:p w14:paraId="73DD53AC" w14:textId="77777777" w:rsidR="00924EBB" w:rsidRPr="003B7948" w:rsidRDefault="00924EBB" w:rsidP="00924EBB">
      <w:pPr>
        <w:rPr>
          <w:rFonts w:eastAsia="Calibri"/>
          <w:lang w:val="es-ES"/>
        </w:rPr>
      </w:pPr>
    </w:p>
    <w:sectPr w:rsidR="00924EBB" w:rsidRPr="003B7948" w:rsidSect="006E265B">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541A5" w14:textId="77777777" w:rsidR="007E3F63" w:rsidRDefault="007E3F63" w:rsidP="007044C5">
      <w:r>
        <w:separator/>
      </w:r>
    </w:p>
  </w:endnote>
  <w:endnote w:type="continuationSeparator" w:id="0">
    <w:p w14:paraId="611E3242" w14:textId="77777777" w:rsidR="007E3F63" w:rsidRDefault="007E3F63" w:rsidP="00704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5D5D9" w14:textId="77777777" w:rsidR="00CF1C6F" w:rsidRDefault="00CF1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378864"/>
      <w:docPartObj>
        <w:docPartGallery w:val="Page Numbers (Bottom of Page)"/>
        <w:docPartUnique/>
      </w:docPartObj>
    </w:sdtPr>
    <w:sdtEndPr>
      <w:rPr>
        <w:noProof/>
        <w:sz w:val="18"/>
        <w:szCs w:val="20"/>
      </w:rPr>
    </w:sdtEndPr>
    <w:sdtContent>
      <w:p w14:paraId="3E04C35D" w14:textId="0F062A70" w:rsidR="00CF1C6F" w:rsidRPr="00323634" w:rsidRDefault="00323634" w:rsidP="00323634">
        <w:pPr>
          <w:pStyle w:val="Footer"/>
          <w:jc w:val="right"/>
          <w:rPr>
            <w:sz w:val="18"/>
            <w:szCs w:val="20"/>
          </w:rPr>
        </w:pPr>
        <w:r w:rsidRPr="00323634">
          <w:rPr>
            <w:sz w:val="18"/>
            <w:szCs w:val="20"/>
          </w:rPr>
          <w:fldChar w:fldCharType="begin"/>
        </w:r>
        <w:r w:rsidRPr="00323634">
          <w:rPr>
            <w:sz w:val="18"/>
            <w:szCs w:val="20"/>
          </w:rPr>
          <w:instrText xml:space="preserve"> PAGE   \* MERGEFORMAT </w:instrText>
        </w:r>
        <w:r w:rsidRPr="00323634">
          <w:rPr>
            <w:sz w:val="18"/>
            <w:szCs w:val="20"/>
          </w:rPr>
          <w:fldChar w:fldCharType="separate"/>
        </w:r>
        <w:r w:rsidR="003A01B1">
          <w:rPr>
            <w:noProof/>
            <w:sz w:val="18"/>
            <w:szCs w:val="20"/>
          </w:rPr>
          <w:t>1</w:t>
        </w:r>
        <w:r w:rsidRPr="00323634">
          <w:rPr>
            <w:noProof/>
            <w:sz w:val="18"/>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E1B73" w14:textId="77777777" w:rsidR="00CF1C6F" w:rsidRDefault="00CF1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E48F9" w14:textId="77777777" w:rsidR="007E3F63" w:rsidRDefault="007E3F63" w:rsidP="007044C5">
      <w:r>
        <w:separator/>
      </w:r>
    </w:p>
  </w:footnote>
  <w:footnote w:type="continuationSeparator" w:id="0">
    <w:p w14:paraId="23C48E57" w14:textId="77777777" w:rsidR="007E3F63" w:rsidRDefault="007E3F63" w:rsidP="00704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CDA58" w14:textId="77777777" w:rsidR="00CF1C6F" w:rsidRDefault="00CF1C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6FB8F" w14:textId="57839AB9" w:rsidR="006E265B" w:rsidRDefault="006E265B" w:rsidP="006E265B">
    <w:pPr>
      <w:jc w:val="right"/>
      <w:rPr>
        <w:rFonts w:eastAsia="Calibri"/>
        <w:color w:val="808080"/>
        <w:sz w:val="16"/>
        <w:szCs w:val="20"/>
        <w:lang w:val="en-GB"/>
      </w:rPr>
    </w:pPr>
    <w:r w:rsidRPr="000D6C57">
      <w:rPr>
        <w:rFonts w:eastAsia="Calibri"/>
        <w:color w:val="7F7F7F"/>
        <w:sz w:val="16"/>
        <w:szCs w:val="20"/>
        <w:lang w:val="en-GB"/>
      </w:rPr>
      <w:t>EU Grants</w:t>
    </w:r>
    <w:r w:rsidRPr="000D6C57">
      <w:rPr>
        <w:rFonts w:eastAsia="Calibri"/>
        <w:color w:val="808080"/>
        <w:sz w:val="16"/>
        <w:szCs w:val="20"/>
        <w:lang w:val="en-GB"/>
      </w:rPr>
      <w:t xml:space="preserve">: List </w:t>
    </w:r>
    <w:r>
      <w:rPr>
        <w:rFonts w:eastAsia="Calibri"/>
        <w:color w:val="808080"/>
        <w:sz w:val="16"/>
        <w:szCs w:val="20"/>
      </w:rPr>
      <w:t xml:space="preserve">of </w:t>
    </w:r>
    <w:r w:rsidRPr="000D6C57">
      <w:rPr>
        <w:rFonts w:eastAsia="Calibri"/>
        <w:color w:val="808080"/>
        <w:sz w:val="16"/>
        <w:szCs w:val="20"/>
        <w:lang w:val="en-GB"/>
      </w:rPr>
      <w:t xml:space="preserve">participating </w:t>
    </w:r>
    <w:r w:rsidRPr="00D27D04">
      <w:rPr>
        <w:rFonts w:eastAsia="Calibri"/>
        <w:color w:val="808080"/>
        <w:sz w:val="16"/>
        <w:szCs w:val="20"/>
        <w:lang w:val="en-GB"/>
      </w:rPr>
      <w:t>countries (</w:t>
    </w:r>
    <w:r w:rsidR="00DE2935" w:rsidRPr="00D27D04">
      <w:rPr>
        <w:rFonts w:eastAsia="Calibri"/>
        <w:color w:val="808080"/>
        <w:sz w:val="16"/>
        <w:szCs w:val="20"/>
        <w:lang w:val="en-GB"/>
      </w:rPr>
      <w:t>RELEX</w:t>
    </w:r>
    <w:r w:rsidRPr="00D27D04">
      <w:rPr>
        <w:rFonts w:eastAsia="Calibri"/>
        <w:color w:val="808080"/>
        <w:sz w:val="16"/>
        <w:szCs w:val="20"/>
        <w:lang w:val="en-GB"/>
      </w:rPr>
      <w:t>): V1.</w:t>
    </w:r>
    <w:r w:rsidRPr="000D6C57">
      <w:rPr>
        <w:rFonts w:eastAsia="Calibri"/>
        <w:color w:val="808080"/>
        <w:sz w:val="16"/>
        <w:szCs w:val="20"/>
        <w:lang w:val="en-GB"/>
      </w:rPr>
      <w:t xml:space="preserve">0 – </w:t>
    </w:r>
    <w:r w:rsidR="00370B60">
      <w:rPr>
        <w:rFonts w:eastAsia="Calibri"/>
        <w:color w:val="808080"/>
        <w:sz w:val="16"/>
        <w:szCs w:val="20"/>
        <w:lang w:val="en-GB"/>
      </w:rPr>
      <w:t>01</w:t>
    </w:r>
    <w:r w:rsidRPr="000D6C57">
      <w:rPr>
        <w:rFonts w:eastAsia="Calibri"/>
        <w:color w:val="808080"/>
        <w:sz w:val="16"/>
        <w:szCs w:val="20"/>
        <w:lang w:val="en-GB"/>
      </w:rPr>
      <w:t>.</w:t>
    </w:r>
    <w:r w:rsidR="00E2304E">
      <w:rPr>
        <w:rFonts w:eastAsia="Calibri"/>
        <w:color w:val="808080"/>
        <w:sz w:val="16"/>
        <w:szCs w:val="20"/>
        <w:lang w:val="en-GB"/>
      </w:rPr>
      <w:t>01</w:t>
    </w:r>
    <w:r w:rsidRPr="000D6C57">
      <w:rPr>
        <w:rFonts w:eastAsia="Calibri"/>
        <w:color w:val="808080"/>
        <w:sz w:val="16"/>
        <w:szCs w:val="20"/>
        <w:lang w:val="en-GB"/>
      </w:rPr>
      <w:t>.202</w:t>
    </w:r>
    <w:r w:rsidR="00E2304E">
      <w:rPr>
        <w:rFonts w:eastAsia="Calibri"/>
        <w:color w:val="808080"/>
        <w:sz w:val="16"/>
        <w:szCs w:val="20"/>
        <w:lang w:val="en-GB"/>
      </w:rPr>
      <w:t>5</w:t>
    </w:r>
  </w:p>
  <w:bookmarkStart w:id="19" w:name="_Hlk190121004"/>
  <w:bookmarkStart w:id="20" w:name="_Hlk190121005"/>
  <w:bookmarkStart w:id="21" w:name="_Hlk190121119"/>
  <w:bookmarkStart w:id="22" w:name="_Hlk190121120"/>
  <w:bookmarkStart w:id="23" w:name="_Hlk190121148"/>
  <w:bookmarkStart w:id="24" w:name="_Hlk190121149"/>
  <w:bookmarkStart w:id="25" w:name="_Hlk190121166"/>
  <w:bookmarkStart w:id="26" w:name="_Hlk190121167"/>
  <w:bookmarkStart w:id="27" w:name="_Hlk190121193"/>
  <w:bookmarkStart w:id="28" w:name="_Hlk190121194"/>
  <w:bookmarkStart w:id="29" w:name="_Hlk190121232"/>
  <w:bookmarkStart w:id="30" w:name="_Hlk190121233"/>
  <w:bookmarkStart w:id="31" w:name="_Hlk190121252"/>
  <w:bookmarkStart w:id="32" w:name="_Hlk190121253"/>
  <w:bookmarkStart w:id="33" w:name="_Hlk190121296"/>
  <w:bookmarkStart w:id="34" w:name="_Hlk190121297"/>
  <w:bookmarkStart w:id="35" w:name="_Hlk190121317"/>
  <w:bookmarkStart w:id="36" w:name="_Hlk190121318"/>
  <w:bookmarkStart w:id="37" w:name="_Hlk190121385"/>
  <w:bookmarkStart w:id="38" w:name="_Hlk190121386"/>
  <w:bookmarkStart w:id="39" w:name="_Hlk190121448"/>
  <w:bookmarkStart w:id="40" w:name="_Hlk190121449"/>
  <w:bookmarkStart w:id="41" w:name="_Hlk190121467"/>
  <w:bookmarkStart w:id="42" w:name="_Hlk190121468"/>
  <w:p w14:paraId="52CFF0B5" w14:textId="008E611A" w:rsidR="00364460" w:rsidRPr="00364460" w:rsidRDefault="00364460" w:rsidP="00364460">
    <w:pPr>
      <w:tabs>
        <w:tab w:val="center" w:pos="4513"/>
        <w:tab w:val="right" w:pos="9026"/>
      </w:tabs>
      <w:jc w:val="right"/>
      <w:rPr>
        <w:rFonts w:eastAsia="SimSun"/>
        <w:color w:val="0088CC"/>
        <w:sz w:val="16"/>
        <w:szCs w:val="16"/>
        <w:lang w:val="es-ES" w:eastAsia="zh-CN"/>
      </w:rPr>
    </w:pPr>
    <w:r w:rsidRPr="00630631">
      <w:rPr>
        <w:color w:val="0088CC"/>
        <w:sz w:val="16"/>
        <w:szCs w:val="16"/>
        <w:u w:val="single"/>
        <w:bdr w:val="none" w:sz="0" w:space="0" w:color="auto" w:frame="1"/>
        <w:lang w:val="es-ES"/>
      </w:rPr>
      <w:fldChar w:fldCharType="begin"/>
    </w:r>
    <w:r w:rsidRPr="00630631">
      <w:rPr>
        <w:color w:val="0088CC"/>
        <w:sz w:val="16"/>
        <w:szCs w:val="16"/>
        <w:u w:val="single"/>
        <w:bdr w:val="none" w:sz="0" w:space="0" w:color="auto" w:frame="1"/>
        <w:lang w:val="es-ES"/>
      </w:rPr>
      <w:instrText>HYPERLINK "https://ec.europa.eu/info/funding-tenders/opportunities/docs/2021-2027/relex/guidance/list-3rd-country-participation_relex_en.pdf"</w:instrText>
    </w:r>
    <w:r w:rsidRPr="00630631">
      <w:rPr>
        <w:color w:val="0088CC"/>
        <w:sz w:val="16"/>
        <w:szCs w:val="16"/>
        <w:u w:val="single"/>
        <w:bdr w:val="none" w:sz="0" w:space="0" w:color="auto" w:frame="1"/>
        <w:lang w:val="es-ES"/>
      </w:rPr>
      <w:fldChar w:fldCharType="separate"/>
    </w:r>
    <w:r w:rsidRPr="00630631">
      <w:rPr>
        <w:rStyle w:val="Hyperlink"/>
        <w:sz w:val="16"/>
        <w:szCs w:val="16"/>
        <w:u w:val="single"/>
        <w:bdr w:val="none" w:sz="0" w:space="0" w:color="auto" w:frame="1"/>
        <w:lang w:val="es-ES"/>
      </w:rPr>
      <w:t>EN</w:t>
    </w:r>
    <w:r w:rsidRPr="00630631">
      <w:rPr>
        <w:color w:val="0088CC"/>
        <w:sz w:val="16"/>
        <w:szCs w:val="16"/>
        <w:u w:val="single"/>
        <w:bdr w:val="none" w:sz="0" w:space="0" w:color="auto" w:frame="1"/>
        <w:lang w:val="es-ES"/>
      </w:rPr>
      <w:fldChar w:fldCharType="end"/>
    </w:r>
    <w:r w:rsidRPr="00556BA8">
      <w:rPr>
        <w:rFonts w:eastAsia="Calibri"/>
        <w:color w:val="FFFFFF" w:themeColor="background1"/>
        <w:sz w:val="16"/>
        <w:szCs w:val="16"/>
        <w:bdr w:val="none" w:sz="0" w:space="0" w:color="auto" w:frame="1"/>
        <w:lang w:val="es-ES"/>
      </w:rPr>
      <w:t>   </w:t>
    </w:r>
    <w:hyperlink r:id="rId1" w:history="1">
      <w:r w:rsidRPr="00630631">
        <w:rPr>
          <w:rStyle w:val="Hyperlink"/>
          <w:sz w:val="16"/>
          <w:szCs w:val="16"/>
          <w:u w:val="single"/>
          <w:bdr w:val="none" w:sz="0" w:space="0" w:color="auto" w:frame="1"/>
          <w:lang w:val="es-ES"/>
        </w:rPr>
        <w:t>FR</w:t>
      </w:r>
    </w:hyperlink>
    <w:r w:rsidRPr="00556BA8">
      <w:rPr>
        <w:rFonts w:eastAsia="Calibri"/>
        <w:color w:val="FFFFFF" w:themeColor="background1"/>
        <w:sz w:val="16"/>
        <w:szCs w:val="16"/>
        <w:bdr w:val="none" w:sz="0" w:space="0" w:color="auto" w:frame="1"/>
        <w:lang w:val="es-ES"/>
      </w:rPr>
      <w:t>   </w:t>
    </w:r>
    <w:hyperlink r:id="rId2" w:history="1">
      <w:r w:rsidRPr="00630631">
        <w:rPr>
          <w:rStyle w:val="Hyperlink"/>
          <w:sz w:val="16"/>
          <w:szCs w:val="16"/>
          <w:u w:val="single"/>
          <w:bdr w:val="none" w:sz="0" w:space="0" w:color="auto" w:frame="1"/>
          <w:lang w:val="es-ES"/>
        </w:rPr>
        <w:t>ES</w:t>
      </w:r>
    </w:hyperlink>
    <w:r w:rsidRPr="00556BA8">
      <w:rPr>
        <w:rFonts w:eastAsia="Calibri"/>
        <w:color w:val="FFFFFF" w:themeColor="background1"/>
        <w:sz w:val="16"/>
        <w:szCs w:val="16"/>
        <w:bdr w:val="none" w:sz="0" w:space="0" w:color="auto" w:frame="1"/>
        <w:lang w:val="es-ES"/>
      </w:rPr>
      <w:t>   </w:t>
    </w:r>
    <w:hyperlink r:id="rId3" w:history="1">
      <w:r w:rsidRPr="00630631">
        <w:rPr>
          <w:rStyle w:val="Hyperlink"/>
          <w:sz w:val="16"/>
          <w:szCs w:val="16"/>
          <w:u w:val="single"/>
          <w:bdr w:val="none" w:sz="0" w:space="0" w:color="auto" w:frame="1"/>
          <w:lang w:val="es-ES"/>
        </w:rPr>
        <w:t>PT</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hyperlink>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DB33B" w14:textId="77777777" w:rsidR="001222C2" w:rsidRPr="00ED229F" w:rsidRDefault="001222C2" w:rsidP="00ED229F">
    <w:pPr>
      <w:jc w:val="right"/>
      <w:rPr>
        <w:rFonts w:eastAsia="Calibri"/>
        <w:color w:val="808080"/>
        <w:sz w:val="16"/>
        <w:szCs w:val="20"/>
      </w:rPr>
    </w:pPr>
    <w:r w:rsidRPr="000D6C57">
      <w:rPr>
        <w:rFonts w:eastAsia="Calibri"/>
        <w:color w:val="7F7F7F"/>
        <w:sz w:val="16"/>
        <w:szCs w:val="20"/>
        <w:lang w:val="en-GB"/>
      </w:rPr>
      <w:t>EU Grants</w:t>
    </w:r>
    <w:r w:rsidRPr="000D6C57">
      <w:rPr>
        <w:rFonts w:eastAsia="Calibri"/>
        <w:color w:val="808080"/>
        <w:sz w:val="16"/>
        <w:szCs w:val="20"/>
        <w:lang w:val="en-GB"/>
      </w:rPr>
      <w:t xml:space="preserve">: List </w:t>
    </w:r>
    <w:r>
      <w:rPr>
        <w:rFonts w:eastAsia="Calibri"/>
        <w:color w:val="808080"/>
        <w:sz w:val="16"/>
        <w:szCs w:val="20"/>
      </w:rPr>
      <w:t xml:space="preserve">of </w:t>
    </w:r>
    <w:r w:rsidRPr="000D6C57">
      <w:rPr>
        <w:rFonts w:eastAsia="Calibri"/>
        <w:color w:val="808080"/>
        <w:sz w:val="16"/>
        <w:szCs w:val="20"/>
        <w:lang w:val="en-GB"/>
      </w:rPr>
      <w:t xml:space="preserve">participating countries </w:t>
    </w:r>
    <w:r w:rsidRPr="00ED229F">
      <w:rPr>
        <w:rFonts w:eastAsia="Calibri"/>
        <w:color w:val="808080"/>
        <w:sz w:val="16"/>
        <w:szCs w:val="20"/>
        <w:lang w:val="en-GB"/>
      </w:rPr>
      <w:t>([</w:t>
    </w:r>
    <w:r w:rsidRPr="00ED229F">
      <w:rPr>
        <w:rFonts w:eastAsia="Calibri"/>
        <w:color w:val="808080"/>
        <w:sz w:val="16"/>
        <w:szCs w:val="20"/>
        <w:highlight w:val="yellow"/>
        <w:lang w:val="en-GB"/>
      </w:rPr>
      <w:t>insert name of Programme</w:t>
    </w:r>
    <w:r w:rsidRPr="00ED229F">
      <w:rPr>
        <w:rFonts w:eastAsia="Calibri"/>
        <w:color w:val="808080"/>
        <w:sz w:val="16"/>
        <w:szCs w:val="20"/>
        <w:lang w:val="en-GB"/>
      </w:rPr>
      <w:t>])</w:t>
    </w:r>
    <w:r w:rsidRPr="000D6C57">
      <w:rPr>
        <w:rFonts w:eastAsia="Calibri"/>
        <w:color w:val="808080"/>
        <w:sz w:val="16"/>
        <w:szCs w:val="20"/>
        <w:lang w:val="en-GB"/>
      </w:rPr>
      <w:t>: V1.0 – dd.mm.2021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8pt;height:13.8pt;visibility:visible;mso-wrap-style:square" o:bullet="t">
        <v:imagedata r:id="rId1" o:title=""/>
      </v:shape>
    </w:pict>
  </w:numPicBullet>
  <w:abstractNum w:abstractNumId="0" w15:restartNumberingAfterBreak="0">
    <w:nsid w:val="020F25B8"/>
    <w:multiLevelType w:val="hybridMultilevel"/>
    <w:tmpl w:val="58506128"/>
    <w:lvl w:ilvl="0" w:tplc="A9F0F19C">
      <w:numFmt w:val="bullet"/>
      <w:lvlText w:val=""/>
      <w:lvlJc w:val="left"/>
      <w:pPr>
        <w:ind w:left="216" w:hanging="123"/>
      </w:pPr>
      <w:rPr>
        <w:rFonts w:ascii="Symbol" w:eastAsia="Symbol" w:hAnsi="Symbol" w:cs="Symbol" w:hint="default"/>
        <w:w w:val="99"/>
        <w:position w:val="9"/>
        <w:sz w:val="13"/>
        <w:szCs w:val="13"/>
      </w:rPr>
    </w:lvl>
    <w:lvl w:ilvl="1" w:tplc="77CC44B6">
      <w:numFmt w:val="bullet"/>
      <w:lvlText w:val="•"/>
      <w:lvlJc w:val="left"/>
      <w:pPr>
        <w:ind w:left="1149" w:hanging="123"/>
      </w:pPr>
      <w:rPr>
        <w:rFonts w:hint="default"/>
      </w:rPr>
    </w:lvl>
    <w:lvl w:ilvl="2" w:tplc="64CA2A6E">
      <w:numFmt w:val="bullet"/>
      <w:lvlText w:val="•"/>
      <w:lvlJc w:val="left"/>
      <w:pPr>
        <w:ind w:left="2079" w:hanging="123"/>
      </w:pPr>
      <w:rPr>
        <w:rFonts w:hint="default"/>
      </w:rPr>
    </w:lvl>
    <w:lvl w:ilvl="3" w:tplc="1814263A">
      <w:numFmt w:val="bullet"/>
      <w:lvlText w:val="•"/>
      <w:lvlJc w:val="left"/>
      <w:pPr>
        <w:ind w:left="3009" w:hanging="123"/>
      </w:pPr>
      <w:rPr>
        <w:rFonts w:hint="default"/>
      </w:rPr>
    </w:lvl>
    <w:lvl w:ilvl="4" w:tplc="D194AB60">
      <w:numFmt w:val="bullet"/>
      <w:lvlText w:val="•"/>
      <w:lvlJc w:val="left"/>
      <w:pPr>
        <w:ind w:left="3939" w:hanging="123"/>
      </w:pPr>
      <w:rPr>
        <w:rFonts w:hint="default"/>
      </w:rPr>
    </w:lvl>
    <w:lvl w:ilvl="5" w:tplc="29BA52C2">
      <w:numFmt w:val="bullet"/>
      <w:lvlText w:val="•"/>
      <w:lvlJc w:val="left"/>
      <w:pPr>
        <w:ind w:left="4869" w:hanging="123"/>
      </w:pPr>
      <w:rPr>
        <w:rFonts w:hint="default"/>
      </w:rPr>
    </w:lvl>
    <w:lvl w:ilvl="6" w:tplc="3A0C449E">
      <w:numFmt w:val="bullet"/>
      <w:lvlText w:val="•"/>
      <w:lvlJc w:val="left"/>
      <w:pPr>
        <w:ind w:left="5799" w:hanging="123"/>
      </w:pPr>
      <w:rPr>
        <w:rFonts w:hint="default"/>
      </w:rPr>
    </w:lvl>
    <w:lvl w:ilvl="7" w:tplc="DE8C3546">
      <w:numFmt w:val="bullet"/>
      <w:lvlText w:val="•"/>
      <w:lvlJc w:val="left"/>
      <w:pPr>
        <w:ind w:left="6729" w:hanging="123"/>
      </w:pPr>
      <w:rPr>
        <w:rFonts w:hint="default"/>
      </w:rPr>
    </w:lvl>
    <w:lvl w:ilvl="8" w:tplc="4DE477A8">
      <w:numFmt w:val="bullet"/>
      <w:lvlText w:val="•"/>
      <w:lvlJc w:val="left"/>
      <w:pPr>
        <w:ind w:left="7659" w:hanging="123"/>
      </w:pPr>
      <w:rPr>
        <w:rFonts w:hint="default"/>
      </w:rPr>
    </w:lvl>
  </w:abstractNum>
  <w:abstractNum w:abstractNumId="1" w15:restartNumberingAfterBreak="0">
    <w:nsid w:val="0AF62F27"/>
    <w:multiLevelType w:val="hybridMultilevel"/>
    <w:tmpl w:val="29F067E8"/>
    <w:lvl w:ilvl="0" w:tplc="08090001">
      <w:start w:val="1"/>
      <w:numFmt w:val="bullet"/>
      <w:lvlText w:val=""/>
      <w:lvlJc w:val="left"/>
      <w:pPr>
        <w:ind w:left="941" w:hanging="360"/>
      </w:pPr>
      <w:rPr>
        <w:rFonts w:ascii="Symbol" w:hAnsi="Symbol" w:hint="default"/>
      </w:rPr>
    </w:lvl>
    <w:lvl w:ilvl="1" w:tplc="08090003" w:tentative="1">
      <w:start w:val="1"/>
      <w:numFmt w:val="bullet"/>
      <w:lvlText w:val="o"/>
      <w:lvlJc w:val="left"/>
      <w:pPr>
        <w:ind w:left="1661" w:hanging="360"/>
      </w:pPr>
      <w:rPr>
        <w:rFonts w:ascii="Courier New" w:hAnsi="Courier New" w:cs="Courier New" w:hint="default"/>
      </w:rPr>
    </w:lvl>
    <w:lvl w:ilvl="2" w:tplc="08090005" w:tentative="1">
      <w:start w:val="1"/>
      <w:numFmt w:val="bullet"/>
      <w:lvlText w:val=""/>
      <w:lvlJc w:val="left"/>
      <w:pPr>
        <w:ind w:left="2381" w:hanging="360"/>
      </w:pPr>
      <w:rPr>
        <w:rFonts w:ascii="Wingdings" w:hAnsi="Wingdings" w:hint="default"/>
      </w:rPr>
    </w:lvl>
    <w:lvl w:ilvl="3" w:tplc="08090001" w:tentative="1">
      <w:start w:val="1"/>
      <w:numFmt w:val="bullet"/>
      <w:lvlText w:val=""/>
      <w:lvlJc w:val="left"/>
      <w:pPr>
        <w:ind w:left="3101" w:hanging="360"/>
      </w:pPr>
      <w:rPr>
        <w:rFonts w:ascii="Symbol" w:hAnsi="Symbol" w:hint="default"/>
      </w:rPr>
    </w:lvl>
    <w:lvl w:ilvl="4" w:tplc="08090003" w:tentative="1">
      <w:start w:val="1"/>
      <w:numFmt w:val="bullet"/>
      <w:lvlText w:val="o"/>
      <w:lvlJc w:val="left"/>
      <w:pPr>
        <w:ind w:left="3821" w:hanging="360"/>
      </w:pPr>
      <w:rPr>
        <w:rFonts w:ascii="Courier New" w:hAnsi="Courier New" w:cs="Courier New" w:hint="default"/>
      </w:rPr>
    </w:lvl>
    <w:lvl w:ilvl="5" w:tplc="08090005" w:tentative="1">
      <w:start w:val="1"/>
      <w:numFmt w:val="bullet"/>
      <w:lvlText w:val=""/>
      <w:lvlJc w:val="left"/>
      <w:pPr>
        <w:ind w:left="4541" w:hanging="360"/>
      </w:pPr>
      <w:rPr>
        <w:rFonts w:ascii="Wingdings" w:hAnsi="Wingdings" w:hint="default"/>
      </w:rPr>
    </w:lvl>
    <w:lvl w:ilvl="6" w:tplc="08090001" w:tentative="1">
      <w:start w:val="1"/>
      <w:numFmt w:val="bullet"/>
      <w:lvlText w:val=""/>
      <w:lvlJc w:val="left"/>
      <w:pPr>
        <w:ind w:left="5261" w:hanging="360"/>
      </w:pPr>
      <w:rPr>
        <w:rFonts w:ascii="Symbol" w:hAnsi="Symbol" w:hint="default"/>
      </w:rPr>
    </w:lvl>
    <w:lvl w:ilvl="7" w:tplc="08090003" w:tentative="1">
      <w:start w:val="1"/>
      <w:numFmt w:val="bullet"/>
      <w:lvlText w:val="o"/>
      <w:lvlJc w:val="left"/>
      <w:pPr>
        <w:ind w:left="5981" w:hanging="360"/>
      </w:pPr>
      <w:rPr>
        <w:rFonts w:ascii="Courier New" w:hAnsi="Courier New" w:cs="Courier New" w:hint="default"/>
      </w:rPr>
    </w:lvl>
    <w:lvl w:ilvl="8" w:tplc="08090005" w:tentative="1">
      <w:start w:val="1"/>
      <w:numFmt w:val="bullet"/>
      <w:lvlText w:val=""/>
      <w:lvlJc w:val="left"/>
      <w:pPr>
        <w:ind w:left="6701" w:hanging="360"/>
      </w:pPr>
      <w:rPr>
        <w:rFonts w:ascii="Wingdings" w:hAnsi="Wingdings" w:hint="default"/>
      </w:rPr>
    </w:lvl>
  </w:abstractNum>
  <w:abstractNum w:abstractNumId="2" w15:restartNumberingAfterBreak="0">
    <w:nsid w:val="0EBC782C"/>
    <w:multiLevelType w:val="hybridMultilevel"/>
    <w:tmpl w:val="8A0A079E"/>
    <w:lvl w:ilvl="0" w:tplc="FB52349E">
      <w:start w:val="1"/>
      <w:numFmt w:val="lowerRoman"/>
      <w:lvlText w:val="(%1)"/>
      <w:lvlJc w:val="right"/>
      <w:pPr>
        <w:ind w:left="720" w:hanging="360"/>
      </w:pPr>
      <w:rPr>
        <w:rFonts w:hint="default"/>
      </w:rPr>
    </w:lvl>
    <w:lvl w:ilvl="1" w:tplc="81787340">
      <w:start w:val="1"/>
      <w:numFmt w:val="lowerLetter"/>
      <w:lvlText w:val="(%2)"/>
      <w:lvlJc w:val="left"/>
      <w:pPr>
        <w:ind w:left="1950" w:hanging="87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30919"/>
    <w:multiLevelType w:val="hybridMultilevel"/>
    <w:tmpl w:val="494C4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81F98"/>
    <w:multiLevelType w:val="hybridMultilevel"/>
    <w:tmpl w:val="6EE82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40A94"/>
    <w:multiLevelType w:val="hybridMultilevel"/>
    <w:tmpl w:val="26445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BC5781"/>
    <w:multiLevelType w:val="hybridMultilevel"/>
    <w:tmpl w:val="0E285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555189"/>
    <w:multiLevelType w:val="hybridMultilevel"/>
    <w:tmpl w:val="6F28DD20"/>
    <w:lvl w:ilvl="0" w:tplc="CFCC68BA">
      <w:start w:val="1"/>
      <w:numFmt w:val="lowerLetter"/>
      <w:lvlText w:val="(%1)"/>
      <w:lvlJc w:val="left"/>
      <w:pPr>
        <w:ind w:left="927" w:hanging="360"/>
      </w:pPr>
      <w:rPr>
        <w:rFonts w:hint="default"/>
        <w:sz w:val="24"/>
        <w:szCs w:val="24"/>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3DBE5619"/>
    <w:multiLevelType w:val="hybridMultilevel"/>
    <w:tmpl w:val="B630BCBA"/>
    <w:lvl w:ilvl="0" w:tplc="080C000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F5D5653"/>
    <w:multiLevelType w:val="hybridMultilevel"/>
    <w:tmpl w:val="DC08D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6"/>
  </w:num>
  <w:num w:numId="5">
    <w:abstractNumId w:val="1"/>
  </w:num>
  <w:num w:numId="6">
    <w:abstractNumId w:val="7"/>
  </w:num>
  <w:num w:numId="7">
    <w:abstractNumId w:val="2"/>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9D738E"/>
    <w:rsid w:val="0005283E"/>
    <w:rsid w:val="000E58C4"/>
    <w:rsid w:val="000E710B"/>
    <w:rsid w:val="001222C2"/>
    <w:rsid w:val="00135DB0"/>
    <w:rsid w:val="00147F0A"/>
    <w:rsid w:val="00151D5D"/>
    <w:rsid w:val="00181F5D"/>
    <w:rsid w:val="001D10F8"/>
    <w:rsid w:val="001E2AE3"/>
    <w:rsid w:val="001F08E2"/>
    <w:rsid w:val="001F6955"/>
    <w:rsid w:val="002011B1"/>
    <w:rsid w:val="00221090"/>
    <w:rsid w:val="0022309A"/>
    <w:rsid w:val="00271DB2"/>
    <w:rsid w:val="002C5776"/>
    <w:rsid w:val="00323634"/>
    <w:rsid w:val="00364460"/>
    <w:rsid w:val="00370B60"/>
    <w:rsid w:val="003747E9"/>
    <w:rsid w:val="003A01B1"/>
    <w:rsid w:val="003B7948"/>
    <w:rsid w:val="003D13C9"/>
    <w:rsid w:val="0042656C"/>
    <w:rsid w:val="00445500"/>
    <w:rsid w:val="004552C2"/>
    <w:rsid w:val="004B3D0B"/>
    <w:rsid w:val="004C2E6A"/>
    <w:rsid w:val="004E16DC"/>
    <w:rsid w:val="004E61F9"/>
    <w:rsid w:val="00532904"/>
    <w:rsid w:val="00556BA8"/>
    <w:rsid w:val="0056059D"/>
    <w:rsid w:val="005722C7"/>
    <w:rsid w:val="00620656"/>
    <w:rsid w:val="00621FF2"/>
    <w:rsid w:val="0063406E"/>
    <w:rsid w:val="00653799"/>
    <w:rsid w:val="00697FC9"/>
    <w:rsid w:val="006C78B6"/>
    <w:rsid w:val="006E0638"/>
    <w:rsid w:val="006E265B"/>
    <w:rsid w:val="007044C5"/>
    <w:rsid w:val="007105C3"/>
    <w:rsid w:val="0071435E"/>
    <w:rsid w:val="00720D26"/>
    <w:rsid w:val="00722556"/>
    <w:rsid w:val="00746939"/>
    <w:rsid w:val="00752C23"/>
    <w:rsid w:val="00755402"/>
    <w:rsid w:val="00774C69"/>
    <w:rsid w:val="00776AF9"/>
    <w:rsid w:val="0079022B"/>
    <w:rsid w:val="00790508"/>
    <w:rsid w:val="00790521"/>
    <w:rsid w:val="007D3EB0"/>
    <w:rsid w:val="007D6D64"/>
    <w:rsid w:val="007E3F63"/>
    <w:rsid w:val="00801170"/>
    <w:rsid w:val="00803D33"/>
    <w:rsid w:val="00834E2E"/>
    <w:rsid w:val="008606FE"/>
    <w:rsid w:val="00866C45"/>
    <w:rsid w:val="00870A1C"/>
    <w:rsid w:val="00887672"/>
    <w:rsid w:val="008B4303"/>
    <w:rsid w:val="008C1B48"/>
    <w:rsid w:val="008E43F0"/>
    <w:rsid w:val="00905656"/>
    <w:rsid w:val="00924EBB"/>
    <w:rsid w:val="00925F76"/>
    <w:rsid w:val="009D738E"/>
    <w:rsid w:val="00A06649"/>
    <w:rsid w:val="00A756F3"/>
    <w:rsid w:val="00A77E4C"/>
    <w:rsid w:val="00AA523C"/>
    <w:rsid w:val="00AA7D3A"/>
    <w:rsid w:val="00AB343B"/>
    <w:rsid w:val="00AC4D0C"/>
    <w:rsid w:val="00AC6F6F"/>
    <w:rsid w:val="00AE72AF"/>
    <w:rsid w:val="00B55C64"/>
    <w:rsid w:val="00B70437"/>
    <w:rsid w:val="00B77C3C"/>
    <w:rsid w:val="00B940DD"/>
    <w:rsid w:val="00BA2569"/>
    <w:rsid w:val="00BD59C2"/>
    <w:rsid w:val="00C4744A"/>
    <w:rsid w:val="00C6445D"/>
    <w:rsid w:val="00C672DA"/>
    <w:rsid w:val="00CE561C"/>
    <w:rsid w:val="00CF1C6F"/>
    <w:rsid w:val="00D01A9A"/>
    <w:rsid w:val="00D100DE"/>
    <w:rsid w:val="00D27D04"/>
    <w:rsid w:val="00D77B8F"/>
    <w:rsid w:val="00D828C9"/>
    <w:rsid w:val="00DE2935"/>
    <w:rsid w:val="00DE5DE2"/>
    <w:rsid w:val="00E1533E"/>
    <w:rsid w:val="00E2304E"/>
    <w:rsid w:val="00E715EB"/>
    <w:rsid w:val="00E77B95"/>
    <w:rsid w:val="00E9638A"/>
    <w:rsid w:val="00EA1D39"/>
    <w:rsid w:val="00ED229F"/>
    <w:rsid w:val="00EF64A0"/>
    <w:rsid w:val="00F212C8"/>
    <w:rsid w:val="00F41917"/>
    <w:rsid w:val="00F66906"/>
    <w:rsid w:val="00FA7BA1"/>
  </w:rsids>
  <m:mathPr>
    <m:mathFont m:val="Cambria Math"/>
    <m:brkBin m:val="before"/>
    <m:brkBinSub m:val="--"/>
    <m:smallFrac m:val="0"/>
    <m:dispDef/>
    <m:lMargin m:val="0"/>
    <m:rMargin m:val="0"/>
    <m:defJc m:val="centerGroup"/>
    <m:wrapIndent m:val="1440"/>
    <m:intLim m:val="subSup"/>
    <m:naryLim m:val="undOvr"/>
  </m:mathPr>
  <w:themeFontLang w:val="fr-B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ED612"/>
  <w15:docId w15:val="{4F0A2824-EFE2-4C58-9D6E-8E1C261D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D229F"/>
    <w:pPr>
      <w:spacing w:after="200"/>
    </w:pPr>
    <w:rPr>
      <w:rFonts w:ascii="Verdana" w:eastAsia="Times New Roman" w:hAnsi="Verdana" w:cs="Times New Roman"/>
      <w:sz w:val="20"/>
    </w:rPr>
  </w:style>
  <w:style w:type="paragraph" w:styleId="Heading2">
    <w:name w:val="heading 2"/>
    <w:basedOn w:val="Normal"/>
    <w:next w:val="Normal"/>
    <w:link w:val="Heading2Char"/>
    <w:uiPriority w:val="9"/>
    <w:unhideWhenUsed/>
    <w:qFormat/>
    <w:rsid w:val="00D828C9"/>
    <w:pPr>
      <w:widowControl/>
      <w:tabs>
        <w:tab w:val="left" w:pos="567"/>
      </w:tabs>
      <w:autoSpaceDE/>
      <w:autoSpaceDN/>
      <w:spacing w:before="120" w:beforeAutospacing="1" w:after="120" w:afterAutospacing="1"/>
      <w:jc w:val="both"/>
      <w:outlineLvl w:val="1"/>
    </w:pPr>
    <w:rPr>
      <w:rFonts w:ascii="Times New Roman" w:eastAsia="Calibri" w:hAnsi="Times New Roman"/>
      <w:b/>
      <w:noProo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sid w:val="00D828C9"/>
    <w:rPr>
      <w:szCs w:val="23"/>
    </w:rPr>
  </w:style>
  <w:style w:type="paragraph" w:styleId="ListParagraph">
    <w:name w:val="List Paragraph"/>
    <w:basedOn w:val="Normal"/>
    <w:uiPriority w:val="1"/>
    <w:qFormat/>
    <w:pPr>
      <w:spacing w:before="45"/>
      <w:ind w:left="216" w:right="223"/>
    </w:pPr>
  </w:style>
  <w:style w:type="paragraph" w:customStyle="1" w:styleId="TableParagraph">
    <w:name w:val="Table Paragraph"/>
    <w:basedOn w:val="Normal"/>
    <w:uiPriority w:val="1"/>
  </w:style>
  <w:style w:type="paragraph" w:styleId="FootnoteText">
    <w:name w:val="footnote text"/>
    <w:aliases w:val="Footnote Text Char2,Footnote Text Char1 Char,Footnote Text Char2 Char Char,Footnote Text Char1 Char Char Char,Footnote Text Char2 Char Char Char Char,Footnote Text Char Char1 Char Char Char Char,Footnote Text Char1,Schriftart: 9 pt,FoodNot"/>
    <w:basedOn w:val="Normal"/>
    <w:link w:val="FootnoteTextChar"/>
    <w:uiPriority w:val="99"/>
    <w:unhideWhenUsed/>
    <w:qFormat/>
    <w:rsid w:val="007044C5"/>
    <w:rPr>
      <w:szCs w:val="20"/>
    </w:rPr>
  </w:style>
  <w:style w:type="character" w:customStyle="1" w:styleId="FootnoteTextChar">
    <w:name w:val="Footnote Text Char"/>
    <w:aliases w:val="Footnote Text Char2 Char,Footnote Text Char1 Char Char,Footnote Text Char2 Char Char Char,Footnote Text Char1 Char Char Char Char,Footnote Text Char2 Char Char Char Char Char,Footnote Text Char Char1 Char Char Char Char Char"/>
    <w:basedOn w:val="DefaultParagraphFont"/>
    <w:link w:val="FootnoteText"/>
    <w:uiPriority w:val="99"/>
    <w:rsid w:val="007044C5"/>
    <w:rPr>
      <w:rFonts w:ascii="Times New Roman" w:eastAsia="Times New Roman" w:hAnsi="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basedOn w:val="DefaultParagraphFont"/>
    <w:link w:val="1"/>
    <w:unhideWhenUsed/>
    <w:qFormat/>
    <w:rsid w:val="007044C5"/>
    <w:rPr>
      <w:vertAlign w:val="superscript"/>
    </w:rPr>
  </w:style>
  <w:style w:type="paragraph" w:styleId="EndnoteText">
    <w:name w:val="endnote text"/>
    <w:basedOn w:val="Normal"/>
    <w:link w:val="EndnoteTextChar"/>
    <w:uiPriority w:val="99"/>
    <w:semiHidden/>
    <w:unhideWhenUsed/>
    <w:rsid w:val="007044C5"/>
    <w:rPr>
      <w:szCs w:val="20"/>
    </w:rPr>
  </w:style>
  <w:style w:type="character" w:customStyle="1" w:styleId="EndnoteTextChar">
    <w:name w:val="Endnote Text Char"/>
    <w:basedOn w:val="DefaultParagraphFont"/>
    <w:link w:val="EndnoteText"/>
    <w:uiPriority w:val="99"/>
    <w:semiHidden/>
    <w:rsid w:val="007044C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044C5"/>
    <w:rPr>
      <w:vertAlign w:val="superscript"/>
    </w:rPr>
  </w:style>
  <w:style w:type="character" w:styleId="CommentReference">
    <w:name w:val="annotation reference"/>
    <w:basedOn w:val="DefaultParagraphFont"/>
    <w:uiPriority w:val="99"/>
    <w:unhideWhenUsed/>
    <w:rsid w:val="00925F76"/>
    <w:rPr>
      <w:sz w:val="16"/>
      <w:szCs w:val="16"/>
    </w:rPr>
  </w:style>
  <w:style w:type="paragraph" w:styleId="CommentText">
    <w:name w:val="annotation text"/>
    <w:basedOn w:val="Normal"/>
    <w:link w:val="CommentTextChar"/>
    <w:uiPriority w:val="99"/>
    <w:unhideWhenUsed/>
    <w:rsid w:val="00925F76"/>
    <w:rPr>
      <w:szCs w:val="20"/>
    </w:rPr>
  </w:style>
  <w:style w:type="character" w:customStyle="1" w:styleId="CommentTextChar">
    <w:name w:val="Comment Text Char"/>
    <w:basedOn w:val="DefaultParagraphFont"/>
    <w:link w:val="CommentText"/>
    <w:uiPriority w:val="99"/>
    <w:rsid w:val="00925F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5F76"/>
    <w:rPr>
      <w:b/>
      <w:bCs/>
    </w:rPr>
  </w:style>
  <w:style w:type="character" w:customStyle="1" w:styleId="CommentSubjectChar">
    <w:name w:val="Comment Subject Char"/>
    <w:basedOn w:val="CommentTextChar"/>
    <w:link w:val="CommentSubject"/>
    <w:uiPriority w:val="99"/>
    <w:semiHidden/>
    <w:rsid w:val="00925F7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25F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F76"/>
    <w:rPr>
      <w:rFonts w:ascii="Segoe UI" w:eastAsia="Times New Roman" w:hAnsi="Segoe UI" w:cs="Segoe UI"/>
      <w:sz w:val="18"/>
      <w:szCs w:val="18"/>
    </w:rPr>
  </w:style>
  <w:style w:type="paragraph" w:styleId="Header">
    <w:name w:val="header"/>
    <w:basedOn w:val="Normal"/>
    <w:link w:val="HeaderChar"/>
    <w:uiPriority w:val="99"/>
    <w:unhideWhenUsed/>
    <w:rsid w:val="00925F76"/>
    <w:pPr>
      <w:tabs>
        <w:tab w:val="center" w:pos="4513"/>
        <w:tab w:val="right" w:pos="9026"/>
      </w:tabs>
    </w:pPr>
  </w:style>
  <w:style w:type="character" w:customStyle="1" w:styleId="HeaderChar">
    <w:name w:val="Header Char"/>
    <w:basedOn w:val="DefaultParagraphFont"/>
    <w:link w:val="Header"/>
    <w:uiPriority w:val="99"/>
    <w:rsid w:val="00925F76"/>
    <w:rPr>
      <w:rFonts w:ascii="Times New Roman" w:eastAsia="Times New Roman" w:hAnsi="Times New Roman" w:cs="Times New Roman"/>
    </w:rPr>
  </w:style>
  <w:style w:type="paragraph" w:styleId="Footer">
    <w:name w:val="footer"/>
    <w:basedOn w:val="Normal"/>
    <w:link w:val="FooterChar"/>
    <w:uiPriority w:val="99"/>
    <w:unhideWhenUsed/>
    <w:rsid w:val="00925F76"/>
    <w:pPr>
      <w:tabs>
        <w:tab w:val="center" w:pos="4513"/>
        <w:tab w:val="right" w:pos="9026"/>
      </w:tabs>
    </w:pPr>
  </w:style>
  <w:style w:type="character" w:customStyle="1" w:styleId="FooterChar">
    <w:name w:val="Footer Char"/>
    <w:basedOn w:val="DefaultParagraphFont"/>
    <w:link w:val="Footer"/>
    <w:uiPriority w:val="99"/>
    <w:rsid w:val="00925F76"/>
    <w:rPr>
      <w:rFonts w:ascii="Times New Roman" w:eastAsia="Times New Roman" w:hAnsi="Times New Roman" w:cs="Times New Roman"/>
    </w:rPr>
  </w:style>
  <w:style w:type="character" w:styleId="Hyperlink">
    <w:name w:val="Hyperlink"/>
    <w:uiPriority w:val="99"/>
    <w:qFormat/>
    <w:rsid w:val="008C1B48"/>
    <w:rPr>
      <w:color w:val="0088CC"/>
    </w:rPr>
  </w:style>
  <w:style w:type="paragraph" w:customStyle="1" w:styleId="1">
    <w:name w:val="1"/>
    <w:basedOn w:val="Normal"/>
    <w:link w:val="FootnoteReference"/>
    <w:uiPriority w:val="99"/>
    <w:rsid w:val="008C1B48"/>
    <w:pPr>
      <w:widowControl/>
      <w:autoSpaceDE/>
      <w:autoSpaceDN/>
      <w:spacing w:after="160" w:line="240" w:lineRule="exact"/>
    </w:pPr>
    <w:rPr>
      <w:rFonts w:asciiTheme="minorHAnsi" w:eastAsiaTheme="minorHAnsi" w:hAnsiTheme="minorHAnsi" w:cstheme="minorBidi"/>
      <w:sz w:val="22"/>
      <w:vertAlign w:val="superscript"/>
    </w:rPr>
  </w:style>
  <w:style w:type="paragraph" w:customStyle="1" w:styleId="CM1">
    <w:name w:val="CM1"/>
    <w:basedOn w:val="Normal"/>
    <w:next w:val="Normal"/>
    <w:uiPriority w:val="99"/>
    <w:rsid w:val="00790521"/>
    <w:pPr>
      <w:widowControl/>
      <w:adjustRightInd w:val="0"/>
      <w:spacing w:after="0"/>
      <w:ind w:left="360" w:hanging="360"/>
      <w:jc w:val="both"/>
    </w:pPr>
    <w:rPr>
      <w:sz w:val="16"/>
      <w:szCs w:val="24"/>
      <w:lang w:val="en-GB" w:eastAsia="en-GB"/>
    </w:rPr>
  </w:style>
  <w:style w:type="paragraph" w:customStyle="1" w:styleId="Default">
    <w:name w:val="Default"/>
    <w:rsid w:val="00C6445D"/>
    <w:pPr>
      <w:widowControl/>
      <w:adjustRightInd w:val="0"/>
    </w:pPr>
    <w:rPr>
      <w:rFonts w:ascii="Times New Roman" w:hAnsi="Times New Roman" w:cs="Times New Roman"/>
      <w:color w:val="000000"/>
      <w:sz w:val="24"/>
      <w:szCs w:val="24"/>
      <w:lang w:val="en-GB"/>
    </w:rPr>
  </w:style>
  <w:style w:type="character" w:customStyle="1" w:styleId="Heading2Char">
    <w:name w:val="Heading 2 Char"/>
    <w:basedOn w:val="DefaultParagraphFont"/>
    <w:link w:val="Heading2"/>
    <w:uiPriority w:val="9"/>
    <w:rsid w:val="00D828C9"/>
    <w:rPr>
      <w:rFonts w:ascii="Times New Roman" w:eastAsia="Calibri" w:hAnsi="Times New Roman" w:cs="Times New Roman"/>
      <w:b/>
      <w:noProof/>
      <w:sz w:val="24"/>
      <w:szCs w:val="24"/>
      <w:lang w:val="en-GB"/>
    </w:rPr>
  </w:style>
  <w:style w:type="character" w:customStyle="1" w:styleId="DeltaViewInsertion">
    <w:name w:val="DeltaView Insertion"/>
    <w:uiPriority w:val="99"/>
    <w:rsid w:val="00D828C9"/>
    <w:rPr>
      <w:b/>
      <w:bCs w:val="0"/>
      <w:i/>
      <w:iCs w:val="0"/>
      <w:color w:val="000000"/>
    </w:rPr>
  </w:style>
  <w:style w:type="character" w:customStyle="1" w:styleId="DeltaViewDeletion">
    <w:name w:val="DeltaView Deletion"/>
    <w:uiPriority w:val="99"/>
    <w:rsid w:val="00D828C9"/>
    <w:rPr>
      <w:strike/>
      <w:color w:val="000000"/>
    </w:rPr>
  </w:style>
  <w:style w:type="paragraph" w:customStyle="1" w:styleId="Char2">
    <w:name w:val="Char2"/>
    <w:basedOn w:val="Normal"/>
    <w:rsid w:val="007D6D64"/>
    <w:pPr>
      <w:widowControl/>
      <w:autoSpaceDE/>
      <w:autoSpaceDN/>
      <w:spacing w:after="160" w:line="240" w:lineRule="exact"/>
    </w:pPr>
    <w:rPr>
      <w:szCs w:val="20"/>
      <w:vertAlign w:val="superscript"/>
      <w:lang w:val="en-GB" w:eastAsia="en-GB"/>
    </w:rPr>
  </w:style>
  <w:style w:type="paragraph" w:styleId="Revision">
    <w:name w:val="Revision"/>
    <w:hidden/>
    <w:uiPriority w:val="99"/>
    <w:semiHidden/>
    <w:rsid w:val="00755402"/>
    <w:pPr>
      <w:widowControl/>
      <w:autoSpaceDE/>
      <w:autoSpaceDN/>
    </w:pPr>
    <w:rPr>
      <w:rFonts w:ascii="Verdana" w:eastAsia="Times New Roman" w:hAnsi="Verdana"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671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s://ec.europa.eu/info/funding-tenders/opportunities/docs/2021-2027/relex/guidance/list-3rd-country-participation_relex_pt.pdf" TargetMode="External"/><Relationship Id="rId2" Type="http://schemas.openxmlformats.org/officeDocument/2006/relationships/hyperlink" Target="https://ec.europa.eu/info/funding-tenders/opportunities/docs/2021-2027/relex/guidance/list-3rd-country-participation_relex_es.pdf" TargetMode="External"/><Relationship Id="rId1" Type="http://schemas.openxmlformats.org/officeDocument/2006/relationships/hyperlink" Target="https://ec.europa.eu/info/funding-tenders/opportunities/docs/2021-2027/relex/guidance/list-3rd-country-participation_relex_fr.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r1 xmlns="1e866f1f-0b21-41dc-b9cb-81167115ab19" xsi:nil="true"/>
    <DocComments xmlns="1e866f1f-0b21-41dc-b9cb-81167115ab19" xsi:nil="true"/>
    <DocInternalExternal xmlns="1e866f1f-0b21-41dc-b9cb-81167115ab19">External</DocInternalExternal>
    <ProgrCategory xmlns="1e866f1f-0b21-41dc-b9cb-81167115ab19">2. Programme guidance</ProgrCategory>
    <ProgrGroup xmlns="1e866f1f-0b21-41dc-b9cb-81167115ab19">31 RELEX</ProgrGroup>
    <DocStatus xmlns="1e866f1f-0b21-41dc-b9cb-81167115ab19">Ready</DocStatus>
    <DocPublProtocol xmlns="1e866f1f-0b21-41dc-b9cb-81167115ab19">GUID1-1 Business - External guidance</DocPublProtocol>
    <ITcomments xmlns="1e866f1f-0b21-41dc-b9cb-81167115ab19" xsi:nil="true"/>
    <ITstatus xmlns="1e866f1f-0b21-41dc-b9cb-81167115ab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A8C0FE432B00E948BF17A18F874DA90A00D7277BFB522B774B92A9E609239131CC" ma:contentTypeVersion="34" ma:contentTypeDescription="Create a new document in this library." ma:contentTypeScope="" ma:versionID="cd263a25f00285ba3bb70935ed10e29c">
  <xsd:schema xmlns:xsd="http://www.w3.org/2001/XMLSchema" xmlns:xs="http://www.w3.org/2001/XMLSchema" xmlns:p="http://schemas.microsoft.com/office/2006/metadata/properties" xmlns:ns2="1e866f1f-0b21-41dc-b9cb-81167115ab19" xmlns:ns4="c1c27a6f-3295-4d53-88f7-dc2956bf7014" targetNamespace="http://schemas.microsoft.com/office/2006/metadata/properties" ma:root="true" ma:fieldsID="2f37c44bab351e702ab7551e922d8368" ns2:_="" ns4:_="">
    <xsd:import namespace="1e866f1f-0b21-41dc-b9cb-81167115ab19"/>
    <xsd:import namespace="c1c27a6f-3295-4d53-88f7-dc2956bf7014"/>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Status" minOccurs="0"/>
                <xsd:element ref="ns2:DocPublProtocol" minOccurs="0"/>
                <xsd:element ref="ns2:DocInternalExternal" minOccurs="0"/>
                <xsd:element ref="ns2:ITcomments" minOccurs="0"/>
                <xsd:element ref="ns2:ITstatus" minOccurs="0"/>
                <xsd:element ref="ns2:SharedWithUsers" minOccurs="0"/>
                <xsd:element ref="ns2:SharedWithDetails"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66f1f-0b21-41dc-b9cb-81167115ab19"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ma:readOnly="false">
      <xsd:simpleType>
        <xsd:union memberTypes="dms:Text">
          <xsd:simpleType>
            <xsd:restriction base="dms:Choice">
              <xsd:enumeration value="00 CORPORATE MASTERFILES"/>
              <xsd:enumeration value="00 HEALTHCHECKS"/>
              <xsd:enumeration value="01 HORIZON and EURATOM"/>
              <xsd:enumeration value="02 RFCS"/>
              <xsd:enumeration value="03 DIGITAL EUROPE (DEP)"/>
              <xsd:enumeration value="04 DEFENCE (EDF, ASAP and EDIRPA)"/>
              <xsd:enumeration value="05 SPACE"/>
              <xsd:enumeration value="06 CEF"/>
              <xsd:enumeration value="07 I3"/>
              <xsd:enumeration value="07a ERDF-TA"/>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5a BUSINESS CONSUMER SURVEYS (BCS)"/>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1 EUROPE DIRECT"/>
              <xsd:enumeration value="41 EUROPOL"/>
              <xsd:enumeration value="41 PPPA"/>
            </xsd:restriction>
          </xsd:simpleType>
        </xsd:union>
      </xsd:simpleType>
    </xsd:element>
    <xsd:element name="ProgrCategory" ma:index="2" nillable="true" ma:displayName="Programme Docs Category" ma:description="Needed for MGAs &amp; Programme Documents (MFF 2021-2027)" ma:format="Dropdown" ma:internalName="ProgrCategory" ma:readOnly="false">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DONE DOCUMENTS"/>
              <xsd:enumeration value="7. xxxx ORIGINAL DOCUMENTS"/>
              <xsd:enumeration value="1. PART C HEALTHCHECK"/>
              <xsd:enumeration value="2. MGA Annexes"/>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ASAP)"/>
              <xsd:enumeration value="3. Customised reports &amp; forms (EDIRPA)"/>
              <xsd:enumeration value="3. Customised reports &amp; forms (aCEF-T)"/>
              <xsd:enumeration value="3. Customised reports &amp; forms (bCEF-E)"/>
              <xsd:enumeration value="3. Customised reports &amp; forms (cCEF-DIG)"/>
              <xsd:enumeration value="3. Customised reports &amp; forms (INNOVFUND AUCTIONS)"/>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SMP SURV)"/>
              <xsd:enumeration value="3. Customised reports &amp; forms (ERASMUS JMO Schools Info Package)"/>
              <xsd:enumeration value="3. Customised reports &amp; forms (ECHE Certificate)"/>
              <xsd:enumeration value="3. Customised reports &amp; forms (ESC HUMAID Quality Label)"/>
              <xsd:enumeration value="3. Customised reports &amp; forms (ECHO Partnership Certificate)"/>
              <xsd:enumeration value="3. Customised reports &amp; forms (RELEX TWINNING)"/>
              <xsd:enumeration value="3. Customised reports &amp; forms (RELEX MOBAF)"/>
              <xsd:enumeration value="3. Customised reports &amp; forms (PPPA EACEA)"/>
            </xsd:restriction>
          </xsd:simpleType>
        </xsd:union>
      </xsd:simpleType>
    </xsd:element>
    <xsd:element name="Order1" ma:index="3" nillable="true" ma:displayName="Order" ma:indexed="true" ma:internalName="Order1" ma:readOnly="false" ma:percentage="FALSE">
      <xsd:simpleType>
        <xsd:restriction base="dms:Number"/>
      </xsd:simpleType>
    </xsd:element>
    <xsd:element name="DocComments" ma:index="4" nillable="true" ma:displayName="Doc Comments" ma:description="Needed for all Pages" ma:internalName="DocComments" ma:readOnly="false">
      <xsd:simpleType>
        <xsd:restriction base="dms:Note"/>
      </xsd:simpleType>
    </xsd:element>
    <xsd:element name="DocStatus" ma:index="5" nillable="true" ma:displayName="Doc Status" ma:description="Needed for all except GoFund Archive" ma:format="Dropdown" ma:internalName="DocStatus" ma:readOnly="false">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6" nillable="true" ma:displayName="Doc Publ. Protocol" ma:description="Needed for MGAs &amp; Programme Documents and Business Documents Management View" ma:format="Dropdown" ma:internalName="DocPublProtocol" ma:readOnly="false">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7" nillable="true" ma:displayName="Doc Internal/External" ma:description="Needed for MGAs &amp; Programme Documents and Business Documentation Management View" ma:format="Dropdown" ma:internalName="DocInternalExternal" ma:readOnly="false">
      <xsd:simpleType>
        <xsd:union memberTypes="dms:Text">
          <xsd:simpleType>
            <xsd:restriction base="dms:Choice">
              <xsd:enumeration value="Internal"/>
              <xsd:enumeration value="External"/>
              <xsd:enumeration value="Internal &amp; external"/>
            </xsd:restriction>
          </xsd:simpleType>
        </xsd:union>
      </xsd:simpleType>
    </xsd:element>
    <xsd:element name="ITcomments" ma:index="8" nillable="true" ma:displayName="IT Comments" ma:description="Needed for MGAs &amp; Programme Documents and Business Documents Normal View" ma:internalName="ITcomments" ma:readOnly="false">
      <xsd:simpleType>
        <xsd:restriction base="dms:Note">
          <xsd:maxLength value="255"/>
        </xsd:restriction>
      </xsd:simpleType>
    </xsd:element>
    <xsd:element name="ITstatus" ma:index="9" nillable="true" ma:displayName="IT Status" ma:description="Needed for MGAs &amp; Programme Documents and Business Documents Normal View" ma:format="Dropdown" ma:internalName="ITstatus" ma:readOnly="false">
      <xsd:simpleType>
        <xsd:union memberTypes="dms:Text">
          <xsd:simpleType>
            <xsd:restriction base="dms:Choice">
              <xsd:enumeration value="͏Wait"/>
              <xsd:enumeration value="Ready for IT"/>
              <xsd:enumeration value="IT implementation started"/>
              <xsd:enumeration value="IT implementation finished"/>
              <xsd:enumeration value="New version ready for IT"/>
              <xsd:enumeration value="n/a (no IT implementation)"/>
            </xsd:restriction>
          </xsd:simpleType>
        </xsd:un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c27a6f-3295-4d53-88f7-dc2956bf7014"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7" ma:displayName="Author"/>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F5ACE40-50E9-4A74-86AD-62F475DDDE17}">
  <ds:schemaRefs>
    <ds:schemaRef ds:uri="http://schemas.microsoft.com/office/2006/metadata/properties"/>
    <ds:schemaRef ds:uri="http://schemas.microsoft.com/office/infopath/2007/PartnerControls"/>
    <ds:schemaRef ds:uri="1e866f1f-0b21-41dc-b9cb-81167115ab19"/>
  </ds:schemaRefs>
</ds:datastoreItem>
</file>

<file path=customXml/itemProps2.xml><?xml version="1.0" encoding="utf-8"?>
<ds:datastoreItem xmlns:ds="http://schemas.openxmlformats.org/officeDocument/2006/customXml" ds:itemID="{63C5B1F6-AA23-4D69-8332-309BEFC442F9}">
  <ds:schemaRefs>
    <ds:schemaRef ds:uri="http://schemas.microsoft.com/sharepoint/v3/contenttype/forms"/>
  </ds:schemaRefs>
</ds:datastoreItem>
</file>

<file path=customXml/itemProps3.xml><?xml version="1.0" encoding="utf-8"?>
<ds:datastoreItem xmlns:ds="http://schemas.openxmlformats.org/officeDocument/2006/customXml" ds:itemID="{7FB92E29-BAA8-4278-93F3-6A5FC569B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66f1f-0b21-41dc-b9cb-81167115ab19"/>
    <ds:schemaRef ds:uri="c1c27a6f-3295-4d53-88f7-dc2956bf7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3A171A-4B56-458B-9C1E-49C9A9773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 Bettina (SJ)</dc:creator>
  <cp:keywords/>
  <dc:description/>
  <cp:lastModifiedBy>FABOZZI Sergio (EEAS-SAN JOSE)</cp:lastModifiedBy>
  <cp:revision>2</cp:revision>
  <dcterms:created xsi:type="dcterms:W3CDTF">2025-05-15T17:25:00Z</dcterms:created>
  <dcterms:modified xsi:type="dcterms:W3CDTF">2025-05-15T17:25:00Z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2018-09-06T00:00:00Z</vt:filetime>
  </property>
  <property fmtid="{D5CDD505-2E9C-101B-9397-08002B2CF9AE}" pid="3" name="LastSaved">
    <vt:filetime>2021-02-23T00:00:00Z</vt:filetime>
  </property>
  <property fmtid="{D5CDD505-2E9C-101B-9397-08002B2CF9AE}" pid="4" name="ContentTypeId">
    <vt:lpwstr>0x010100A8C0FE432B00E948BF17A18F874DA90A00D7277BFB522B774B92A9E609239131CC</vt:lpwstr>
  </property>
  <property fmtid="{D5CDD505-2E9C-101B-9397-08002B2CF9AE}" pid="5" name="MSIP_Label_6bd9ddd1-4d20-43f6-abfa-fc3c07406f94_Enabled">
    <vt:lpwstr>true</vt:lpwstr>
  </property>
  <property fmtid="{D5CDD505-2E9C-101B-9397-08002B2CF9AE}" pid="6" name="MSIP_Label_6bd9ddd1-4d20-43f6-abfa-fc3c07406f94_SetDate">
    <vt:lpwstr>2023-03-29T21:04:45Z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9b50ef25-f982-48b6-a815-a2fc93d2e1af</vt:lpwstr>
  </property>
  <property fmtid="{D5CDD505-2E9C-101B-9397-08002B2CF9AE}" pid="11" name="MSIP_Label_6bd9ddd1-4d20-43f6-abfa-fc3c07406f94_ContentBits">
    <vt:lpwstr>0</vt:lpwstr>
  </property>
  <property fmtid="{D5CDD505-2E9C-101B-9397-08002B2CF9AE}" pid="12" name="EC_Collab_Status">
    <vt:lpwstr>Not Started</vt:lpwstr>
  </property>
  <property fmtid="{D5CDD505-2E9C-101B-9397-08002B2CF9AE}" pid="13" name="EC_Collab_DocumentLanguage">
    <vt:lpwstr>EN</vt:lpwstr>
  </property>
</Properties>
</file>