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09265" w14:textId="77777777" w:rsidR="00536D2E" w:rsidRPr="00807DAF" w:rsidRDefault="008F40D7" w:rsidP="0070130B">
      <w:pPr>
        <w:spacing w:before="100" w:beforeAutospacing="1"/>
        <w:rPr>
          <w:noProof/>
        </w:rPr>
      </w:pPr>
      <w:r>
        <w:rPr>
          <w:noProof/>
          <w:lang w:val="en-GB" w:eastAsia="en-GB"/>
        </w:rPr>
        <w:drawing>
          <wp:inline distT="0" distB="0" distL="0" distR="0" wp14:anchorId="25277B28" wp14:editId="76AC7323">
            <wp:extent cx="156210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768350"/>
                    </a:xfrm>
                    <a:prstGeom prst="rect">
                      <a:avLst/>
                    </a:prstGeom>
                    <a:noFill/>
                    <a:ln>
                      <a:noFill/>
                    </a:ln>
                  </pic:spPr>
                </pic:pic>
              </a:graphicData>
            </a:graphic>
          </wp:inline>
        </w:drawing>
      </w:r>
    </w:p>
    <w:p w14:paraId="472D0542" w14:textId="77777777" w:rsidR="0007408E" w:rsidRPr="00807DAF" w:rsidRDefault="0007408E" w:rsidP="00536D2E">
      <w:pPr>
        <w:spacing w:before="960"/>
        <w:jc w:val="center"/>
        <w:rPr>
          <w:b/>
          <w:sz w:val="32"/>
        </w:rPr>
      </w:pPr>
      <w:r>
        <w:rPr>
          <w:b/>
          <w:sz w:val="32"/>
        </w:rPr>
        <w:t>Administration contractante</w:t>
      </w:r>
      <w:r>
        <w:rPr>
          <w:sz w:val="32"/>
        </w:rPr>
        <w:t xml:space="preserve">: </w:t>
      </w:r>
      <w:r w:rsidR="00683F23" w:rsidRPr="006A4ED5">
        <w:rPr>
          <w:sz w:val="32"/>
        </w:rPr>
        <w:t>Commission Européenne</w:t>
      </w:r>
    </w:p>
    <w:p w14:paraId="252F8347" w14:textId="75A42ABF" w:rsidR="0007408E" w:rsidRPr="006A4ED5" w:rsidRDefault="00B1275C" w:rsidP="00491F8A">
      <w:pPr>
        <w:pStyle w:val="Title"/>
        <w:spacing w:before="1320"/>
        <w:outlineLvl w:val="0"/>
        <w:rPr>
          <w:sz w:val="32"/>
          <w:szCs w:val="32"/>
        </w:rPr>
      </w:pPr>
      <w:bookmarkStart w:id="0" w:name="_Toc104797760"/>
      <w:r w:rsidRPr="006A4ED5">
        <w:rPr>
          <w:sz w:val="32"/>
          <w:szCs w:val="32"/>
        </w:rPr>
        <w:t>Appui à la stratégie de santé communautaire Burundaise</w:t>
      </w:r>
      <w:bookmarkEnd w:id="0"/>
    </w:p>
    <w:p w14:paraId="2ACC0D84" w14:textId="77777777" w:rsidR="00491F8A" w:rsidRPr="00807DAF" w:rsidRDefault="0007408E" w:rsidP="00491F8A">
      <w:pPr>
        <w:pStyle w:val="SubTitle1"/>
        <w:spacing w:before="480"/>
        <w:rPr>
          <w:b w:val="0"/>
          <w:sz w:val="32"/>
          <w:szCs w:val="32"/>
        </w:rPr>
      </w:pPr>
      <w:r>
        <w:rPr>
          <w:b w:val="0"/>
          <w:sz w:val="32"/>
          <w:szCs w:val="32"/>
        </w:rPr>
        <w:t>Lignes directrices</w:t>
      </w:r>
      <w:r>
        <w:rPr>
          <w:b w:val="0"/>
          <w:sz w:val="32"/>
          <w:szCs w:val="32"/>
        </w:rPr>
        <w:br/>
        <w:t>à l’intention des demandeurs de subventions</w:t>
      </w:r>
    </w:p>
    <w:p w14:paraId="712F48CF" w14:textId="6313B35B" w:rsidR="006225E8" w:rsidRPr="008503BC" w:rsidRDefault="006A4ED5" w:rsidP="00E13AE5">
      <w:pPr>
        <w:pStyle w:val="SubTitle1"/>
        <w:spacing w:before="480"/>
        <w:rPr>
          <w:b w:val="0"/>
          <w:sz w:val="32"/>
          <w:szCs w:val="32"/>
        </w:rPr>
      </w:pPr>
      <w:r w:rsidRPr="006A4ED5">
        <w:rPr>
          <w:b w:val="0"/>
          <w:sz w:val="32"/>
          <w:szCs w:val="32"/>
        </w:rPr>
        <w:t>Instrument de voisinage, de coopération au développement et de coopération internationale (IVCDCI-Europe dans le monde)</w:t>
      </w:r>
    </w:p>
    <w:p w14:paraId="32C24A40" w14:textId="77777777" w:rsidR="006A4ED5" w:rsidRDefault="006A4ED5" w:rsidP="006225E8">
      <w:pPr>
        <w:pStyle w:val="SubTitle2"/>
        <w:rPr>
          <w:b w:val="0"/>
        </w:rPr>
      </w:pPr>
    </w:p>
    <w:p w14:paraId="3E090E75" w14:textId="29C98364" w:rsidR="006225E8" w:rsidRPr="00807DAF" w:rsidRDefault="006225E8" w:rsidP="006225E8">
      <w:pPr>
        <w:pStyle w:val="SubTitle2"/>
      </w:pPr>
      <w:r>
        <w:rPr>
          <w:b w:val="0"/>
        </w:rPr>
        <w:t>Référence:</w:t>
      </w:r>
      <w:r w:rsidR="006A4ED5">
        <w:rPr>
          <w:b w:val="0"/>
        </w:rPr>
        <w:t xml:space="preserve"> NDICI/2022/41370/SUBVENTION</w:t>
      </w:r>
    </w:p>
    <w:p w14:paraId="3B3B8948" w14:textId="77777777" w:rsidR="006A4ED5" w:rsidRDefault="006A4ED5" w:rsidP="00491F8A">
      <w:pPr>
        <w:pStyle w:val="SubTitle2"/>
        <w:rPr>
          <w:b w:val="0"/>
          <w:szCs w:val="32"/>
        </w:rPr>
      </w:pPr>
    </w:p>
    <w:p w14:paraId="5A3D062A" w14:textId="77777777" w:rsidR="006A4ED5" w:rsidRDefault="006A4ED5" w:rsidP="00491F8A">
      <w:pPr>
        <w:pStyle w:val="SubTitle2"/>
        <w:rPr>
          <w:b w:val="0"/>
          <w:szCs w:val="32"/>
        </w:rPr>
      </w:pPr>
    </w:p>
    <w:p w14:paraId="7C7C6FA6" w14:textId="218BE16E" w:rsidR="00491F8A" w:rsidRDefault="007377DD" w:rsidP="00491F8A">
      <w:pPr>
        <w:pStyle w:val="SubTitle2"/>
        <w:rPr>
          <w:b w:val="0"/>
          <w:szCs w:val="32"/>
        </w:rPr>
      </w:pPr>
      <w:r>
        <w:rPr>
          <w:b w:val="0"/>
          <w:szCs w:val="32"/>
        </w:rPr>
        <w:t xml:space="preserve">Date limite de soumission de la </w:t>
      </w:r>
      <w:r w:rsidR="009011D2" w:rsidRPr="006A4ED5">
        <w:rPr>
          <w:b w:val="0"/>
          <w:szCs w:val="32"/>
        </w:rPr>
        <w:t>demande complète</w:t>
      </w:r>
      <w:r w:rsidRPr="006A4ED5">
        <w:rPr>
          <w:b w:val="0"/>
          <w:szCs w:val="32"/>
        </w:rPr>
        <w:t>:</w:t>
      </w:r>
      <w:r>
        <w:rPr>
          <w:b w:val="0"/>
          <w:szCs w:val="32"/>
        </w:rPr>
        <w:t xml:space="preserve"> </w:t>
      </w:r>
      <w:r w:rsidR="006A4ED5">
        <w:rPr>
          <w:b w:val="0"/>
          <w:szCs w:val="32"/>
        </w:rPr>
        <w:t>22/08/2022</w:t>
      </w:r>
    </w:p>
    <w:p w14:paraId="0E53FBA7" w14:textId="55C86E15" w:rsidR="00B92820" w:rsidRDefault="00B92820" w:rsidP="00491F8A">
      <w:pPr>
        <w:pStyle w:val="SubTitle2"/>
        <w:rPr>
          <w:b w:val="0"/>
          <w:szCs w:val="32"/>
        </w:rPr>
      </w:pPr>
    </w:p>
    <w:p w14:paraId="05340116" w14:textId="3C408FEF" w:rsidR="00B92820" w:rsidRPr="00B92820" w:rsidRDefault="00B92820" w:rsidP="00491F8A">
      <w:pPr>
        <w:pStyle w:val="SubTitle2"/>
        <w:rPr>
          <w:szCs w:val="32"/>
        </w:rPr>
      </w:pPr>
      <w:r w:rsidRPr="00B92820">
        <w:rPr>
          <w:szCs w:val="32"/>
        </w:rPr>
        <w:t>NB : Les présentes lignes directrices sont assorties d’une « clause suspensive ». Si la procédure décisionnelle de la Commission n’est pas menée à son terme pour la disponibilité des fonds, le présent appel à proposition</w:t>
      </w:r>
      <w:r w:rsidR="00255D80">
        <w:rPr>
          <w:szCs w:val="32"/>
        </w:rPr>
        <w:t>s</w:t>
      </w:r>
      <w:bookmarkStart w:id="1" w:name="_GoBack"/>
      <w:bookmarkEnd w:id="1"/>
      <w:r w:rsidRPr="00B92820">
        <w:rPr>
          <w:szCs w:val="32"/>
        </w:rPr>
        <w:t xml:space="preserve"> devra être annulé.</w:t>
      </w:r>
    </w:p>
    <w:p w14:paraId="4CD428A4" w14:textId="77777777" w:rsidR="0007408E" w:rsidRPr="00807DAF" w:rsidRDefault="007857D2" w:rsidP="00F00789">
      <w:pPr>
        <w:pStyle w:val="SubTitle1"/>
        <w:rPr>
          <w:sz w:val="32"/>
          <w:szCs w:val="32"/>
        </w:rPr>
      </w:pPr>
      <w:r>
        <w:br w:type="page"/>
      </w:r>
      <w:r>
        <w:rPr>
          <w:sz w:val="32"/>
          <w:szCs w:val="32"/>
        </w:rPr>
        <w:lastRenderedPageBreak/>
        <w:t>AVERTISSEMENT</w:t>
      </w:r>
    </w:p>
    <w:p w14:paraId="022806CE" w14:textId="77777777" w:rsidR="007857D2" w:rsidRPr="00807DAF" w:rsidRDefault="007857D2" w:rsidP="007857D2">
      <w:pPr>
        <w:pStyle w:val="SubTitle2"/>
        <w:rPr>
          <w:sz w:val="22"/>
          <w:szCs w:val="22"/>
        </w:rPr>
      </w:pPr>
    </w:p>
    <w:p w14:paraId="5499BD8A" w14:textId="4FF4CF25" w:rsidR="0052492E" w:rsidRPr="00BC0CFC" w:rsidRDefault="0052492E" w:rsidP="0052492E">
      <w:pPr>
        <w:pStyle w:val="Subtitle"/>
        <w:spacing w:after="240"/>
        <w:jc w:val="both"/>
        <w:rPr>
          <w:rFonts w:ascii="Times New Roman" w:hAnsi="Times New Roman"/>
          <w:b w:val="0"/>
          <w:sz w:val="22"/>
          <w:szCs w:val="22"/>
        </w:rPr>
      </w:pPr>
      <w:r w:rsidRPr="00BC0CFC">
        <w:rPr>
          <w:rFonts w:ascii="Times New Roman" w:hAnsi="Times New Roman"/>
          <w:b w:val="0"/>
          <w:sz w:val="22"/>
          <w:szCs w:val="22"/>
        </w:rPr>
        <w:t xml:space="preserve">Il s’agit d’un appel à propositions </w:t>
      </w:r>
      <w:r w:rsidR="00804AF3" w:rsidRPr="00BC0CFC">
        <w:rPr>
          <w:rFonts w:ascii="Times New Roman" w:hAnsi="Times New Roman"/>
          <w:b w:val="0"/>
          <w:sz w:val="22"/>
          <w:szCs w:val="22"/>
        </w:rPr>
        <w:t>ouvert</w:t>
      </w:r>
      <w:r w:rsidRPr="00BC0CFC">
        <w:rPr>
          <w:rFonts w:ascii="Times New Roman" w:hAnsi="Times New Roman"/>
          <w:b w:val="0"/>
          <w:sz w:val="22"/>
          <w:szCs w:val="22"/>
        </w:rPr>
        <w:t>.</w:t>
      </w:r>
      <w:r w:rsidR="00804AF3" w:rsidRPr="00BC0CFC">
        <w:rPr>
          <w:rFonts w:ascii="Times New Roman" w:hAnsi="Times New Roman"/>
          <w:b w:val="0"/>
          <w:sz w:val="22"/>
          <w:szCs w:val="22"/>
        </w:rPr>
        <w:t xml:space="preserve"> A</w:t>
      </w:r>
      <w:r w:rsidRPr="00BC0CFC">
        <w:rPr>
          <w:rFonts w:ascii="Times New Roman" w:hAnsi="Times New Roman"/>
          <w:b w:val="0"/>
          <w:sz w:val="22"/>
          <w:szCs w:val="22"/>
        </w:rPr>
        <w:t>près l’évaluation des demandes complètes, l’éligibilité des demandeurs provisoirement sélectionnés sera vérifiée sur la base des pièces justificatives demandées par l’administration contractante et de la</w:t>
      </w:r>
      <w:r w:rsidR="009011D2" w:rsidRPr="00BC0CFC">
        <w:rPr>
          <w:rFonts w:ascii="Times New Roman" w:hAnsi="Times New Roman"/>
          <w:b w:val="0"/>
          <w:sz w:val="22"/>
          <w:szCs w:val="22"/>
        </w:rPr>
        <w:t xml:space="preserve"> « déclaration</w:t>
      </w:r>
      <w:r w:rsidRPr="00BC0CFC">
        <w:rPr>
          <w:rFonts w:ascii="Times New Roman" w:hAnsi="Times New Roman"/>
          <w:b w:val="0"/>
          <w:sz w:val="22"/>
          <w:szCs w:val="22"/>
        </w:rPr>
        <w:t xml:space="preserve"> du demandeur chef de </w:t>
      </w:r>
      <w:r w:rsidR="009011D2" w:rsidRPr="00BC0CFC">
        <w:rPr>
          <w:rFonts w:ascii="Times New Roman" w:hAnsi="Times New Roman"/>
          <w:b w:val="0"/>
          <w:sz w:val="22"/>
          <w:szCs w:val="22"/>
        </w:rPr>
        <w:t>file »</w:t>
      </w:r>
      <w:r w:rsidRPr="00BC0CFC">
        <w:rPr>
          <w:rFonts w:ascii="Times New Roman" w:hAnsi="Times New Roman"/>
          <w:b w:val="0"/>
          <w:sz w:val="22"/>
          <w:szCs w:val="22"/>
        </w:rPr>
        <w:t xml:space="preserve"> signée, envoyées en même</w:t>
      </w:r>
      <w:r w:rsidR="00683F23" w:rsidRPr="00BC0CFC">
        <w:rPr>
          <w:rFonts w:ascii="Times New Roman" w:hAnsi="Times New Roman"/>
          <w:b w:val="0"/>
          <w:sz w:val="22"/>
          <w:szCs w:val="22"/>
        </w:rPr>
        <w:t xml:space="preserve"> temps que la demande complète.</w:t>
      </w:r>
    </w:p>
    <w:p w14:paraId="29093386" w14:textId="77777777" w:rsidR="00495849" w:rsidRDefault="00495849" w:rsidP="00495849"/>
    <w:p w14:paraId="21CF4164" w14:textId="77777777" w:rsidR="0007408E" w:rsidRPr="00807DAF" w:rsidRDefault="0007408E" w:rsidP="00EF1DCD">
      <w:pPr>
        <w:pageBreakBefore/>
        <w:spacing w:after="600"/>
        <w:jc w:val="center"/>
        <w:rPr>
          <w:sz w:val="32"/>
        </w:rPr>
      </w:pPr>
      <w:r>
        <w:rPr>
          <w:sz w:val="32"/>
        </w:rPr>
        <w:lastRenderedPageBreak/>
        <w:t>Table des matières</w:t>
      </w:r>
    </w:p>
    <w:p w14:paraId="729B8B77" w14:textId="34209C97" w:rsidR="00BA5D81" w:rsidRDefault="00BA5D81">
      <w:pPr>
        <w:pStyle w:val="TOC1"/>
        <w:rPr>
          <w:rFonts w:asciiTheme="minorHAnsi" w:eastAsiaTheme="minorEastAsia" w:hAnsiTheme="minorHAnsi" w:cstheme="minorBidi"/>
          <w:b w:val="0"/>
          <w:caps w:val="0"/>
          <w:noProof/>
          <w:snapToGrid/>
          <w:szCs w:val="22"/>
          <w:lang w:val="en-GB" w:eastAsia="en-GB"/>
        </w:rPr>
      </w:pPr>
      <w:r>
        <w:rPr>
          <w:sz w:val="28"/>
          <w:szCs w:val="28"/>
        </w:rPr>
        <w:fldChar w:fldCharType="begin"/>
      </w:r>
      <w:r>
        <w:rPr>
          <w:sz w:val="28"/>
          <w:szCs w:val="28"/>
        </w:rPr>
        <w:instrText xml:space="preserve"> TOC \o "1-3" \h \z \u </w:instrText>
      </w:r>
      <w:r>
        <w:rPr>
          <w:sz w:val="28"/>
          <w:szCs w:val="28"/>
        </w:rPr>
        <w:fldChar w:fldCharType="separate"/>
      </w:r>
      <w:hyperlink w:anchor="_Toc104797760" w:history="1">
        <w:r w:rsidRPr="00FD0ED6">
          <w:rPr>
            <w:rStyle w:val="Hyperlink"/>
            <w:noProof/>
          </w:rPr>
          <w:t>Appui à la stratégie de santé communautaire Burundaise</w:t>
        </w:r>
        <w:r>
          <w:rPr>
            <w:noProof/>
            <w:webHidden/>
          </w:rPr>
          <w:tab/>
        </w:r>
        <w:r>
          <w:rPr>
            <w:noProof/>
            <w:webHidden/>
          </w:rPr>
          <w:fldChar w:fldCharType="begin"/>
        </w:r>
        <w:r>
          <w:rPr>
            <w:noProof/>
            <w:webHidden/>
          </w:rPr>
          <w:instrText xml:space="preserve"> PAGEREF _Toc104797760 \h </w:instrText>
        </w:r>
        <w:r>
          <w:rPr>
            <w:noProof/>
            <w:webHidden/>
          </w:rPr>
        </w:r>
        <w:r>
          <w:rPr>
            <w:noProof/>
            <w:webHidden/>
          </w:rPr>
          <w:fldChar w:fldCharType="separate"/>
        </w:r>
        <w:r>
          <w:rPr>
            <w:noProof/>
            <w:webHidden/>
          </w:rPr>
          <w:t>1</w:t>
        </w:r>
        <w:r>
          <w:rPr>
            <w:noProof/>
            <w:webHidden/>
          </w:rPr>
          <w:fldChar w:fldCharType="end"/>
        </w:r>
      </w:hyperlink>
    </w:p>
    <w:p w14:paraId="5442558E" w14:textId="04F47BCC"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1" w:history="1">
        <w:r w:rsidR="00BA5D81" w:rsidRPr="00FD0ED6">
          <w:rPr>
            <w:rStyle w:val="Hyperlink"/>
            <w:noProof/>
          </w:rPr>
          <w:t>1.1.</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Contexte</w:t>
        </w:r>
        <w:r w:rsidR="00BA5D81">
          <w:rPr>
            <w:noProof/>
            <w:webHidden/>
          </w:rPr>
          <w:tab/>
        </w:r>
        <w:r w:rsidR="00BA5D81">
          <w:rPr>
            <w:noProof/>
            <w:webHidden/>
          </w:rPr>
          <w:fldChar w:fldCharType="begin"/>
        </w:r>
        <w:r w:rsidR="00BA5D81">
          <w:rPr>
            <w:noProof/>
            <w:webHidden/>
          </w:rPr>
          <w:instrText xml:space="preserve"> PAGEREF _Toc104797761 \h </w:instrText>
        </w:r>
        <w:r w:rsidR="00BA5D81">
          <w:rPr>
            <w:noProof/>
            <w:webHidden/>
          </w:rPr>
        </w:r>
        <w:r w:rsidR="00BA5D81">
          <w:rPr>
            <w:noProof/>
            <w:webHidden/>
          </w:rPr>
          <w:fldChar w:fldCharType="separate"/>
        </w:r>
        <w:r w:rsidR="00BA5D81">
          <w:rPr>
            <w:noProof/>
            <w:webHidden/>
          </w:rPr>
          <w:t>4</w:t>
        </w:r>
        <w:r w:rsidR="00BA5D81">
          <w:rPr>
            <w:noProof/>
            <w:webHidden/>
          </w:rPr>
          <w:fldChar w:fldCharType="end"/>
        </w:r>
      </w:hyperlink>
    </w:p>
    <w:p w14:paraId="0FD91636" w14:textId="616DF1B4"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2" w:history="1">
        <w:r w:rsidR="00BA5D81" w:rsidRPr="00FD0ED6">
          <w:rPr>
            <w:rStyle w:val="Hyperlink"/>
            <w:noProof/>
          </w:rPr>
          <w:t>1.2.</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Objectifs du programme et priorités</w:t>
        </w:r>
        <w:r w:rsidR="00BA5D81">
          <w:rPr>
            <w:noProof/>
            <w:webHidden/>
          </w:rPr>
          <w:tab/>
        </w:r>
        <w:r w:rsidR="00BA5D81">
          <w:rPr>
            <w:noProof/>
            <w:webHidden/>
          </w:rPr>
          <w:fldChar w:fldCharType="begin"/>
        </w:r>
        <w:r w:rsidR="00BA5D81">
          <w:rPr>
            <w:noProof/>
            <w:webHidden/>
          </w:rPr>
          <w:instrText xml:space="preserve"> PAGEREF _Toc104797762 \h </w:instrText>
        </w:r>
        <w:r w:rsidR="00BA5D81">
          <w:rPr>
            <w:noProof/>
            <w:webHidden/>
          </w:rPr>
        </w:r>
        <w:r w:rsidR="00BA5D81">
          <w:rPr>
            <w:noProof/>
            <w:webHidden/>
          </w:rPr>
          <w:fldChar w:fldCharType="separate"/>
        </w:r>
        <w:r w:rsidR="00BA5D81">
          <w:rPr>
            <w:noProof/>
            <w:webHidden/>
          </w:rPr>
          <w:t>5</w:t>
        </w:r>
        <w:r w:rsidR="00BA5D81">
          <w:rPr>
            <w:noProof/>
            <w:webHidden/>
          </w:rPr>
          <w:fldChar w:fldCharType="end"/>
        </w:r>
      </w:hyperlink>
    </w:p>
    <w:p w14:paraId="1635BF21" w14:textId="1BBAFA16"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3" w:history="1">
        <w:r w:rsidR="00BA5D81" w:rsidRPr="00FD0ED6">
          <w:rPr>
            <w:rStyle w:val="Hyperlink"/>
            <w:noProof/>
          </w:rPr>
          <w:t>1.3.</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Montant de l’enveloppe financière mise à disposition par l’administration contractante</w:t>
        </w:r>
        <w:r w:rsidR="00BA5D81">
          <w:rPr>
            <w:noProof/>
            <w:webHidden/>
          </w:rPr>
          <w:tab/>
        </w:r>
        <w:r w:rsidR="00BA5D81">
          <w:rPr>
            <w:noProof/>
            <w:webHidden/>
          </w:rPr>
          <w:fldChar w:fldCharType="begin"/>
        </w:r>
        <w:r w:rsidR="00BA5D81">
          <w:rPr>
            <w:noProof/>
            <w:webHidden/>
          </w:rPr>
          <w:instrText xml:space="preserve"> PAGEREF _Toc104797763 \h </w:instrText>
        </w:r>
        <w:r w:rsidR="00BA5D81">
          <w:rPr>
            <w:noProof/>
            <w:webHidden/>
          </w:rPr>
        </w:r>
        <w:r w:rsidR="00BA5D81">
          <w:rPr>
            <w:noProof/>
            <w:webHidden/>
          </w:rPr>
          <w:fldChar w:fldCharType="separate"/>
        </w:r>
        <w:r w:rsidR="00BA5D81">
          <w:rPr>
            <w:noProof/>
            <w:webHidden/>
          </w:rPr>
          <w:t>6</w:t>
        </w:r>
        <w:r w:rsidR="00BA5D81">
          <w:rPr>
            <w:noProof/>
            <w:webHidden/>
          </w:rPr>
          <w:fldChar w:fldCharType="end"/>
        </w:r>
      </w:hyperlink>
    </w:p>
    <w:p w14:paraId="26F22098" w14:textId="07E15506"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4" w:history="1">
        <w:r w:rsidR="00BA5D81" w:rsidRPr="00FD0ED6">
          <w:rPr>
            <w:rStyle w:val="Hyperlink"/>
            <w:noProof/>
          </w:rPr>
          <w:t>2.1.</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Critères d’éligibilité</w:t>
        </w:r>
        <w:r w:rsidR="00BA5D81">
          <w:rPr>
            <w:noProof/>
            <w:webHidden/>
          </w:rPr>
          <w:tab/>
        </w:r>
        <w:r w:rsidR="00BA5D81">
          <w:rPr>
            <w:noProof/>
            <w:webHidden/>
          </w:rPr>
          <w:fldChar w:fldCharType="begin"/>
        </w:r>
        <w:r w:rsidR="00BA5D81">
          <w:rPr>
            <w:noProof/>
            <w:webHidden/>
          </w:rPr>
          <w:instrText xml:space="preserve"> PAGEREF _Toc104797764 \h </w:instrText>
        </w:r>
        <w:r w:rsidR="00BA5D81">
          <w:rPr>
            <w:noProof/>
            <w:webHidden/>
          </w:rPr>
        </w:r>
        <w:r w:rsidR="00BA5D81">
          <w:rPr>
            <w:noProof/>
            <w:webHidden/>
          </w:rPr>
          <w:fldChar w:fldCharType="separate"/>
        </w:r>
        <w:r w:rsidR="00BA5D81">
          <w:rPr>
            <w:noProof/>
            <w:webHidden/>
          </w:rPr>
          <w:t>7</w:t>
        </w:r>
        <w:r w:rsidR="00BA5D81">
          <w:rPr>
            <w:noProof/>
            <w:webHidden/>
          </w:rPr>
          <w:fldChar w:fldCharType="end"/>
        </w:r>
      </w:hyperlink>
    </w:p>
    <w:p w14:paraId="31D92543" w14:textId="639B6026"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5" w:history="1">
        <w:r w:rsidR="00BA5D81" w:rsidRPr="00FD0ED6">
          <w:rPr>
            <w:rStyle w:val="Hyperlink"/>
            <w:noProof/>
          </w:rPr>
          <w:t>2.2.</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Présentation de la demande et procédures à suivre</w:t>
        </w:r>
        <w:r w:rsidR="00BA5D81">
          <w:rPr>
            <w:noProof/>
            <w:webHidden/>
          </w:rPr>
          <w:tab/>
        </w:r>
        <w:r w:rsidR="00BA5D81">
          <w:rPr>
            <w:noProof/>
            <w:webHidden/>
          </w:rPr>
          <w:fldChar w:fldCharType="begin"/>
        </w:r>
        <w:r w:rsidR="00BA5D81">
          <w:rPr>
            <w:noProof/>
            <w:webHidden/>
          </w:rPr>
          <w:instrText xml:space="preserve"> PAGEREF _Toc104797765 \h </w:instrText>
        </w:r>
        <w:r w:rsidR="00BA5D81">
          <w:rPr>
            <w:noProof/>
            <w:webHidden/>
          </w:rPr>
        </w:r>
        <w:r w:rsidR="00BA5D81">
          <w:rPr>
            <w:noProof/>
            <w:webHidden/>
          </w:rPr>
          <w:fldChar w:fldCharType="separate"/>
        </w:r>
        <w:r w:rsidR="00BA5D81">
          <w:rPr>
            <w:noProof/>
            <w:webHidden/>
          </w:rPr>
          <w:t>17</w:t>
        </w:r>
        <w:r w:rsidR="00BA5D81">
          <w:rPr>
            <w:noProof/>
            <w:webHidden/>
          </w:rPr>
          <w:fldChar w:fldCharType="end"/>
        </w:r>
      </w:hyperlink>
    </w:p>
    <w:p w14:paraId="72773E19" w14:textId="30FBCE37"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6" w:history="1">
        <w:r w:rsidR="00BA5D81" w:rsidRPr="00FD0ED6">
          <w:rPr>
            <w:rStyle w:val="Hyperlink"/>
            <w:noProof/>
          </w:rPr>
          <w:t>2.3.</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ÉVALUATION ET SELECTION DES DEMANDESes</w:t>
        </w:r>
        <w:r w:rsidR="00BA5D81">
          <w:rPr>
            <w:noProof/>
            <w:webHidden/>
          </w:rPr>
          <w:tab/>
        </w:r>
        <w:r w:rsidR="00BA5D81">
          <w:rPr>
            <w:noProof/>
            <w:webHidden/>
          </w:rPr>
          <w:fldChar w:fldCharType="begin"/>
        </w:r>
        <w:r w:rsidR="00BA5D81">
          <w:rPr>
            <w:noProof/>
            <w:webHidden/>
          </w:rPr>
          <w:instrText xml:space="preserve"> PAGEREF _Toc104797766 \h </w:instrText>
        </w:r>
        <w:r w:rsidR="00BA5D81">
          <w:rPr>
            <w:noProof/>
            <w:webHidden/>
          </w:rPr>
        </w:r>
        <w:r w:rsidR="00BA5D81">
          <w:rPr>
            <w:noProof/>
            <w:webHidden/>
          </w:rPr>
          <w:fldChar w:fldCharType="separate"/>
        </w:r>
        <w:r w:rsidR="00BA5D81">
          <w:rPr>
            <w:noProof/>
            <w:webHidden/>
          </w:rPr>
          <w:t>19</w:t>
        </w:r>
        <w:r w:rsidR="00BA5D81">
          <w:rPr>
            <w:noProof/>
            <w:webHidden/>
          </w:rPr>
          <w:fldChar w:fldCharType="end"/>
        </w:r>
      </w:hyperlink>
    </w:p>
    <w:p w14:paraId="63963F37" w14:textId="5B7D3D31"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7" w:history="1">
        <w:r w:rsidR="00BA5D81" w:rsidRPr="00FD0ED6">
          <w:rPr>
            <w:rStyle w:val="Hyperlink"/>
            <w:noProof/>
          </w:rPr>
          <w:t>2.4.</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Soumission des pièces justificatives</w:t>
        </w:r>
        <w:r w:rsidR="00BA5D81">
          <w:rPr>
            <w:noProof/>
            <w:webHidden/>
          </w:rPr>
          <w:tab/>
        </w:r>
        <w:r w:rsidR="00BA5D81">
          <w:rPr>
            <w:noProof/>
            <w:webHidden/>
          </w:rPr>
          <w:fldChar w:fldCharType="begin"/>
        </w:r>
        <w:r w:rsidR="00BA5D81">
          <w:rPr>
            <w:noProof/>
            <w:webHidden/>
          </w:rPr>
          <w:instrText xml:space="preserve"> PAGEREF _Toc104797767 \h </w:instrText>
        </w:r>
        <w:r w:rsidR="00BA5D81">
          <w:rPr>
            <w:noProof/>
            <w:webHidden/>
          </w:rPr>
        </w:r>
        <w:r w:rsidR="00BA5D81">
          <w:rPr>
            <w:noProof/>
            <w:webHidden/>
          </w:rPr>
          <w:fldChar w:fldCharType="separate"/>
        </w:r>
        <w:r w:rsidR="00BA5D81">
          <w:rPr>
            <w:noProof/>
            <w:webHidden/>
          </w:rPr>
          <w:t>22</w:t>
        </w:r>
        <w:r w:rsidR="00BA5D81">
          <w:rPr>
            <w:noProof/>
            <w:webHidden/>
          </w:rPr>
          <w:fldChar w:fldCharType="end"/>
        </w:r>
      </w:hyperlink>
    </w:p>
    <w:p w14:paraId="1603FDD2" w14:textId="46E81F5B" w:rsidR="00BA5D81" w:rsidRDefault="00255D80">
      <w:pPr>
        <w:pStyle w:val="TOC1"/>
        <w:tabs>
          <w:tab w:val="left" w:pos="709"/>
        </w:tabs>
        <w:rPr>
          <w:rFonts w:asciiTheme="minorHAnsi" w:eastAsiaTheme="minorEastAsia" w:hAnsiTheme="minorHAnsi" w:cstheme="minorBidi"/>
          <w:b w:val="0"/>
          <w:caps w:val="0"/>
          <w:noProof/>
          <w:snapToGrid/>
          <w:szCs w:val="22"/>
          <w:lang w:val="en-GB" w:eastAsia="en-GB"/>
        </w:rPr>
      </w:pPr>
      <w:hyperlink w:anchor="_Toc104797768" w:history="1">
        <w:r w:rsidR="00BA5D81" w:rsidRPr="00FD0ED6">
          <w:rPr>
            <w:rStyle w:val="Hyperlink"/>
            <w:noProof/>
          </w:rPr>
          <w:t>2.5.</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Notification de la décision de présélection, négociation et notification d’attribution</w:t>
        </w:r>
        <w:r w:rsidR="00BA5D81">
          <w:rPr>
            <w:noProof/>
            <w:webHidden/>
          </w:rPr>
          <w:tab/>
        </w:r>
        <w:r w:rsidR="00BA5D81">
          <w:rPr>
            <w:noProof/>
            <w:webHidden/>
          </w:rPr>
          <w:fldChar w:fldCharType="begin"/>
        </w:r>
        <w:r w:rsidR="00BA5D81">
          <w:rPr>
            <w:noProof/>
            <w:webHidden/>
          </w:rPr>
          <w:instrText xml:space="preserve"> PAGEREF _Toc104797768 \h </w:instrText>
        </w:r>
        <w:r w:rsidR="00BA5D81">
          <w:rPr>
            <w:noProof/>
            <w:webHidden/>
          </w:rPr>
        </w:r>
        <w:r w:rsidR="00BA5D81">
          <w:rPr>
            <w:noProof/>
            <w:webHidden/>
          </w:rPr>
          <w:fldChar w:fldCharType="separate"/>
        </w:r>
        <w:r w:rsidR="00BA5D81">
          <w:rPr>
            <w:noProof/>
            <w:webHidden/>
          </w:rPr>
          <w:t>23</w:t>
        </w:r>
        <w:r w:rsidR="00BA5D81">
          <w:rPr>
            <w:noProof/>
            <w:webHidden/>
          </w:rPr>
          <w:fldChar w:fldCharType="end"/>
        </w:r>
      </w:hyperlink>
    </w:p>
    <w:p w14:paraId="322D16CA" w14:textId="7B80343B" w:rsidR="00BA5D81" w:rsidRDefault="00255D80">
      <w:pPr>
        <w:pStyle w:val="TOC1"/>
        <w:tabs>
          <w:tab w:val="left" w:pos="709"/>
        </w:tabs>
        <w:rPr>
          <w:noProof/>
        </w:rPr>
      </w:pPr>
      <w:hyperlink w:anchor="_Toc104797769" w:history="1">
        <w:r w:rsidR="00BA5D81" w:rsidRPr="00FD0ED6">
          <w:rPr>
            <w:rStyle w:val="Hyperlink"/>
            <w:noProof/>
          </w:rPr>
          <w:t>2.6.</w:t>
        </w:r>
        <w:r w:rsidR="00BA5D81">
          <w:rPr>
            <w:rFonts w:asciiTheme="minorHAnsi" w:eastAsiaTheme="minorEastAsia" w:hAnsiTheme="minorHAnsi" w:cstheme="minorBidi"/>
            <w:b w:val="0"/>
            <w:caps w:val="0"/>
            <w:noProof/>
            <w:snapToGrid/>
            <w:szCs w:val="22"/>
            <w:lang w:val="en-GB" w:eastAsia="en-GB"/>
          </w:rPr>
          <w:tab/>
        </w:r>
        <w:r w:rsidR="00BA5D81" w:rsidRPr="00FD0ED6">
          <w:rPr>
            <w:rStyle w:val="Hyperlink"/>
            <w:noProof/>
          </w:rPr>
          <w:t>Conditions de la mise en œuvre après la décision de l’administration contractante d’attribuer une subvention</w:t>
        </w:r>
        <w:r w:rsidR="00BA5D81">
          <w:rPr>
            <w:noProof/>
            <w:webHidden/>
          </w:rPr>
          <w:tab/>
        </w:r>
        <w:r w:rsidR="00BA5D81">
          <w:rPr>
            <w:noProof/>
            <w:webHidden/>
          </w:rPr>
          <w:fldChar w:fldCharType="begin"/>
        </w:r>
        <w:r w:rsidR="00BA5D81">
          <w:rPr>
            <w:noProof/>
            <w:webHidden/>
          </w:rPr>
          <w:instrText xml:space="preserve"> PAGEREF _Toc104797769 \h </w:instrText>
        </w:r>
        <w:r w:rsidR="00BA5D81">
          <w:rPr>
            <w:noProof/>
            <w:webHidden/>
          </w:rPr>
        </w:r>
        <w:r w:rsidR="00BA5D81">
          <w:rPr>
            <w:noProof/>
            <w:webHidden/>
          </w:rPr>
          <w:fldChar w:fldCharType="separate"/>
        </w:r>
        <w:r w:rsidR="00BA5D81">
          <w:rPr>
            <w:noProof/>
            <w:webHidden/>
          </w:rPr>
          <w:t>24</w:t>
        </w:r>
        <w:r w:rsidR="00BA5D81">
          <w:rPr>
            <w:noProof/>
            <w:webHidden/>
          </w:rPr>
          <w:fldChar w:fldCharType="end"/>
        </w:r>
      </w:hyperlink>
    </w:p>
    <w:p w14:paraId="53D8B791" w14:textId="41376CA0" w:rsidR="002C5CA8" w:rsidRPr="002C5CA8" w:rsidRDefault="002C5CA8" w:rsidP="002C5CA8">
      <w:pPr>
        <w:rPr>
          <w:rFonts w:eastAsiaTheme="minorEastAsia"/>
          <w:b/>
        </w:rPr>
      </w:pPr>
      <w:r w:rsidRPr="002C5CA8">
        <w:rPr>
          <w:rFonts w:eastAsiaTheme="minorEastAsia"/>
          <w:b/>
        </w:rPr>
        <w:t>3. Liste des annexes</w:t>
      </w:r>
    </w:p>
    <w:p w14:paraId="4A9AC302" w14:textId="3B654F7A" w:rsidR="00491F8A" w:rsidRPr="00807DAF" w:rsidRDefault="00BA5D81" w:rsidP="00495849">
      <w:pPr>
        <w:rPr>
          <w:sz w:val="28"/>
          <w:szCs w:val="28"/>
        </w:rPr>
        <w:sectPr w:rsidR="00491F8A" w:rsidRPr="00807DAF" w:rsidSect="002D4ACD">
          <w:footerReference w:type="first" r:id="rId12"/>
          <w:pgSz w:w="11906" w:h="16838" w:code="9"/>
          <w:pgMar w:top="1021" w:right="1134" w:bottom="1021" w:left="1134" w:header="567" w:footer="545" w:gutter="0"/>
          <w:cols w:space="720"/>
          <w:titlePg/>
        </w:sectPr>
      </w:pPr>
      <w:r>
        <w:rPr>
          <w:sz w:val="28"/>
          <w:szCs w:val="28"/>
        </w:rPr>
        <w:fldChar w:fldCharType="end"/>
      </w:r>
    </w:p>
    <w:p w14:paraId="2E380463" w14:textId="5D4DB596" w:rsidR="0007408E" w:rsidRPr="00FF3C0C" w:rsidRDefault="00A15D4F" w:rsidP="00643567">
      <w:pPr>
        <w:pStyle w:val="Guidelines1"/>
      </w:pPr>
      <w:r w:rsidRPr="00FF3C0C">
        <w:lastRenderedPageBreak/>
        <w:t>APPUI À LA STRATEGIE DE SANTE COMMUNAUTAIRE BURUNDAISE</w:t>
      </w:r>
    </w:p>
    <w:p w14:paraId="360D0994" w14:textId="4BC6292D" w:rsidR="0007408E" w:rsidRPr="00FF3C0C" w:rsidRDefault="0007408E" w:rsidP="004741A1">
      <w:pPr>
        <w:pStyle w:val="Guidelines2"/>
      </w:pPr>
      <w:bookmarkStart w:id="2" w:name="_Toc104797761"/>
      <w:r w:rsidRPr="00FF3C0C">
        <w:t>Contexte</w:t>
      </w:r>
      <w:bookmarkEnd w:id="2"/>
    </w:p>
    <w:p w14:paraId="42A4ADB2" w14:textId="5B4C3D70" w:rsidR="0047762C" w:rsidRPr="00FF3C0C" w:rsidRDefault="00A15D4F" w:rsidP="00BD6FF1">
      <w:r w:rsidRPr="00FF3C0C">
        <w:t xml:space="preserve">La Constitution du Burundi reconnaît le droit à la santé et vise la couverture sanitaire universelle. Le </w:t>
      </w:r>
      <w:r w:rsidR="0047762C" w:rsidRPr="00FF3C0C">
        <w:t>3</w:t>
      </w:r>
      <w:r w:rsidR="0047762C" w:rsidRPr="00FF3C0C">
        <w:rPr>
          <w:vertAlign w:val="superscript"/>
        </w:rPr>
        <w:t>ième</w:t>
      </w:r>
      <w:r w:rsidR="0047762C" w:rsidRPr="00FF3C0C">
        <w:t xml:space="preserve"> </w:t>
      </w:r>
      <w:r w:rsidRPr="00FF3C0C">
        <w:t>Plan National de Développement Sanitaire (PNDS</w:t>
      </w:r>
      <w:r w:rsidR="0047762C" w:rsidRPr="00FF3C0C">
        <w:t xml:space="preserve"> III</w:t>
      </w:r>
      <w:r w:rsidRPr="00FF3C0C">
        <w:t>) 201</w:t>
      </w:r>
      <w:r w:rsidR="0047762C" w:rsidRPr="00FF3C0C">
        <w:t>9</w:t>
      </w:r>
      <w:r w:rsidRPr="00FF3C0C">
        <w:t>-20</w:t>
      </w:r>
      <w:r w:rsidR="0047762C" w:rsidRPr="00FF3C0C">
        <w:t>23</w:t>
      </w:r>
      <w:r w:rsidRPr="00FF3C0C">
        <w:t xml:space="preserve"> sert de cadre stratégique pour renforcer le système de santé, en accord avec la Politique Nationale de Développement Sanitaire 2016-2025.  </w:t>
      </w:r>
      <w:r w:rsidR="00554652" w:rsidRPr="00FF3C0C">
        <w:rPr>
          <w:szCs w:val="22"/>
        </w:rPr>
        <w:t>Une nouvelle stratégie de financement de la santé et les mécanismes de protection sociale y afférents sont en cours d’élaboration et de discussion</w:t>
      </w:r>
      <w:r w:rsidR="00554652" w:rsidRPr="00FF3C0C">
        <w:rPr>
          <w:rStyle w:val="FootnoteReference"/>
          <w:szCs w:val="22"/>
        </w:rPr>
        <w:footnoteReference w:id="2"/>
      </w:r>
      <w:r w:rsidR="00554652" w:rsidRPr="00FF3C0C">
        <w:rPr>
          <w:szCs w:val="22"/>
        </w:rPr>
        <w:t>. La dépense publique de santé représentant 12% du budget de l’État</w:t>
      </w:r>
      <w:r w:rsidR="00554652" w:rsidRPr="00FF3C0C">
        <w:rPr>
          <w:rStyle w:val="FootnoteReference"/>
          <w:szCs w:val="22"/>
        </w:rPr>
        <w:footnoteReference w:id="3"/>
      </w:r>
      <w:r w:rsidR="00554652" w:rsidRPr="00FF3C0C">
        <w:rPr>
          <w:szCs w:val="22"/>
        </w:rPr>
        <w:t xml:space="preserve"> laisse peu de marge de manœuvre budgétaire et incite à la recherche d’efficience technique à tous les niveaux du système, et à un meilleur financement des services de base par une plus grande efficience </w:t>
      </w:r>
      <w:r w:rsidR="009011D2" w:rsidRPr="00FF3C0C">
        <w:rPr>
          <w:szCs w:val="22"/>
        </w:rPr>
        <w:t>allocutive</w:t>
      </w:r>
      <w:r w:rsidR="00554652" w:rsidRPr="00FF3C0C">
        <w:rPr>
          <w:szCs w:val="22"/>
        </w:rPr>
        <w:t>.</w:t>
      </w:r>
    </w:p>
    <w:p w14:paraId="7201F9E2" w14:textId="2CAAD719" w:rsidR="00683F23" w:rsidRPr="00FF3C0C" w:rsidRDefault="00683F23" w:rsidP="00683F23">
      <w:pPr>
        <w:pStyle w:val="NormalWeb"/>
        <w:jc w:val="both"/>
        <w:rPr>
          <w:sz w:val="22"/>
          <w:szCs w:val="22"/>
        </w:rPr>
      </w:pPr>
      <w:r w:rsidRPr="00FF3C0C">
        <w:rPr>
          <w:sz w:val="22"/>
          <w:szCs w:val="22"/>
        </w:rPr>
        <w:t>Malgré de récents progrès, l’état de santé de la population burundaise reste précaire, affectée par les maladies infectieuses qui restent au premier plan, ainsi que les maladies non transmissibles en progression notoire. Pour y faire face, le système de santé du Burundi est organisé en une classique pyramide sanitaire à trois niveaux. Entité opérationnelle de base, le district sanitaire est constitué d’une structure administrative, d’un hôpital et d’un réseau de centres de santé publics, agrées ou privés</w:t>
      </w:r>
      <w:r w:rsidRPr="00FF3C0C">
        <w:rPr>
          <w:rStyle w:val="FootnoteReference"/>
          <w:sz w:val="22"/>
          <w:szCs w:val="22"/>
        </w:rPr>
        <w:footnoteReference w:id="4"/>
      </w:r>
      <w:r w:rsidRPr="00FF3C0C">
        <w:rPr>
          <w:sz w:val="22"/>
          <w:szCs w:val="22"/>
        </w:rPr>
        <w:t xml:space="preserve">. Plus de 80% de la population réside à moins de 5 km </w:t>
      </w:r>
      <w:r w:rsidR="00261DE6" w:rsidRPr="00FF3C0C">
        <w:rPr>
          <w:sz w:val="22"/>
          <w:szCs w:val="22"/>
        </w:rPr>
        <w:t>d’une formation sanitaire (FOSA: centres de santé et hôpitaux de district),</w:t>
      </w:r>
      <w:r w:rsidRPr="00FF3C0C">
        <w:rPr>
          <w:sz w:val="22"/>
          <w:szCs w:val="22"/>
        </w:rPr>
        <w:t xml:space="preserve"> avec cependant d’importantes inégalités géographiques en matière d’infrastructures, équipements,</w:t>
      </w:r>
      <w:r w:rsidR="00267DDA" w:rsidRPr="00FF3C0C">
        <w:rPr>
          <w:sz w:val="22"/>
          <w:szCs w:val="22"/>
        </w:rPr>
        <w:t xml:space="preserve"> disponibilité des personnels</w:t>
      </w:r>
      <w:r w:rsidRPr="00FF3C0C">
        <w:rPr>
          <w:sz w:val="22"/>
          <w:szCs w:val="22"/>
        </w:rPr>
        <w:t xml:space="preserve"> </w:t>
      </w:r>
      <w:r w:rsidR="00267DDA" w:rsidRPr="00FF3C0C">
        <w:rPr>
          <w:sz w:val="22"/>
          <w:szCs w:val="22"/>
        </w:rPr>
        <w:t xml:space="preserve">de santé </w:t>
      </w:r>
      <w:r w:rsidRPr="00FF3C0C">
        <w:rPr>
          <w:sz w:val="22"/>
          <w:szCs w:val="22"/>
        </w:rPr>
        <w:t xml:space="preserve">et </w:t>
      </w:r>
      <w:r w:rsidR="00267DDA" w:rsidRPr="00FF3C0C">
        <w:rPr>
          <w:sz w:val="22"/>
          <w:szCs w:val="22"/>
        </w:rPr>
        <w:t>médicaments essentiels</w:t>
      </w:r>
      <w:r w:rsidRPr="00FF3C0C">
        <w:rPr>
          <w:sz w:val="22"/>
          <w:szCs w:val="22"/>
        </w:rPr>
        <w:t>, ainsi que d</w:t>
      </w:r>
      <w:r w:rsidR="00267DDA" w:rsidRPr="00FF3C0C">
        <w:rPr>
          <w:sz w:val="22"/>
          <w:szCs w:val="22"/>
        </w:rPr>
        <w:t>’installations sanitaires (</w:t>
      </w:r>
      <w:r w:rsidRPr="00FF3C0C">
        <w:rPr>
          <w:sz w:val="22"/>
          <w:szCs w:val="22"/>
        </w:rPr>
        <w:t>eau</w:t>
      </w:r>
      <w:r w:rsidR="00267DDA" w:rsidRPr="00FF3C0C">
        <w:rPr>
          <w:sz w:val="22"/>
          <w:szCs w:val="22"/>
        </w:rPr>
        <w:t xml:space="preserve"> potable et assainissement)</w:t>
      </w:r>
      <w:r w:rsidRPr="00FF3C0C">
        <w:rPr>
          <w:sz w:val="22"/>
          <w:szCs w:val="22"/>
        </w:rPr>
        <w:t>, électricité et télécommunications. L’indice de capacité opérationnelle des services a progressé de 59% en 2013 à 65% en 2015</w:t>
      </w:r>
      <w:r w:rsidRPr="00FF3C0C">
        <w:rPr>
          <w:rStyle w:val="FootnoteReference"/>
          <w:sz w:val="22"/>
          <w:szCs w:val="22"/>
        </w:rPr>
        <w:footnoteReference w:id="5"/>
      </w:r>
      <w:r w:rsidRPr="00FF3C0C">
        <w:rPr>
          <w:sz w:val="22"/>
          <w:szCs w:val="22"/>
        </w:rPr>
        <w:t xml:space="preserve">. </w:t>
      </w:r>
    </w:p>
    <w:p w14:paraId="0A74D536" w14:textId="4FB0167A" w:rsidR="00E30B8B" w:rsidRPr="00FF3C0C" w:rsidRDefault="00E30B8B" w:rsidP="00683F23">
      <w:pPr>
        <w:pStyle w:val="NormalWeb"/>
        <w:jc w:val="both"/>
        <w:rPr>
          <w:sz w:val="22"/>
          <w:szCs w:val="22"/>
        </w:rPr>
      </w:pPr>
      <w:r w:rsidRPr="00FF3C0C">
        <w:rPr>
          <w:sz w:val="22"/>
          <w:szCs w:val="22"/>
        </w:rPr>
        <w:t xml:space="preserve">Une stratégie nationale de santé communautaire vise à dynamiser la santé communautaire et renforcer les liens de la population avec les centres de santé via une cogestion du système de santé primaire par la société civile. </w:t>
      </w:r>
      <w:r w:rsidR="00267DDA" w:rsidRPr="00FF3C0C">
        <w:rPr>
          <w:sz w:val="22"/>
          <w:szCs w:val="22"/>
        </w:rPr>
        <w:t>Les</w:t>
      </w:r>
      <w:r w:rsidR="00683F23" w:rsidRPr="00FF3C0C">
        <w:rPr>
          <w:sz w:val="22"/>
          <w:szCs w:val="22"/>
        </w:rPr>
        <w:t xml:space="preserve"> </w:t>
      </w:r>
      <w:r w:rsidR="00267DDA" w:rsidRPr="00FF3C0C">
        <w:rPr>
          <w:sz w:val="22"/>
          <w:szCs w:val="22"/>
        </w:rPr>
        <w:t>communautés</w:t>
      </w:r>
      <w:r w:rsidR="00683F23" w:rsidRPr="00FF3C0C">
        <w:rPr>
          <w:sz w:val="22"/>
          <w:szCs w:val="22"/>
        </w:rPr>
        <w:t xml:space="preserve"> joue</w:t>
      </w:r>
      <w:r w:rsidR="00267DDA" w:rsidRPr="00FF3C0C">
        <w:rPr>
          <w:sz w:val="22"/>
          <w:szCs w:val="22"/>
        </w:rPr>
        <w:t>nt</w:t>
      </w:r>
      <w:r w:rsidR="00683F23" w:rsidRPr="00FF3C0C">
        <w:rPr>
          <w:sz w:val="22"/>
          <w:szCs w:val="22"/>
        </w:rPr>
        <w:t xml:space="preserve"> </w:t>
      </w:r>
      <w:r w:rsidRPr="00FF3C0C">
        <w:rPr>
          <w:sz w:val="22"/>
          <w:szCs w:val="22"/>
        </w:rPr>
        <w:t xml:space="preserve">en effet </w:t>
      </w:r>
      <w:r w:rsidR="00683F23" w:rsidRPr="00FF3C0C">
        <w:rPr>
          <w:sz w:val="22"/>
          <w:szCs w:val="22"/>
        </w:rPr>
        <w:t xml:space="preserve">un </w:t>
      </w:r>
      <w:r w:rsidR="00267DDA" w:rsidRPr="00FF3C0C">
        <w:rPr>
          <w:sz w:val="22"/>
          <w:szCs w:val="22"/>
        </w:rPr>
        <w:t>rôle important</w:t>
      </w:r>
      <w:r w:rsidR="00554652" w:rsidRPr="00FF3C0C">
        <w:rPr>
          <w:sz w:val="22"/>
          <w:szCs w:val="22"/>
        </w:rPr>
        <w:t xml:space="preserve"> dans </w:t>
      </w:r>
      <w:r w:rsidR="00267DDA" w:rsidRPr="00FF3C0C">
        <w:rPr>
          <w:sz w:val="22"/>
          <w:szCs w:val="22"/>
        </w:rPr>
        <w:t>la</w:t>
      </w:r>
      <w:r w:rsidR="00683F23" w:rsidRPr="00FF3C0C">
        <w:rPr>
          <w:sz w:val="22"/>
          <w:szCs w:val="22"/>
        </w:rPr>
        <w:t xml:space="preserve"> planification et la gestion des </w:t>
      </w:r>
      <w:r w:rsidR="00267DDA" w:rsidRPr="00FF3C0C">
        <w:rPr>
          <w:sz w:val="22"/>
          <w:szCs w:val="22"/>
        </w:rPr>
        <w:t>FOSA</w:t>
      </w:r>
      <w:r w:rsidR="00683F23" w:rsidRPr="00FF3C0C">
        <w:rPr>
          <w:sz w:val="22"/>
          <w:szCs w:val="22"/>
        </w:rPr>
        <w:t xml:space="preserve">, </w:t>
      </w:r>
      <w:r w:rsidR="00267DDA" w:rsidRPr="00FF3C0C">
        <w:rPr>
          <w:sz w:val="22"/>
          <w:szCs w:val="22"/>
        </w:rPr>
        <w:t>mais également dans la prévention et promotion de la santé et l’orientation vers les services via l’action des agents de santé communautaires (ASC), et dans</w:t>
      </w:r>
      <w:r w:rsidR="00683F23" w:rsidRPr="00FF3C0C">
        <w:rPr>
          <w:sz w:val="22"/>
          <w:szCs w:val="22"/>
        </w:rPr>
        <w:t xml:space="preserve"> l’action sociale de base à travers l’identification des indigents pour leur couverture santé. Les </w:t>
      </w:r>
      <w:r w:rsidR="00E741FF" w:rsidRPr="00FF3C0C">
        <w:rPr>
          <w:sz w:val="22"/>
          <w:szCs w:val="22"/>
        </w:rPr>
        <w:t>décisions</w:t>
      </w:r>
      <w:r w:rsidR="00683F23" w:rsidRPr="00FF3C0C">
        <w:rPr>
          <w:sz w:val="22"/>
          <w:szCs w:val="22"/>
        </w:rPr>
        <w:t xml:space="preserve"> sont pr</w:t>
      </w:r>
      <w:r w:rsidR="00554652" w:rsidRPr="00FF3C0C">
        <w:rPr>
          <w:sz w:val="22"/>
          <w:szCs w:val="22"/>
        </w:rPr>
        <w:t>ises collectivement à travers l</w:t>
      </w:r>
      <w:r w:rsidR="00683F23" w:rsidRPr="00FF3C0C">
        <w:rPr>
          <w:sz w:val="22"/>
          <w:szCs w:val="22"/>
        </w:rPr>
        <w:t xml:space="preserve">es </w:t>
      </w:r>
      <w:r w:rsidR="00E741FF" w:rsidRPr="00FF3C0C">
        <w:rPr>
          <w:sz w:val="22"/>
          <w:szCs w:val="22"/>
        </w:rPr>
        <w:t>comités</w:t>
      </w:r>
      <w:r w:rsidR="00683F23" w:rsidRPr="00FF3C0C">
        <w:rPr>
          <w:sz w:val="22"/>
          <w:szCs w:val="22"/>
        </w:rPr>
        <w:t xml:space="preserve"> de santé (COSA</w:t>
      </w:r>
      <w:r w:rsidR="00E741FF" w:rsidRPr="00FF3C0C">
        <w:rPr>
          <w:sz w:val="22"/>
          <w:szCs w:val="22"/>
        </w:rPr>
        <w:t xml:space="preserve"> /COGES- comités de gestion) </w:t>
      </w:r>
      <w:r w:rsidR="00683F23" w:rsidRPr="00FF3C0C">
        <w:rPr>
          <w:sz w:val="22"/>
          <w:szCs w:val="22"/>
        </w:rPr>
        <w:t xml:space="preserve">qui servent d’interface entre les FOSA et les </w:t>
      </w:r>
      <w:r w:rsidR="00E741FF" w:rsidRPr="00FF3C0C">
        <w:rPr>
          <w:sz w:val="22"/>
          <w:szCs w:val="22"/>
        </w:rPr>
        <w:t>communautés</w:t>
      </w:r>
      <w:r w:rsidR="00683F23" w:rsidRPr="00FF3C0C">
        <w:rPr>
          <w:sz w:val="22"/>
          <w:szCs w:val="22"/>
        </w:rPr>
        <w:t xml:space="preserve">. Constitués de membres de la </w:t>
      </w:r>
      <w:r w:rsidR="00267DDA" w:rsidRPr="00FF3C0C">
        <w:rPr>
          <w:sz w:val="22"/>
          <w:szCs w:val="22"/>
        </w:rPr>
        <w:t>communauté</w:t>
      </w:r>
      <w:r w:rsidR="00683F23" w:rsidRPr="00FF3C0C">
        <w:rPr>
          <w:sz w:val="22"/>
          <w:szCs w:val="22"/>
        </w:rPr>
        <w:t xml:space="preserve"> </w:t>
      </w:r>
      <w:r w:rsidR="00267DDA" w:rsidRPr="00FF3C0C">
        <w:rPr>
          <w:sz w:val="22"/>
          <w:szCs w:val="22"/>
        </w:rPr>
        <w:t xml:space="preserve">ayant </w:t>
      </w:r>
      <w:r w:rsidR="00683F23" w:rsidRPr="00FF3C0C">
        <w:rPr>
          <w:sz w:val="22"/>
          <w:szCs w:val="22"/>
        </w:rPr>
        <w:t xml:space="preserve">souvent </w:t>
      </w:r>
      <w:r w:rsidR="00267DDA" w:rsidRPr="00FF3C0C">
        <w:rPr>
          <w:sz w:val="22"/>
          <w:szCs w:val="22"/>
        </w:rPr>
        <w:t>une</w:t>
      </w:r>
      <w:r w:rsidR="00683F23" w:rsidRPr="00FF3C0C">
        <w:rPr>
          <w:sz w:val="22"/>
          <w:szCs w:val="22"/>
        </w:rPr>
        <w:t xml:space="preserve"> formation </w:t>
      </w:r>
      <w:r w:rsidR="00267DDA" w:rsidRPr="00FF3C0C">
        <w:rPr>
          <w:sz w:val="22"/>
          <w:szCs w:val="22"/>
        </w:rPr>
        <w:t xml:space="preserve">sommaire </w:t>
      </w:r>
      <w:r w:rsidR="00683F23" w:rsidRPr="00FF3C0C">
        <w:rPr>
          <w:sz w:val="22"/>
          <w:szCs w:val="22"/>
        </w:rPr>
        <w:t>et beaucoup d’obligations</w:t>
      </w:r>
      <w:r w:rsidR="00267DDA" w:rsidRPr="00FF3C0C">
        <w:rPr>
          <w:sz w:val="22"/>
          <w:szCs w:val="22"/>
        </w:rPr>
        <w:t xml:space="preserve"> </w:t>
      </w:r>
      <w:r w:rsidR="00E741FF" w:rsidRPr="00FF3C0C">
        <w:rPr>
          <w:sz w:val="22"/>
          <w:szCs w:val="22"/>
        </w:rPr>
        <w:t>journalières</w:t>
      </w:r>
      <w:r w:rsidR="00267DDA" w:rsidRPr="00FF3C0C">
        <w:rPr>
          <w:sz w:val="22"/>
          <w:szCs w:val="22"/>
        </w:rPr>
        <w:t xml:space="preserve"> de subsistance, les COSA</w:t>
      </w:r>
      <w:r w:rsidR="00E741FF" w:rsidRPr="00FF3C0C">
        <w:rPr>
          <w:sz w:val="22"/>
          <w:szCs w:val="22"/>
        </w:rPr>
        <w:t xml:space="preserve"> </w:t>
      </w:r>
      <w:r w:rsidR="00683F23" w:rsidRPr="00FF3C0C">
        <w:rPr>
          <w:sz w:val="22"/>
          <w:szCs w:val="22"/>
        </w:rPr>
        <w:t xml:space="preserve">ont du mal à jouer leur </w:t>
      </w:r>
      <w:r w:rsidR="00E741FF" w:rsidRPr="00FF3C0C">
        <w:rPr>
          <w:sz w:val="22"/>
          <w:szCs w:val="22"/>
        </w:rPr>
        <w:t>rôle</w:t>
      </w:r>
      <w:r w:rsidR="00683F23" w:rsidRPr="00FF3C0C">
        <w:rPr>
          <w:sz w:val="22"/>
          <w:szCs w:val="22"/>
        </w:rPr>
        <w:t xml:space="preserve"> de </w:t>
      </w:r>
      <w:r w:rsidR="00E741FF" w:rsidRPr="00FF3C0C">
        <w:rPr>
          <w:sz w:val="22"/>
          <w:szCs w:val="22"/>
        </w:rPr>
        <w:t>manière</w:t>
      </w:r>
      <w:r w:rsidR="00683F23" w:rsidRPr="00FF3C0C">
        <w:rPr>
          <w:sz w:val="22"/>
          <w:szCs w:val="22"/>
        </w:rPr>
        <w:t xml:space="preserve"> effective. Organisations de la société civile par nature, leur engagement dans le système de santé constitue de fait un partenariat public-privé, dont la nature fragmentée fait obstacle à un dialogue collectif </w:t>
      </w:r>
      <w:r w:rsidR="00053A5D" w:rsidRPr="00FF3C0C">
        <w:rPr>
          <w:sz w:val="22"/>
          <w:szCs w:val="22"/>
        </w:rPr>
        <w:t xml:space="preserve">constructif </w:t>
      </w:r>
      <w:r w:rsidR="00683F23" w:rsidRPr="00FF3C0C">
        <w:rPr>
          <w:sz w:val="22"/>
          <w:szCs w:val="22"/>
        </w:rPr>
        <w:t>avec les autorités de tutelle au niveau sectoriel, territorial et financier, et au-delà à la mise en place d’une démocratie sanitaire dont la pandémie de COVID-19 a souligné le besoin. Bien que chargés d</w:t>
      </w:r>
      <w:r w:rsidR="00E741FF" w:rsidRPr="00FF3C0C">
        <w:rPr>
          <w:sz w:val="22"/>
          <w:szCs w:val="22"/>
        </w:rPr>
        <w:t>u suivi d</w:t>
      </w:r>
      <w:r w:rsidR="00683F23" w:rsidRPr="00FF3C0C">
        <w:rPr>
          <w:sz w:val="22"/>
          <w:szCs w:val="22"/>
        </w:rPr>
        <w:t xml:space="preserve">e la perception </w:t>
      </w:r>
      <w:r w:rsidR="00554652" w:rsidRPr="00FF3C0C">
        <w:rPr>
          <w:sz w:val="22"/>
          <w:szCs w:val="22"/>
        </w:rPr>
        <w:t xml:space="preserve">des paiements directs des usagers, qui représentent </w:t>
      </w:r>
      <w:r w:rsidR="00683F23" w:rsidRPr="00FF3C0C">
        <w:rPr>
          <w:sz w:val="22"/>
          <w:szCs w:val="22"/>
        </w:rPr>
        <w:t>environ 37% de la dépense totale de santé</w:t>
      </w:r>
      <w:r w:rsidR="00554652" w:rsidRPr="00FF3C0C">
        <w:rPr>
          <w:sz w:val="22"/>
          <w:szCs w:val="22"/>
        </w:rPr>
        <w:t xml:space="preserve"> au Burundi</w:t>
      </w:r>
      <w:r w:rsidR="00683F23" w:rsidRPr="00FF3C0C">
        <w:rPr>
          <w:rStyle w:val="FootnoteReference"/>
          <w:szCs w:val="22"/>
        </w:rPr>
        <w:footnoteReference w:id="6"/>
      </w:r>
      <w:r w:rsidR="00053A5D" w:rsidRPr="00FF3C0C">
        <w:rPr>
          <w:sz w:val="22"/>
          <w:szCs w:val="22"/>
        </w:rPr>
        <w:t>, leur</w:t>
      </w:r>
      <w:r w:rsidR="00683F23" w:rsidRPr="00FF3C0C">
        <w:rPr>
          <w:sz w:val="22"/>
          <w:szCs w:val="22"/>
        </w:rPr>
        <w:t xml:space="preserve"> faible capacité technique entraine des faiblesses de </w:t>
      </w:r>
      <w:r w:rsidR="00E741FF" w:rsidRPr="00FF3C0C">
        <w:rPr>
          <w:sz w:val="22"/>
          <w:szCs w:val="22"/>
        </w:rPr>
        <w:t>redevabilité</w:t>
      </w:r>
      <w:r w:rsidR="00683F23" w:rsidRPr="00FF3C0C">
        <w:rPr>
          <w:sz w:val="22"/>
          <w:szCs w:val="22"/>
        </w:rPr>
        <w:t>́ et transparence et fait obstacle à la comptabilisation adéquate de ces montants dans le cadre de financement à moyen terme du système</w:t>
      </w:r>
      <w:r w:rsidR="00053A5D" w:rsidRPr="00FF3C0C">
        <w:rPr>
          <w:sz w:val="22"/>
          <w:szCs w:val="22"/>
        </w:rPr>
        <w:t xml:space="preserve"> de santé publique</w:t>
      </w:r>
      <w:r w:rsidR="00683F23" w:rsidRPr="00FF3C0C">
        <w:rPr>
          <w:sz w:val="22"/>
          <w:szCs w:val="22"/>
        </w:rPr>
        <w:t xml:space="preserve">. </w:t>
      </w:r>
    </w:p>
    <w:p w14:paraId="1D0B27D1" w14:textId="77777777" w:rsidR="00E741FF" w:rsidRPr="00FF3C0C" w:rsidRDefault="00E741FF" w:rsidP="00683F23">
      <w:pPr>
        <w:pStyle w:val="NormalWeb"/>
        <w:jc w:val="both"/>
        <w:rPr>
          <w:sz w:val="22"/>
          <w:szCs w:val="22"/>
        </w:rPr>
      </w:pPr>
    </w:p>
    <w:p w14:paraId="0B5A6E55" w14:textId="5C28E6A9" w:rsidR="00E30B8B" w:rsidRPr="00FF3C0C" w:rsidRDefault="00E741FF" w:rsidP="00683F23">
      <w:pPr>
        <w:pStyle w:val="NormalWeb"/>
        <w:jc w:val="both"/>
        <w:rPr>
          <w:sz w:val="22"/>
          <w:szCs w:val="22"/>
        </w:rPr>
      </w:pPr>
      <w:r w:rsidRPr="00FF3C0C">
        <w:rPr>
          <w:sz w:val="22"/>
          <w:szCs w:val="22"/>
        </w:rPr>
        <w:t xml:space="preserve">Le comité de santé est constitué de 12 membres à parité égale (6 hommes et 6 femmes) qui sont choisis dans </w:t>
      </w:r>
      <w:r w:rsidR="00FA5F71" w:rsidRPr="00FF3C0C">
        <w:rPr>
          <w:sz w:val="22"/>
          <w:szCs w:val="22"/>
        </w:rPr>
        <w:t>une colline dans une aire de responsabilité d’une FOSA. Il a un mandat de 5 ans renouvelable une fois (</w:t>
      </w:r>
      <w:r w:rsidRPr="00FF3C0C">
        <w:rPr>
          <w:sz w:val="22"/>
          <w:szCs w:val="22"/>
        </w:rPr>
        <w:t>COSA)</w:t>
      </w:r>
      <w:r w:rsidR="00FA5F71" w:rsidRPr="00FF3C0C">
        <w:rPr>
          <w:sz w:val="22"/>
          <w:szCs w:val="22"/>
        </w:rPr>
        <w:t xml:space="preserve">. </w:t>
      </w:r>
      <w:r w:rsidR="00FA5F71" w:rsidRPr="00FF3C0C">
        <w:rPr>
          <w:sz w:val="22"/>
          <w:szCs w:val="22"/>
        </w:rPr>
        <w:lastRenderedPageBreak/>
        <w:t xml:space="preserve">Le comité de gestion (COGES) est une composante du COSA. A l’intérieur du COSA, les membres élus se choisissent entre eux </w:t>
      </w:r>
      <w:r w:rsidR="009011D2" w:rsidRPr="00FF3C0C">
        <w:rPr>
          <w:sz w:val="22"/>
          <w:szCs w:val="22"/>
        </w:rPr>
        <w:t xml:space="preserve">3 ou </w:t>
      </w:r>
      <w:r w:rsidR="00FA5F71" w:rsidRPr="00FF3C0C">
        <w:rPr>
          <w:sz w:val="22"/>
          <w:szCs w:val="22"/>
        </w:rPr>
        <w:t>4 </w:t>
      </w:r>
      <w:r w:rsidR="009011D2" w:rsidRPr="00FF3C0C">
        <w:rPr>
          <w:sz w:val="22"/>
          <w:szCs w:val="22"/>
        </w:rPr>
        <w:t xml:space="preserve">membres </w:t>
      </w:r>
      <w:r w:rsidR="00FA5F71" w:rsidRPr="00FF3C0C">
        <w:rPr>
          <w:sz w:val="22"/>
          <w:szCs w:val="22"/>
        </w:rPr>
        <w:t xml:space="preserve">de </w:t>
      </w:r>
      <w:r w:rsidR="00811968" w:rsidRPr="00FF3C0C">
        <w:rPr>
          <w:sz w:val="22"/>
          <w:szCs w:val="22"/>
        </w:rPr>
        <w:t>par</w:t>
      </w:r>
      <w:r w:rsidR="00FA5F71" w:rsidRPr="00FF3C0C">
        <w:rPr>
          <w:sz w:val="22"/>
          <w:szCs w:val="22"/>
        </w:rPr>
        <w:t xml:space="preserve"> leur capacité de suivre les activités de la FOSA tant au niveau de la vérification des entrées e</w:t>
      </w:r>
      <w:r w:rsidR="00FD5249" w:rsidRPr="00FF3C0C">
        <w:rPr>
          <w:sz w:val="22"/>
          <w:szCs w:val="22"/>
        </w:rPr>
        <w:t>t sorties réalisées par une FOSA y compris les paiements des prestations des FOSA dans le cadre du FBP et de la gratuité des soins, que dans la gestion quotidienne d’une FOSA.</w:t>
      </w:r>
    </w:p>
    <w:p w14:paraId="44582CDD" w14:textId="77777777" w:rsidR="002A3C6C" w:rsidRPr="00FF3C0C" w:rsidRDefault="00624EC7" w:rsidP="00683F23">
      <w:pPr>
        <w:pStyle w:val="NormalWeb"/>
        <w:jc w:val="both"/>
        <w:rPr>
          <w:sz w:val="22"/>
          <w:szCs w:val="22"/>
        </w:rPr>
      </w:pPr>
      <w:r w:rsidRPr="00FF3C0C">
        <w:rPr>
          <w:sz w:val="22"/>
          <w:szCs w:val="22"/>
        </w:rPr>
        <w:t xml:space="preserve">Dans le cadre de la mise en œuvre de la politique du </w:t>
      </w:r>
      <w:r w:rsidR="000E06BA" w:rsidRPr="00FF3C0C">
        <w:rPr>
          <w:sz w:val="22"/>
          <w:szCs w:val="22"/>
        </w:rPr>
        <w:t>gouvernement</w:t>
      </w:r>
      <w:r w:rsidRPr="00FF3C0C">
        <w:rPr>
          <w:sz w:val="22"/>
          <w:szCs w:val="22"/>
        </w:rPr>
        <w:t xml:space="preserve"> de Burundi de garantir </w:t>
      </w:r>
      <w:r w:rsidR="000E06BA" w:rsidRPr="00FF3C0C">
        <w:rPr>
          <w:sz w:val="22"/>
          <w:szCs w:val="22"/>
        </w:rPr>
        <w:t>la gratuité des</w:t>
      </w:r>
      <w:r w:rsidRPr="00FF3C0C">
        <w:rPr>
          <w:sz w:val="22"/>
          <w:szCs w:val="22"/>
        </w:rPr>
        <w:t xml:space="preserve"> soins de santé, l’Union </w:t>
      </w:r>
      <w:r w:rsidR="000E06BA" w:rsidRPr="00FF3C0C">
        <w:rPr>
          <w:sz w:val="22"/>
          <w:szCs w:val="22"/>
        </w:rPr>
        <w:t>Européenne</w:t>
      </w:r>
      <w:r w:rsidRPr="00FF3C0C">
        <w:rPr>
          <w:sz w:val="22"/>
          <w:szCs w:val="22"/>
        </w:rPr>
        <w:t xml:space="preserve"> a décidé de </w:t>
      </w:r>
      <w:r w:rsidR="000E06BA" w:rsidRPr="00FF3C0C">
        <w:rPr>
          <w:sz w:val="22"/>
          <w:szCs w:val="22"/>
        </w:rPr>
        <w:t>cofinancer</w:t>
      </w:r>
      <w:r w:rsidRPr="00FF3C0C">
        <w:rPr>
          <w:sz w:val="22"/>
          <w:szCs w:val="22"/>
        </w:rPr>
        <w:t xml:space="preserve"> les performances des prestations des soins et services de santé couplé à la </w:t>
      </w:r>
      <w:r w:rsidR="000E06BA" w:rsidRPr="00FF3C0C">
        <w:rPr>
          <w:sz w:val="22"/>
          <w:szCs w:val="22"/>
        </w:rPr>
        <w:t>gratuité</w:t>
      </w:r>
      <w:r w:rsidRPr="00FF3C0C">
        <w:rPr>
          <w:sz w:val="22"/>
          <w:szCs w:val="22"/>
        </w:rPr>
        <w:t xml:space="preserve"> des soins des femmes </w:t>
      </w:r>
      <w:r w:rsidR="000E06BA" w:rsidRPr="00FF3C0C">
        <w:rPr>
          <w:sz w:val="22"/>
          <w:szCs w:val="22"/>
        </w:rPr>
        <w:t>enceintes</w:t>
      </w:r>
      <w:r w:rsidRPr="00FF3C0C">
        <w:rPr>
          <w:sz w:val="22"/>
          <w:szCs w:val="22"/>
        </w:rPr>
        <w:t xml:space="preserve"> et des </w:t>
      </w:r>
      <w:r w:rsidR="000E06BA" w:rsidRPr="00FF3C0C">
        <w:rPr>
          <w:sz w:val="22"/>
          <w:szCs w:val="22"/>
        </w:rPr>
        <w:t>enfants</w:t>
      </w:r>
      <w:r w:rsidRPr="00FF3C0C">
        <w:rPr>
          <w:sz w:val="22"/>
          <w:szCs w:val="22"/>
        </w:rPr>
        <w:t xml:space="preserve"> de </w:t>
      </w:r>
      <w:r w:rsidR="000E06BA" w:rsidRPr="00FF3C0C">
        <w:rPr>
          <w:sz w:val="22"/>
          <w:szCs w:val="22"/>
        </w:rPr>
        <w:t>moins</w:t>
      </w:r>
      <w:r w:rsidRPr="00FF3C0C">
        <w:rPr>
          <w:sz w:val="22"/>
          <w:szCs w:val="22"/>
        </w:rPr>
        <w:t xml:space="preserve"> de cinq ans. Il s’agit de rembourser les factures des presta</w:t>
      </w:r>
      <w:r w:rsidR="000E06BA" w:rsidRPr="00FF3C0C">
        <w:rPr>
          <w:sz w:val="22"/>
          <w:szCs w:val="22"/>
        </w:rPr>
        <w:t>tions des formations sanitaires. Avec ces remboursements une FOSA peut améliorer la qualité de l’offre de soins qu’elle met à disposition de la population autour de son aire de responsabilité.</w:t>
      </w:r>
    </w:p>
    <w:p w14:paraId="62683D83" w14:textId="59020FCF" w:rsidR="00261DE6" w:rsidRPr="00FF3C0C" w:rsidRDefault="00B25C0C" w:rsidP="00683F23">
      <w:pPr>
        <w:pStyle w:val="NormalWeb"/>
        <w:jc w:val="both"/>
        <w:rPr>
          <w:sz w:val="22"/>
          <w:szCs w:val="22"/>
        </w:rPr>
      </w:pPr>
      <w:r w:rsidRPr="00FF3C0C">
        <w:rPr>
          <w:sz w:val="22"/>
          <w:szCs w:val="22"/>
        </w:rPr>
        <w:t xml:space="preserve">Avec le FBP </w:t>
      </w:r>
      <w:r w:rsidR="00261DE6" w:rsidRPr="00FF3C0C">
        <w:rPr>
          <w:sz w:val="22"/>
          <w:szCs w:val="22"/>
        </w:rPr>
        <w:t>communautaire</w:t>
      </w:r>
      <w:r w:rsidRPr="00FF3C0C">
        <w:rPr>
          <w:sz w:val="22"/>
          <w:szCs w:val="22"/>
        </w:rPr>
        <w:t xml:space="preserve">, </w:t>
      </w:r>
      <w:r w:rsidR="002A3C6C" w:rsidRPr="00FF3C0C">
        <w:rPr>
          <w:sz w:val="22"/>
          <w:szCs w:val="22"/>
        </w:rPr>
        <w:t>les GASC constituent le dénominateur commun du système de santé dans son rôle central de promotion, sensibilisation et information sur la demande de soins à la population.</w:t>
      </w:r>
      <w:r w:rsidR="00F932EF" w:rsidRPr="00FF3C0C">
        <w:rPr>
          <w:sz w:val="22"/>
          <w:szCs w:val="22"/>
        </w:rPr>
        <w:t xml:space="preserve"> Les GASC sont constitués par des personnes choisies par la communauté pour s’occuper de la promotion de la santé, de la prévention de la maladie et des activités curatives élémentaires déterminés par les services de santé. Ils sont encadrés par les centres de santé via le TPS (technicien de promotion de la santé). Ce FBP communautaire</w:t>
      </w:r>
      <w:r w:rsidR="002A3C6C" w:rsidRPr="00FF3C0C">
        <w:rPr>
          <w:sz w:val="22"/>
          <w:szCs w:val="22"/>
        </w:rPr>
        <w:t xml:space="preserve"> est e</w:t>
      </w:r>
      <w:r w:rsidR="003515F0" w:rsidRPr="00FF3C0C">
        <w:rPr>
          <w:sz w:val="22"/>
          <w:szCs w:val="22"/>
        </w:rPr>
        <w:t>n cours d’expérimentation dans 8</w:t>
      </w:r>
      <w:r w:rsidR="002A3C6C" w:rsidRPr="00FF3C0C">
        <w:rPr>
          <w:sz w:val="22"/>
          <w:szCs w:val="22"/>
        </w:rPr>
        <w:t xml:space="preserve"> </w:t>
      </w:r>
      <w:r w:rsidR="003515F0" w:rsidRPr="00FF3C0C">
        <w:rPr>
          <w:sz w:val="22"/>
          <w:szCs w:val="22"/>
        </w:rPr>
        <w:t xml:space="preserve">sur 18 </w:t>
      </w:r>
      <w:r w:rsidR="002A3C6C" w:rsidRPr="00FF3C0C">
        <w:rPr>
          <w:sz w:val="22"/>
          <w:szCs w:val="22"/>
        </w:rPr>
        <w:t xml:space="preserve">provinces. L’évaluation encours permettra </w:t>
      </w:r>
      <w:r w:rsidR="00DF1696" w:rsidRPr="00FF3C0C">
        <w:rPr>
          <w:sz w:val="22"/>
          <w:szCs w:val="22"/>
        </w:rPr>
        <w:t xml:space="preserve">ou non </w:t>
      </w:r>
      <w:r w:rsidR="002A3C6C" w:rsidRPr="00FF3C0C">
        <w:rPr>
          <w:sz w:val="22"/>
          <w:szCs w:val="22"/>
        </w:rPr>
        <w:t xml:space="preserve">de le mettre à l’échelle prochainement. </w:t>
      </w:r>
    </w:p>
    <w:p w14:paraId="0B42ED0B" w14:textId="20A78104" w:rsidR="00554652" w:rsidRPr="00FF3C0C" w:rsidRDefault="00683F23" w:rsidP="00683F23">
      <w:pPr>
        <w:pStyle w:val="NormalWeb"/>
        <w:jc w:val="both"/>
        <w:rPr>
          <w:sz w:val="22"/>
          <w:szCs w:val="22"/>
        </w:rPr>
      </w:pPr>
      <w:r w:rsidRPr="00FF3C0C">
        <w:rPr>
          <w:sz w:val="22"/>
          <w:szCs w:val="22"/>
        </w:rPr>
        <w:t xml:space="preserve">Le </w:t>
      </w:r>
      <w:r w:rsidR="00EF3789" w:rsidRPr="00FF3C0C">
        <w:rPr>
          <w:sz w:val="22"/>
          <w:szCs w:val="22"/>
        </w:rPr>
        <w:t xml:space="preserve">principe du </w:t>
      </w:r>
      <w:r w:rsidRPr="00FF3C0C">
        <w:rPr>
          <w:sz w:val="22"/>
          <w:szCs w:val="22"/>
        </w:rPr>
        <w:t xml:space="preserve">caractère volontaire de l’engagement communautaire se heurte de plus en plus d’une part au temps nécessaire à la bonne réalisation des tâches de soins et de gestion qui en est attendue, ainsi qu’aux compétences de plus en plus nécessaires à cette fin. </w:t>
      </w:r>
    </w:p>
    <w:p w14:paraId="55970573" w14:textId="77777777" w:rsidR="00E30B8B" w:rsidRPr="00FF3C0C" w:rsidRDefault="00683F23" w:rsidP="00683F23">
      <w:pPr>
        <w:pStyle w:val="NormalWeb"/>
        <w:jc w:val="both"/>
        <w:rPr>
          <w:sz w:val="22"/>
          <w:szCs w:val="22"/>
        </w:rPr>
      </w:pPr>
      <w:r w:rsidRPr="00FF3C0C">
        <w:rPr>
          <w:sz w:val="22"/>
          <w:szCs w:val="21"/>
        </w:rPr>
        <w:t xml:space="preserve">Dans un système aux flux de financement fragmentés et irréguliers pour leur part domestique, une représentation communautaire solide reposant sur des compétences et un engagement fort </w:t>
      </w:r>
      <w:r w:rsidR="00053A5D" w:rsidRPr="00FF3C0C">
        <w:rPr>
          <w:sz w:val="22"/>
          <w:szCs w:val="21"/>
        </w:rPr>
        <w:t>sont essentiels</w:t>
      </w:r>
      <w:r w:rsidRPr="00FF3C0C">
        <w:rPr>
          <w:sz w:val="22"/>
          <w:szCs w:val="22"/>
        </w:rPr>
        <w:t xml:space="preserve"> à la réduction des inégalités de santé et à l’amélioration de la gestion, de</w:t>
      </w:r>
      <w:r w:rsidR="00053A5D" w:rsidRPr="00FF3C0C">
        <w:rPr>
          <w:sz w:val="22"/>
          <w:szCs w:val="22"/>
        </w:rPr>
        <w:t xml:space="preserve"> l’équité et de la résilience des services de santé de base</w:t>
      </w:r>
      <w:r w:rsidRPr="00FF3C0C">
        <w:rPr>
          <w:sz w:val="22"/>
          <w:szCs w:val="22"/>
        </w:rPr>
        <w:t xml:space="preserve">. </w:t>
      </w:r>
    </w:p>
    <w:p w14:paraId="3D194E4E" w14:textId="1D378034" w:rsidR="00E30B8B" w:rsidRPr="00FF3C0C" w:rsidRDefault="00E30B8B" w:rsidP="00683F23">
      <w:pPr>
        <w:pStyle w:val="NormalWeb"/>
        <w:jc w:val="both"/>
        <w:rPr>
          <w:sz w:val="22"/>
          <w:szCs w:val="22"/>
        </w:rPr>
      </w:pPr>
      <w:r w:rsidRPr="00FF3C0C">
        <w:rPr>
          <w:sz w:val="22"/>
          <w:szCs w:val="22"/>
        </w:rPr>
        <w:t xml:space="preserve">Le programme d’Appui au Système de Santé </w:t>
      </w:r>
      <w:r w:rsidR="00EF3789" w:rsidRPr="00FF3C0C">
        <w:rPr>
          <w:sz w:val="22"/>
          <w:szCs w:val="22"/>
        </w:rPr>
        <w:t xml:space="preserve">(PASS) </w:t>
      </w:r>
      <w:r w:rsidRPr="00FF3C0C">
        <w:rPr>
          <w:sz w:val="22"/>
          <w:szCs w:val="22"/>
        </w:rPr>
        <w:t xml:space="preserve">de l’Union Européenne vise </w:t>
      </w:r>
      <w:r w:rsidR="00261DE6" w:rsidRPr="00FF3C0C">
        <w:rPr>
          <w:sz w:val="22"/>
          <w:szCs w:val="22"/>
        </w:rPr>
        <w:t xml:space="preserve">depuis 2016 </w:t>
      </w:r>
      <w:r w:rsidRPr="00FF3C0C">
        <w:rPr>
          <w:sz w:val="22"/>
          <w:szCs w:val="22"/>
        </w:rPr>
        <w:t xml:space="preserve">à améliorer l’état de santé de la population dans les 18 Provinces du Burundi. </w:t>
      </w:r>
      <w:r w:rsidR="00EF3789" w:rsidRPr="00FF3C0C">
        <w:rPr>
          <w:sz w:val="22"/>
          <w:szCs w:val="22"/>
        </w:rPr>
        <w:t xml:space="preserve">Le PASS III (2022-2027) poursuit l’appui au secteur de la santé et prévoit, parallèlement à l’aide financière et technique, un dialogue sectoriel renforcé pour augmenter l’efficience du système de santé et soutenir l’engagement politique du gouvernement vers la mise en place de la CSU. Il appuiera les réformes attendues dans le domaine du financement de la santé et dans les domaines prioritaires du Renforcement des systèmes de santé, en complément des aides apportées par les autres partenaires. </w:t>
      </w:r>
      <w:r w:rsidRPr="00FF3C0C">
        <w:rPr>
          <w:sz w:val="22"/>
          <w:szCs w:val="22"/>
        </w:rPr>
        <w:t>S</w:t>
      </w:r>
      <w:r w:rsidR="00261DE6" w:rsidRPr="00FF3C0C">
        <w:rPr>
          <w:sz w:val="22"/>
          <w:szCs w:val="22"/>
        </w:rPr>
        <w:t>on premier pilier vise à renforcer l’accès équitable à des soins de santé de qualité pour les femmes enceintes et les enfants de moins de cinq ans, à travers un financement des soins dispensés par les FOSA en utilisant la modalité du Financement Basé sur la Performance (FBP).</w:t>
      </w:r>
      <w:r w:rsidR="002A3C6C" w:rsidRPr="00FF3C0C">
        <w:t xml:space="preserve"> Il a aussi appuyé et poursuivi son appui à la société civile à travers les COSA par leur mise en place d’une part et la sensibilisation quant à leur rôle en tant que garant de la bonne marche d’une formation sanitaire que la population est appelée à fréquenter pour avoir accès à des soins de base de qualité, d’autre part.</w:t>
      </w:r>
    </w:p>
    <w:p w14:paraId="2B4FF8E1" w14:textId="3FC1F968" w:rsidR="00683F23" w:rsidRPr="00FF3C0C" w:rsidRDefault="00683F23" w:rsidP="00683F23">
      <w:pPr>
        <w:pStyle w:val="NormalWeb"/>
        <w:jc w:val="both"/>
        <w:rPr>
          <w:sz w:val="22"/>
          <w:szCs w:val="22"/>
        </w:rPr>
      </w:pPr>
      <w:r w:rsidRPr="00FF3C0C">
        <w:rPr>
          <w:sz w:val="22"/>
          <w:szCs w:val="22"/>
        </w:rPr>
        <w:t xml:space="preserve">L’action envisagée dans le cadre du présent appel à propositions </w:t>
      </w:r>
      <w:r w:rsidR="00261DE6" w:rsidRPr="00FF3C0C">
        <w:rPr>
          <w:sz w:val="22"/>
          <w:szCs w:val="22"/>
        </w:rPr>
        <w:t xml:space="preserve">constitue le deuxième pilier </w:t>
      </w:r>
      <w:r w:rsidRPr="00FF3C0C">
        <w:rPr>
          <w:sz w:val="22"/>
          <w:szCs w:val="22"/>
        </w:rPr>
        <w:t xml:space="preserve">du </w:t>
      </w:r>
      <w:r w:rsidR="00261DE6" w:rsidRPr="00FF3C0C">
        <w:rPr>
          <w:sz w:val="22"/>
          <w:szCs w:val="22"/>
        </w:rPr>
        <w:t>PASS III</w:t>
      </w:r>
      <w:r w:rsidR="00EF3789" w:rsidRPr="00FF3C0C">
        <w:rPr>
          <w:sz w:val="22"/>
          <w:szCs w:val="22"/>
        </w:rPr>
        <w:t xml:space="preserve"> et</w:t>
      </w:r>
      <w:r w:rsidRPr="00FF3C0C">
        <w:rPr>
          <w:sz w:val="22"/>
          <w:szCs w:val="22"/>
        </w:rPr>
        <w:t xml:space="preserve"> vis</w:t>
      </w:r>
      <w:r w:rsidR="00EF3789" w:rsidRPr="00FF3C0C">
        <w:rPr>
          <w:sz w:val="22"/>
          <w:szCs w:val="22"/>
        </w:rPr>
        <w:t>e à appuyer la stratégie de santé communautaire et renforcer la participation de la société civile à la cogestion du système de santé</w:t>
      </w:r>
      <w:r w:rsidR="00DD1EF8" w:rsidRPr="00FF3C0C">
        <w:rPr>
          <w:sz w:val="22"/>
          <w:szCs w:val="22"/>
        </w:rPr>
        <w:t xml:space="preserve"> primaire</w:t>
      </w:r>
      <w:r w:rsidR="00EF3789" w:rsidRPr="00FF3C0C">
        <w:rPr>
          <w:sz w:val="22"/>
          <w:szCs w:val="22"/>
        </w:rPr>
        <w:t>.</w:t>
      </w:r>
      <w:r w:rsidRPr="00FF3C0C">
        <w:rPr>
          <w:sz w:val="22"/>
          <w:szCs w:val="22"/>
        </w:rPr>
        <w:t xml:space="preserve"> </w:t>
      </w:r>
    </w:p>
    <w:p w14:paraId="78670515" w14:textId="3E0A2F5A" w:rsidR="0007408E" w:rsidRPr="00FF3C0C" w:rsidRDefault="0007408E" w:rsidP="004741A1">
      <w:pPr>
        <w:pStyle w:val="Guidelines2"/>
      </w:pPr>
      <w:bookmarkStart w:id="3" w:name="_Toc104797762"/>
      <w:r w:rsidRPr="00FF3C0C">
        <w:t>Objectifs du programme et priorités</w:t>
      </w:r>
      <w:bookmarkEnd w:id="3"/>
      <w:r w:rsidRPr="00FF3C0C">
        <w:t xml:space="preserve"> </w:t>
      </w:r>
    </w:p>
    <w:p w14:paraId="25619A7B" w14:textId="77777777" w:rsidR="00053A5D" w:rsidRPr="00FF3C0C" w:rsidRDefault="00053A5D" w:rsidP="00053A5D">
      <w:r w:rsidRPr="00FF3C0C">
        <w:t xml:space="preserve">Le présent appel à propositions a pour </w:t>
      </w:r>
      <w:r w:rsidRPr="00FF3C0C">
        <w:rPr>
          <w:b/>
        </w:rPr>
        <w:t>objectif général</w:t>
      </w:r>
      <w:r w:rsidRPr="00FF3C0C">
        <w:t xml:space="preserve"> de contribuer à la soutenabilité et à l’efficience de la gestion communautaire </w:t>
      </w:r>
      <w:r w:rsidR="00FB4993" w:rsidRPr="00FF3C0C">
        <w:t xml:space="preserve">et à la redevabilité </w:t>
      </w:r>
      <w:r w:rsidRPr="00FF3C0C">
        <w:t xml:space="preserve">du système de santé Burundais. </w:t>
      </w:r>
    </w:p>
    <w:p w14:paraId="2C7017AF" w14:textId="77777777" w:rsidR="00053A5D" w:rsidRPr="00FF3C0C" w:rsidRDefault="00053A5D" w:rsidP="00053A5D">
      <w:r w:rsidRPr="00FF3C0C">
        <w:t xml:space="preserve">Le présent appel à propositions a pour </w:t>
      </w:r>
      <w:r w:rsidRPr="00FF3C0C">
        <w:rPr>
          <w:b/>
        </w:rPr>
        <w:t>objectifs spécifiques </w:t>
      </w:r>
      <w:r w:rsidRPr="00FF3C0C">
        <w:rPr>
          <w:bCs/>
        </w:rPr>
        <w:t>:</w:t>
      </w:r>
      <w:r w:rsidRPr="00FF3C0C">
        <w:t xml:space="preserve"> </w:t>
      </w:r>
    </w:p>
    <w:p w14:paraId="68EB61EE" w14:textId="43513936" w:rsidR="00053A5D" w:rsidRPr="00FF3C0C" w:rsidRDefault="00CB0E6D" w:rsidP="00CB0E6D">
      <w:pPr>
        <w:numPr>
          <w:ilvl w:val="0"/>
          <w:numId w:val="71"/>
        </w:numPr>
      </w:pPr>
      <w:r w:rsidRPr="00FF3C0C">
        <w:t xml:space="preserve">Assurer </w:t>
      </w:r>
      <w:r w:rsidR="00053A5D" w:rsidRPr="00FF3C0C">
        <w:t xml:space="preserve">la gestion communautaire </w:t>
      </w:r>
      <w:r w:rsidRPr="00FF3C0C">
        <w:t xml:space="preserve">à travers i) </w:t>
      </w:r>
      <w:r w:rsidRPr="00FF3C0C">
        <w:rPr>
          <w:szCs w:val="22"/>
        </w:rPr>
        <w:t>le renforcement de la double mission des COSA de gestion administrative et financière des FOSA (</w:t>
      </w:r>
      <w:r w:rsidRPr="00FF3C0C">
        <w:t xml:space="preserve">centres de santé et hôpitaux de district) </w:t>
      </w:r>
      <w:r w:rsidRPr="00FF3C0C">
        <w:rPr>
          <w:szCs w:val="22"/>
        </w:rPr>
        <w:t xml:space="preserve">et d’identification et d’accompagnement des personnes en situation précaire </w:t>
      </w:r>
      <w:r w:rsidRPr="00FF3C0C">
        <w:t>et ii) le renforcement de l’action de prévention, promotion de la santé et orientation vers les services de soins d</w:t>
      </w:r>
      <w:r w:rsidR="00053A5D" w:rsidRPr="00FF3C0C">
        <w:t xml:space="preserve">es agents </w:t>
      </w:r>
      <w:r w:rsidRPr="00FF3C0C">
        <w:t xml:space="preserve">de santé </w:t>
      </w:r>
      <w:r w:rsidR="00053A5D" w:rsidRPr="00FF3C0C">
        <w:t>communautaires</w:t>
      </w:r>
    </w:p>
    <w:p w14:paraId="1E0C9513" w14:textId="7718FCDB" w:rsidR="00CB0E6D" w:rsidRPr="00FF3C0C" w:rsidRDefault="00D051D4" w:rsidP="00CB0E6D">
      <w:pPr>
        <w:numPr>
          <w:ilvl w:val="0"/>
          <w:numId w:val="71"/>
        </w:numPr>
      </w:pPr>
      <w:r w:rsidRPr="00FF3C0C">
        <w:rPr>
          <w:szCs w:val="22"/>
        </w:rPr>
        <w:lastRenderedPageBreak/>
        <w:t xml:space="preserve">Appuyer la révision des politiques et stratégie de financement communautaire et leur mise en place dans les provinces, à travers l’analyse puis l’engagement des COSA dans un </w:t>
      </w:r>
      <w:r w:rsidRPr="00FF3C0C">
        <w:t xml:space="preserve">dialogue avec la tutelle et les collectivités territoriales, ainsi que la sensibilisation des </w:t>
      </w:r>
      <w:r w:rsidRPr="00FF3C0C">
        <w:rPr>
          <w:szCs w:val="22"/>
        </w:rPr>
        <w:t>acteurs communautaires sur les mécanismes de protection financière vis à vis des coûts liés à la santé : caisses d’assurance maladie, mutuelles de santé communautaires et autres mécanismes</w:t>
      </w:r>
      <w:r w:rsidRPr="00FF3C0C">
        <w:t>.</w:t>
      </w:r>
    </w:p>
    <w:p w14:paraId="2918CD84" w14:textId="720164CE" w:rsidR="00053A5D" w:rsidRPr="00FF3C0C" w:rsidRDefault="00D051D4" w:rsidP="00BD6FF1">
      <w:pPr>
        <w:numPr>
          <w:ilvl w:val="0"/>
          <w:numId w:val="71"/>
        </w:numPr>
      </w:pPr>
      <w:r w:rsidRPr="00FF3C0C">
        <w:t xml:space="preserve">Contribuer à la prise en charge des besoins opérationnels </w:t>
      </w:r>
      <w:r w:rsidR="00053A5D" w:rsidRPr="00FF3C0C">
        <w:t>des COSA</w:t>
      </w:r>
      <w:r w:rsidR="00A60AFA" w:rsidRPr="00FF3C0C">
        <w:t xml:space="preserve"> </w:t>
      </w:r>
      <w:r w:rsidR="002A3C6C" w:rsidRPr="00FF3C0C">
        <w:t>(COGES</w:t>
      </w:r>
      <w:r w:rsidR="00A60AFA" w:rsidRPr="00FF3C0C">
        <w:t>)</w:t>
      </w:r>
      <w:r w:rsidRPr="00FF3C0C">
        <w:t>,</w:t>
      </w:r>
      <w:r w:rsidR="00053A5D" w:rsidRPr="00FF3C0C">
        <w:t xml:space="preserve"> après rationalisation </w:t>
      </w:r>
    </w:p>
    <w:p w14:paraId="51FCB00F" w14:textId="77777777" w:rsidR="00A718F5" w:rsidRPr="00FF3C0C" w:rsidRDefault="00FB4993" w:rsidP="00A718F5">
      <w:pPr>
        <w:pStyle w:val="ListParagraph"/>
        <w:numPr>
          <w:ilvl w:val="0"/>
          <w:numId w:val="43"/>
        </w:numPr>
        <w:rPr>
          <w:szCs w:val="22"/>
        </w:rPr>
      </w:pPr>
      <w:r w:rsidRPr="00FF3C0C">
        <w:t xml:space="preserve">Le présent appel à propositions a pour </w:t>
      </w:r>
      <w:r w:rsidRPr="00FF3C0C">
        <w:rPr>
          <w:b/>
        </w:rPr>
        <w:t>priorités</w:t>
      </w:r>
      <w:r w:rsidRPr="00FF3C0C">
        <w:t xml:space="preserve"> de renforcer la capacité gestionnaire des instances communautaires (COSA</w:t>
      </w:r>
      <w:r w:rsidR="002A3C6C" w:rsidRPr="00FF3C0C">
        <w:t>/</w:t>
      </w:r>
      <w:r w:rsidRPr="00FF3C0C">
        <w:t xml:space="preserve"> COGE</w:t>
      </w:r>
      <w:r w:rsidR="002A3C6C" w:rsidRPr="00FF3C0C">
        <w:t>S</w:t>
      </w:r>
      <w:r w:rsidRPr="00FF3C0C">
        <w:t>) aux différents niveaux afin de permettre à ces instances, organisées de façon appropriée, d’engager un dialogue constructif avec les autorités sanitaires et administratives aux différents niveaux, ainsi qu’avec les différents partenaires. La théorie du changement sous-jacente postule qu’une bonne compréhension des déficits et déséquilibres structurels et de ressources ainsi que des déterminants sous-jacents, permettra à des représentants de la communauté d’identifier des solutions qui leur sont adaptées. Une meilleure maitrise des ressources qu’ils mobilisent et gèrent devrait permettre d’organiser les compétences et possiblement de les mutualiser, en augmentant la transparence de ce niveau du système. Organisés, ils pourront engager le dialogue avec les autorités sectorielles, les collectivités locales, mais également mieux exploiter les opportunités offertes par le mouvement mutualiste, l’aide au développement ou d’éventuels autres partenariats privés. Ainsi, l’accent sera mis dans le cadre de la présente action sur la progression vers une plus grande soutenabilité de l’action communautaire, qui devrait contribuer à une plus grande résilience du système, et une efficience accrue du dispositif permettant d’y parvenir.</w:t>
      </w:r>
      <w:r w:rsidR="00A718F5" w:rsidRPr="00FF3C0C" w:rsidDel="00037C88">
        <w:rPr>
          <w:szCs w:val="22"/>
        </w:rPr>
        <w:t xml:space="preserve"> </w:t>
      </w:r>
    </w:p>
    <w:p w14:paraId="268C5E7D" w14:textId="2EF3F923" w:rsidR="0007408E" w:rsidRPr="00FF3C0C" w:rsidRDefault="0007408E" w:rsidP="004741A1">
      <w:pPr>
        <w:pStyle w:val="Guidelines2"/>
      </w:pPr>
      <w:bookmarkStart w:id="4" w:name="_Toc104797763"/>
      <w:r w:rsidRPr="00FF3C0C">
        <w:t>Montant de l’enveloppe financière mise à disposition par l’administration contractante</w:t>
      </w:r>
      <w:bookmarkEnd w:id="4"/>
    </w:p>
    <w:p w14:paraId="72119B7A" w14:textId="2DF3C24C" w:rsidR="0007408E" w:rsidRPr="00FF3C0C" w:rsidRDefault="0007408E" w:rsidP="00BD6FF1">
      <w:r w:rsidRPr="00FF3C0C">
        <w:t>Le montant indicatif global mis à disposition au titre du présent appel à propositions s’élève à </w:t>
      </w:r>
      <w:r w:rsidR="00A45F75" w:rsidRPr="00FF3C0C">
        <w:rPr>
          <w:b/>
        </w:rPr>
        <w:t>3</w:t>
      </w:r>
      <w:r w:rsidR="00B92820">
        <w:rPr>
          <w:b/>
        </w:rPr>
        <w:t>.5</w:t>
      </w:r>
      <w:r w:rsidR="00F31886" w:rsidRPr="00FF3C0C">
        <w:rPr>
          <w:b/>
        </w:rPr>
        <w:t xml:space="preserve">00.000 </w:t>
      </w:r>
      <w:r w:rsidRPr="00FF3C0C">
        <w:rPr>
          <w:b/>
        </w:rPr>
        <w:t>EUR</w:t>
      </w:r>
      <w:r w:rsidRPr="00FF3C0C">
        <w:t>. L’administration contractante se réserve le droit de ne pas allouer la totalité des fonds disponibles.</w:t>
      </w:r>
    </w:p>
    <w:p w14:paraId="28868EC2" w14:textId="77777777" w:rsidR="0007408E" w:rsidRPr="00FF3C0C" w:rsidRDefault="00A016F9" w:rsidP="00BD6FF1">
      <w:pPr>
        <w:rPr>
          <w:b/>
        </w:rPr>
      </w:pPr>
      <w:r w:rsidRPr="00FF3C0C">
        <w:rPr>
          <w:b/>
        </w:rPr>
        <w:t>Montant des subventions</w:t>
      </w:r>
    </w:p>
    <w:p w14:paraId="4D1F70A2" w14:textId="449897F2" w:rsidR="0007408E" w:rsidRPr="00FF3C0C" w:rsidRDefault="0007408E" w:rsidP="00BD6FF1">
      <w:r w:rsidRPr="00FF3C0C">
        <w:t xml:space="preserve">Toute subvention demandée dans le cadre </w:t>
      </w:r>
      <w:r w:rsidR="00B92820">
        <w:t>du présent appel à propositions</w:t>
      </w:r>
      <w:r w:rsidR="00FB4993" w:rsidRPr="00FF3C0C">
        <w:t xml:space="preserve"> doit </w:t>
      </w:r>
      <w:r w:rsidR="00B92820">
        <w:t xml:space="preserve">être comprise entre les montants minimum et maximum suivants </w:t>
      </w:r>
      <w:r w:rsidRPr="00FF3C0C">
        <w:t>:</w:t>
      </w:r>
    </w:p>
    <w:p w14:paraId="2B63D2C7" w14:textId="3B2C5A9F" w:rsidR="00804AF3" w:rsidRPr="00FF3C0C" w:rsidRDefault="00804AF3" w:rsidP="00B51541">
      <w:pPr>
        <w:ind w:left="720"/>
      </w:pPr>
      <w:r w:rsidRPr="00FF3C0C">
        <w:t xml:space="preserve">Montant minimum : </w:t>
      </w:r>
      <w:r w:rsidR="00B92820">
        <w:rPr>
          <w:b/>
        </w:rPr>
        <w:t>3</w:t>
      </w:r>
      <w:r w:rsidRPr="00FF3C0C">
        <w:rPr>
          <w:b/>
        </w:rPr>
        <w:t xml:space="preserve"> </w:t>
      </w:r>
      <w:r w:rsidR="00B92820">
        <w:rPr>
          <w:b/>
        </w:rPr>
        <w:t>3</w:t>
      </w:r>
      <w:r w:rsidRPr="00FF3C0C">
        <w:rPr>
          <w:b/>
        </w:rPr>
        <w:t>00 000 EUR</w:t>
      </w:r>
    </w:p>
    <w:p w14:paraId="4A30CD9E" w14:textId="7D12435F" w:rsidR="0007408E" w:rsidRPr="00FF3C0C" w:rsidRDefault="00A60AFA" w:rsidP="00B51541">
      <w:pPr>
        <w:ind w:left="720"/>
        <w:rPr>
          <w:b/>
        </w:rPr>
      </w:pPr>
      <w:r w:rsidRPr="00FF3C0C">
        <w:t>M</w:t>
      </w:r>
      <w:r w:rsidR="0007408E" w:rsidRPr="00FF3C0C">
        <w:t>ontant maximum</w:t>
      </w:r>
      <w:r w:rsidR="0007408E" w:rsidRPr="00FF3C0C">
        <w:rPr>
          <w:b/>
        </w:rPr>
        <w:t>:  </w:t>
      </w:r>
      <w:r w:rsidR="00DF1696" w:rsidRPr="00FF3C0C">
        <w:rPr>
          <w:b/>
        </w:rPr>
        <w:t>3</w:t>
      </w:r>
      <w:r w:rsidRPr="00FF3C0C">
        <w:rPr>
          <w:b/>
        </w:rPr>
        <w:t xml:space="preserve"> </w:t>
      </w:r>
      <w:r w:rsidR="00B92820">
        <w:rPr>
          <w:b/>
        </w:rPr>
        <w:t>5</w:t>
      </w:r>
      <w:r w:rsidR="00A45F75" w:rsidRPr="00FF3C0C">
        <w:rPr>
          <w:b/>
        </w:rPr>
        <w:t>00</w:t>
      </w:r>
      <w:r w:rsidRPr="00FF3C0C">
        <w:rPr>
          <w:b/>
        </w:rPr>
        <w:t xml:space="preserve"> </w:t>
      </w:r>
      <w:r w:rsidR="00A45F75" w:rsidRPr="00FF3C0C">
        <w:rPr>
          <w:b/>
        </w:rPr>
        <w:t xml:space="preserve">000 </w:t>
      </w:r>
      <w:r w:rsidR="0007408E" w:rsidRPr="00FF3C0C">
        <w:rPr>
          <w:b/>
        </w:rPr>
        <w:t>EUR</w:t>
      </w:r>
    </w:p>
    <w:p w14:paraId="4D4D0D46" w14:textId="77777777" w:rsidR="00BA00F7" w:rsidRPr="00FF3C0C" w:rsidRDefault="00BA00F7" w:rsidP="00BD6FF1">
      <w:r w:rsidRPr="00FF3C0C">
        <w:t>Toute subvention demandée dans le cadre du présent appel à propositions doit être inférieure ou égale au pourcentage maximum indiqué ci-dessous du total des coûts éligibles de l’action:</w:t>
      </w:r>
    </w:p>
    <w:p w14:paraId="20031F55" w14:textId="77777777" w:rsidR="007C32E1" w:rsidRPr="00FF3C0C" w:rsidRDefault="00BA00F7" w:rsidP="00D4002C">
      <w:pPr>
        <w:numPr>
          <w:ilvl w:val="0"/>
          <w:numId w:val="17"/>
        </w:numPr>
      </w:pPr>
      <w:r w:rsidRPr="00FF3C0C">
        <w:t xml:space="preserve">pourcentage maximum: </w:t>
      </w:r>
      <w:r w:rsidRPr="00C11DC6">
        <w:t xml:space="preserve"> </w:t>
      </w:r>
      <w:r w:rsidR="00FB4993" w:rsidRPr="00C11DC6">
        <w:rPr>
          <w:b/>
        </w:rPr>
        <w:t>90%</w:t>
      </w:r>
      <w:r w:rsidR="00FB4993" w:rsidRPr="00C11DC6">
        <w:t xml:space="preserve"> </w:t>
      </w:r>
      <w:r w:rsidRPr="00FF3C0C">
        <w:t xml:space="preserve">du total des coûts éligibles de l’action (voir également section 2.1.4). </w:t>
      </w:r>
    </w:p>
    <w:p w14:paraId="32D5BEBF" w14:textId="77777777" w:rsidR="0007408E" w:rsidRPr="00FF3C0C" w:rsidRDefault="00FB4993" w:rsidP="00FB4993">
      <w:pPr>
        <w:spacing w:before="120"/>
      </w:pPr>
      <w:r w:rsidRPr="00FF3C0C">
        <w:t>L</w:t>
      </w:r>
      <w:r w:rsidR="0007408E" w:rsidRPr="00FF3C0C">
        <w:t>e solde (c’est-à-dire la différence entre le coût total de l’action et le montant demandé à l’administration contractante) doit être financé par des sources autres que le budget de l’Union européen</w:t>
      </w:r>
      <w:r w:rsidR="005D2433" w:rsidRPr="00FF3C0C">
        <w:t>ne.</w:t>
      </w:r>
    </w:p>
    <w:p w14:paraId="16BC6DB5" w14:textId="655BF646" w:rsidR="0007408E" w:rsidRPr="00FF3C0C" w:rsidRDefault="00267E4F" w:rsidP="00643567">
      <w:pPr>
        <w:pStyle w:val="Guidelines1"/>
      </w:pPr>
      <w:r w:rsidRPr="00FF3C0C">
        <w:t>Règles applicables au présent appel à propositions</w:t>
      </w:r>
    </w:p>
    <w:p w14:paraId="55C97332" w14:textId="77777777" w:rsidR="0007408E" w:rsidRPr="00FF3C0C" w:rsidRDefault="0007408E" w:rsidP="00BD6FF1">
      <w:r w:rsidRPr="00FF3C0C">
        <w:t xml:space="preserve">Les présentes lignes directrices définissent les règles de soumission, de sélection et de mise en œuvre des actions financées dans le cadre du présent appel à propositions, conformément aux dispositions du PRAG, qui s’applique au présent appel (disponible sur internet à l’adresse suivante: </w:t>
      </w:r>
      <w:hyperlink r:id="rId13" w:history="1">
        <w:r w:rsidRPr="00617759">
          <w:rPr>
            <w:rStyle w:val="Hyperlink"/>
            <w:color w:val="00B0F0"/>
          </w:rPr>
          <w:t>http://ec.europa.eu/europeaid/prag/document.do?locale=fr</w:t>
        </w:r>
      </w:hyperlink>
      <w:r w:rsidRPr="00617759">
        <w:rPr>
          <w:color w:val="00B0F0"/>
        </w:rPr>
        <w:t>)</w:t>
      </w:r>
      <w:r w:rsidR="00C60C7C" w:rsidRPr="00FF3C0C">
        <w:rPr>
          <w:rStyle w:val="FootnoteReference"/>
        </w:rPr>
        <w:footnoteReference w:id="7"/>
      </w:r>
      <w:r w:rsidRPr="00FF3C0C">
        <w:t>.</w:t>
      </w:r>
    </w:p>
    <w:p w14:paraId="2C553914" w14:textId="2C3D5DB5" w:rsidR="0007408E" w:rsidRPr="00FF3C0C" w:rsidRDefault="0007408E" w:rsidP="004741A1">
      <w:pPr>
        <w:pStyle w:val="Guidelines2"/>
      </w:pPr>
      <w:bookmarkStart w:id="5" w:name="_Toc104797764"/>
      <w:r w:rsidRPr="00FF3C0C">
        <w:lastRenderedPageBreak/>
        <w:t>Critères d’éligibilité</w:t>
      </w:r>
      <w:bookmarkEnd w:id="5"/>
    </w:p>
    <w:p w14:paraId="5C7B8E07" w14:textId="77777777" w:rsidR="0007408E" w:rsidRPr="00FF3C0C" w:rsidRDefault="0007408E" w:rsidP="006E0555">
      <w:r w:rsidRPr="00FF3C0C">
        <w:t>Il existe trois séries de critères d’éligibilité, qui concernent respectivement:</w:t>
      </w:r>
    </w:p>
    <w:p w14:paraId="0B04939D" w14:textId="77777777" w:rsidR="003477DE" w:rsidRPr="00FF3C0C" w:rsidRDefault="00296A25" w:rsidP="002D4ACD">
      <w:pPr>
        <w:numPr>
          <w:ilvl w:val="0"/>
          <w:numId w:val="36"/>
        </w:numPr>
      </w:pPr>
      <w:r w:rsidRPr="00FF3C0C">
        <w:t>les acteurs (2.1.1.):</w:t>
      </w:r>
    </w:p>
    <w:p w14:paraId="499FA52F" w14:textId="77777777" w:rsidR="003477DE" w:rsidRPr="00FF3C0C" w:rsidRDefault="00D770A5" w:rsidP="00D97BE7">
      <w:pPr>
        <w:numPr>
          <w:ilvl w:val="0"/>
          <w:numId w:val="18"/>
        </w:numPr>
        <w:ind w:left="1134"/>
      </w:pPr>
      <w:r w:rsidRPr="00FF3C0C">
        <w:t xml:space="preserve">le </w:t>
      </w:r>
      <w:r w:rsidRPr="00FF3C0C">
        <w:rPr>
          <w:b/>
        </w:rPr>
        <w:t>demandeur chef de file</w:t>
      </w:r>
      <w:r w:rsidRPr="00FF3C0C">
        <w:t>, c’est-à-dire l’entité qui soumet le formulaire de demande,</w:t>
      </w:r>
    </w:p>
    <w:p w14:paraId="0C90C9EE" w14:textId="77777777" w:rsidR="003477DE" w:rsidRPr="00FF3C0C" w:rsidRDefault="00A31B91" w:rsidP="00D97BE7">
      <w:pPr>
        <w:numPr>
          <w:ilvl w:val="0"/>
          <w:numId w:val="18"/>
        </w:numPr>
        <w:ind w:left="1134"/>
      </w:pPr>
      <w:r w:rsidRPr="00FF3C0C">
        <w:t xml:space="preserve">le cas échéant, son ou ses </w:t>
      </w:r>
      <w:r w:rsidRPr="00FF3C0C">
        <w:rPr>
          <w:b/>
        </w:rPr>
        <w:t>codemandeurs</w:t>
      </w:r>
      <w:r w:rsidRPr="00FF3C0C">
        <w:t xml:space="preserve"> (</w:t>
      </w:r>
      <w:r w:rsidRPr="00FF3C0C">
        <w:rPr>
          <w:b/>
          <w:u w:val="single"/>
        </w:rPr>
        <w:t>sauf disposition contraire, le demandeur chef de file et ses codemandeurs sont ci-après conjointement dénommés les «demandeurs»</w:t>
      </w:r>
      <w:r w:rsidRPr="00FF3C0C">
        <w:t>),</w:t>
      </w:r>
    </w:p>
    <w:p w14:paraId="299F5860" w14:textId="77777777" w:rsidR="00E95995" w:rsidRPr="00FF3C0C" w:rsidRDefault="006A36F9" w:rsidP="00D97BE7">
      <w:pPr>
        <w:numPr>
          <w:ilvl w:val="0"/>
          <w:numId w:val="18"/>
        </w:numPr>
        <w:ind w:left="1134"/>
      </w:pPr>
      <w:r w:rsidRPr="00FF3C0C">
        <w:t xml:space="preserve">et, le cas échéant, la ou les </w:t>
      </w:r>
      <w:r w:rsidRPr="00FF3C0C">
        <w:rPr>
          <w:b/>
        </w:rPr>
        <w:t>entités affiliées</w:t>
      </w:r>
      <w:r w:rsidRPr="00FF3C0C">
        <w:t xml:space="preserve"> au demandeur chef de file et/ou aux codemandeurs;</w:t>
      </w:r>
    </w:p>
    <w:p w14:paraId="610E1518" w14:textId="77777777" w:rsidR="00E95995" w:rsidRPr="00FF3C0C" w:rsidRDefault="00296A25" w:rsidP="002D4ACD">
      <w:pPr>
        <w:numPr>
          <w:ilvl w:val="0"/>
          <w:numId w:val="36"/>
        </w:numPr>
      </w:pPr>
      <w:r w:rsidRPr="00FF3C0C">
        <w:t>les actions (2.1.3.):</w:t>
      </w:r>
    </w:p>
    <w:p w14:paraId="744C18BA" w14:textId="77777777" w:rsidR="003477DE" w:rsidRPr="00FF3C0C" w:rsidRDefault="00D770A5" w:rsidP="00E95995">
      <w:pPr>
        <w:ind w:left="720"/>
      </w:pPr>
      <w:r w:rsidRPr="00FF3C0C">
        <w:rPr>
          <w:sz w:val="28"/>
          <w:szCs w:val="28"/>
        </w:rPr>
        <w:t xml:space="preserve">• </w:t>
      </w:r>
      <w:r w:rsidRPr="00FF3C0C">
        <w:t xml:space="preserve">    les actions susceptibles de bénéficier d’une subvention;</w:t>
      </w:r>
    </w:p>
    <w:p w14:paraId="265D7DB3" w14:textId="77777777" w:rsidR="00E95995" w:rsidRPr="00FF3C0C" w:rsidRDefault="00296A25" w:rsidP="002D4ACD">
      <w:pPr>
        <w:numPr>
          <w:ilvl w:val="0"/>
          <w:numId w:val="36"/>
        </w:numPr>
      </w:pPr>
      <w:r w:rsidRPr="00FF3C0C">
        <w:t>les coûts (2.1.4):</w:t>
      </w:r>
    </w:p>
    <w:p w14:paraId="6BAC05AE" w14:textId="77777777" w:rsidR="00267E4F" w:rsidRPr="00FF3C0C" w:rsidRDefault="0007408E" w:rsidP="002D4ACD">
      <w:pPr>
        <w:numPr>
          <w:ilvl w:val="0"/>
          <w:numId w:val="18"/>
        </w:numPr>
        <w:ind w:left="1134"/>
      </w:pPr>
      <w:r w:rsidRPr="00FF3C0C">
        <w:t>les types de coûts pouvant être pris en compte dans le calcul du montant de la subvention.</w:t>
      </w:r>
    </w:p>
    <w:p w14:paraId="4162D341" w14:textId="712609EF" w:rsidR="0007408E" w:rsidRPr="00FF3C0C" w:rsidRDefault="0007408E" w:rsidP="00904791">
      <w:pPr>
        <w:pStyle w:val="Guidelines3"/>
      </w:pPr>
      <w:r w:rsidRPr="00FF3C0C">
        <w:t>Éligibilité des demandeurs (demandeur chef de file et codemandeurs)</w:t>
      </w:r>
    </w:p>
    <w:p w14:paraId="074F45F3" w14:textId="77777777" w:rsidR="004127BD" w:rsidRPr="00FF3C0C" w:rsidRDefault="00ED0176" w:rsidP="006E0555">
      <w:pPr>
        <w:spacing w:before="240"/>
        <w:rPr>
          <w:b/>
        </w:rPr>
      </w:pPr>
      <w:r w:rsidRPr="00FF3C0C">
        <w:rPr>
          <w:b/>
        </w:rPr>
        <w:t>Demandeur chef de file</w:t>
      </w:r>
    </w:p>
    <w:p w14:paraId="073B2CE2" w14:textId="77777777" w:rsidR="0007408E" w:rsidRPr="00FF3C0C" w:rsidRDefault="006E0555" w:rsidP="006E0555">
      <w:pPr>
        <w:ind w:left="426" w:hanging="426"/>
      </w:pPr>
      <w:r w:rsidRPr="00FF3C0C">
        <w:t>1)</w:t>
      </w:r>
      <w:r w:rsidRPr="00FF3C0C">
        <w:tab/>
        <w:t>Pour prétendre à une subvention, le demandeur chef de file doit:</w:t>
      </w:r>
    </w:p>
    <w:p w14:paraId="04359706" w14:textId="77777777" w:rsidR="0007408E" w:rsidRPr="00FF3C0C" w:rsidRDefault="0064630F" w:rsidP="00B51541">
      <w:pPr>
        <w:pStyle w:val="ListParagraph"/>
        <w:rPr>
          <w:highlight w:val="lightGray"/>
        </w:rPr>
      </w:pPr>
      <w:r w:rsidRPr="00FF3C0C">
        <w:t xml:space="preserve">être une personne morale  </w:t>
      </w:r>
      <w:r w:rsidRPr="00FF3C0C">
        <w:rPr>
          <w:b/>
        </w:rPr>
        <w:t>et</w:t>
      </w:r>
      <w:r w:rsidRPr="00FF3C0C">
        <w:rPr>
          <w:b/>
          <w:highlight w:val="lightGray"/>
        </w:rPr>
        <w:t xml:space="preserve"> </w:t>
      </w:r>
    </w:p>
    <w:p w14:paraId="16EF6825" w14:textId="77777777" w:rsidR="00876DC9" w:rsidRPr="00FF3C0C" w:rsidRDefault="00814FD1" w:rsidP="00876DC9">
      <w:pPr>
        <w:pStyle w:val="ListParagraph"/>
        <w:numPr>
          <w:ilvl w:val="0"/>
          <w:numId w:val="18"/>
        </w:numPr>
      </w:pPr>
      <w:r w:rsidRPr="00FF3C0C">
        <w:t xml:space="preserve">n’avoir aucun but lucratif </w:t>
      </w:r>
      <w:r w:rsidRPr="00FF3C0C">
        <w:rPr>
          <w:b/>
        </w:rPr>
        <w:t>et</w:t>
      </w:r>
    </w:p>
    <w:p w14:paraId="797B184C" w14:textId="461008E8" w:rsidR="00876DC9" w:rsidRPr="00FF3C0C" w:rsidRDefault="00814FD1" w:rsidP="00B51541">
      <w:pPr>
        <w:pStyle w:val="ListParagraph"/>
        <w:numPr>
          <w:ilvl w:val="0"/>
          <w:numId w:val="18"/>
        </w:numPr>
      </w:pPr>
      <w:r w:rsidRPr="00FF3C0C">
        <w:t>appartenir à l’une des catégories d’organisations suivantes: organisation non gouvernementale</w:t>
      </w:r>
      <w:r w:rsidR="00DF1696" w:rsidRPr="00FF3C0C">
        <w:t xml:space="preserve"> nationale et/ou internationale</w:t>
      </w:r>
      <w:r w:rsidRPr="00FF3C0C">
        <w:t xml:space="preserve">, </w:t>
      </w:r>
      <w:r w:rsidR="00A60AFA" w:rsidRPr="00FF3C0C">
        <w:t xml:space="preserve"> </w:t>
      </w:r>
    </w:p>
    <w:p w14:paraId="0260190B" w14:textId="5CDC4A64" w:rsidR="00876DC9" w:rsidRPr="00FF3C0C" w:rsidRDefault="00876DC9" w:rsidP="00876DC9">
      <w:pPr>
        <w:pStyle w:val="ListParagraph"/>
        <w:numPr>
          <w:ilvl w:val="0"/>
          <w:numId w:val="18"/>
        </w:numPr>
      </w:pPr>
      <w:r w:rsidRPr="00FF3C0C">
        <w:t xml:space="preserve">être établi au Burundi, ou dans un État membre de l’Union Africaine ou de l’Union Européenne, et dument autorisé à exercer son activité au Burundi </w:t>
      </w:r>
    </w:p>
    <w:p w14:paraId="3BAD712B" w14:textId="77777777" w:rsidR="0007408E" w:rsidRPr="00FF3C0C" w:rsidRDefault="0007408E" w:rsidP="00B51541">
      <w:pPr>
        <w:pStyle w:val="ListParagraph"/>
        <w:numPr>
          <w:ilvl w:val="0"/>
          <w:numId w:val="18"/>
        </w:numPr>
      </w:pPr>
      <w:r w:rsidRPr="00FF3C0C">
        <w:t xml:space="preserve">être directement chargé de la préparation et de la gestion de l’action avec le ou les codemandeurs et l’entité ou les entités affiliées, et non agir en tant qu’intermédiaire </w:t>
      </w:r>
      <w:r w:rsidRPr="00FF3C0C">
        <w:rPr>
          <w:b/>
        </w:rPr>
        <w:t>et</w:t>
      </w:r>
    </w:p>
    <w:p w14:paraId="07DB64FB" w14:textId="77777777" w:rsidR="00876DC9" w:rsidRPr="00FF3C0C" w:rsidRDefault="00876DC9" w:rsidP="00876DC9">
      <w:pPr>
        <w:pStyle w:val="ListParagraph"/>
        <w:numPr>
          <w:ilvl w:val="0"/>
          <w:numId w:val="18"/>
        </w:numPr>
      </w:pPr>
      <w:r w:rsidRPr="00FF3C0C">
        <w:t>justifier d’une expérience d’au moins cinq années dans le domaine de l’action communautaire dans les secteurs sociaux.</w:t>
      </w:r>
    </w:p>
    <w:p w14:paraId="06BD99F3" w14:textId="77777777" w:rsidR="00042967" w:rsidRPr="00FF3C0C" w:rsidRDefault="00E7016D" w:rsidP="00B51541">
      <w:r w:rsidRPr="00FF3C0C">
        <w:rPr>
          <w:b/>
        </w:rPr>
        <w:t>Un consortium composé d’un demandeur chef de file et, à minima, un codemandeur est requis. Au moins une organisation/association de la société civile burundaise doit obligatoirement être codemandeur de l’Action</w:t>
      </w:r>
      <w:r w:rsidRPr="00FF3C0C">
        <w:t>.</w:t>
      </w:r>
    </w:p>
    <w:p w14:paraId="32C7AB90" w14:textId="77777777" w:rsidR="00876DC9" w:rsidRPr="00FF3C0C" w:rsidRDefault="00876DC9" w:rsidP="00B51541"/>
    <w:p w14:paraId="310D7434" w14:textId="77777777" w:rsidR="006A0AD3" w:rsidRPr="00FF3C0C" w:rsidRDefault="00876DC9" w:rsidP="00B51541">
      <w:r w:rsidRPr="00FF3C0C">
        <w:t xml:space="preserve">2)   </w:t>
      </w:r>
      <w:r w:rsidR="00DE6435" w:rsidRPr="00FF3C0C">
        <w:t>Ne peuvent participer à des appels à propositions, ni être bénéficiaires d’une subvention, les demandeurs potentiels se trouvant dans l’une des situations décrites à la section 2.6.10.1 du PRAG;</w:t>
      </w:r>
    </w:p>
    <w:p w14:paraId="6C2FADE7" w14:textId="77777777" w:rsidR="007B2B84" w:rsidRPr="00FF3C0C" w:rsidRDefault="007B2B84" w:rsidP="007B2B84">
      <w:r w:rsidRPr="00FF3C0C">
        <w:t xml:space="preserve">Les demandeurs chefs de file, les codemandeurs et les entités affiliées et, s’il s’agit de personnes morales, les personnes ayant sur eux un pouvoir de représentation, de décision ou de contrôle sont informés du fait que, s’ils se trouvent dans une des situations de détection rapide ou d’exclusion conformément à la section 2.6.10.1 du PRAG, leurs coordonnées (nom/dénomination, prénom si personne physique, adresse/siège social, forme juridique et nom et prénom des personnes ayant un pouvoir de représentation, de décision ou de contrôle, si </w:t>
      </w:r>
      <w:r w:rsidRPr="00FF3C0C">
        <w:lastRenderedPageBreak/>
        <w:t>personne morale) peuvent être enregistrées dans le système de détection rapide et d’exclusion et communiquées aux personnes et entités concernées dans le cadre de l’attribution ou de l’exécution d’un contrat de subvention. À cet égard, les demandeurs chefs de file, les codemandeurs et les entités affiliées provisoirement sélectionnés ou qui ont été placés sur la liste de réserve sont tenus de déclarer, au moyen d’une déclaration sur l’honneur signée (annexe A14 du PRAG), qu’ils ne se trouvent pas dans une des situations d’exclusion. Pour les subventions inférieures ou égales à 15 000 EUR, aucune déclaration sur l’honneur n’est requise. Voir section 2.4.</w:t>
      </w:r>
    </w:p>
    <w:p w14:paraId="7C2F6DE7" w14:textId="65722927" w:rsidR="00C4172B" w:rsidRPr="00FF3C0C" w:rsidRDefault="001F59CD" w:rsidP="000C4276">
      <w:r w:rsidRPr="00FF3C0C">
        <w:t xml:space="preserve">Dans la partie B, section 8, du formulaire de demande de subvention </w:t>
      </w:r>
      <w:r w:rsidR="00643567" w:rsidRPr="00FF3C0C">
        <w:t>(« déclaration</w:t>
      </w:r>
      <w:r w:rsidRPr="00FF3C0C">
        <w:t xml:space="preserve">(s) du demandeur chef de </w:t>
      </w:r>
      <w:r w:rsidR="00643567" w:rsidRPr="00FF3C0C">
        <w:t>file »</w:t>
      </w:r>
      <w:r w:rsidRPr="00FF3C0C">
        <w:t>), le demandeur chef de file doit déclarer que ni lui-même ni le ou les codemandeurs ou l’entité ou les entités affiliées ne se trouvent dans une de ces situations.</w:t>
      </w:r>
    </w:p>
    <w:p w14:paraId="429821D7" w14:textId="77777777" w:rsidR="006A36F9" w:rsidRPr="00FF3C0C" w:rsidRDefault="006A36F9" w:rsidP="000C4276">
      <w:pPr>
        <w:rPr>
          <w:snapToGrid/>
        </w:rPr>
      </w:pPr>
      <w:r w:rsidRPr="00FF3C0C">
        <w:t xml:space="preserve">Le demandeur chef de file </w:t>
      </w:r>
      <w:r w:rsidRPr="00FF3C0C">
        <w:rPr>
          <w:snapToGrid/>
        </w:rPr>
        <w:t>doit agir avec un ou plusieurs codemandeur(s) conformément aux prescriptions ci-après.</w:t>
      </w:r>
    </w:p>
    <w:p w14:paraId="615716BC" w14:textId="77777777" w:rsidR="00296A25" w:rsidRPr="00FF3C0C" w:rsidRDefault="00D80885" w:rsidP="000C4276">
      <w:pPr>
        <w:rPr>
          <w:snapToGrid/>
        </w:rPr>
      </w:pPr>
      <w:r w:rsidRPr="00FF3C0C">
        <w:rPr>
          <w:snapToGrid/>
        </w:rPr>
        <w:t>Si le contrat de subvention lui est attribué, le demandeur chef de file devient le bénéficiaire identifié comme le coordonnateur dans l’annexe G (Conditions particulières). Le coordonnateur est l’interlocuteur unique de l’administration contractante. Il représente les éventuels autres bénéficiaires et agit en leur nom. Il coordonne l’élaboration et la mise en œuvre de l’action.</w:t>
      </w:r>
    </w:p>
    <w:p w14:paraId="65101E22" w14:textId="77777777" w:rsidR="006A36F9" w:rsidRPr="00FF3C0C" w:rsidRDefault="006A36F9" w:rsidP="000C4276">
      <w:pPr>
        <w:rPr>
          <w:b/>
          <w:i/>
          <w:snapToGrid/>
          <w:u w:val="single"/>
        </w:rPr>
      </w:pPr>
      <w:r w:rsidRPr="00FF3C0C">
        <w:rPr>
          <w:b/>
          <w:snapToGrid/>
          <w:u w:val="single"/>
        </w:rPr>
        <w:t>Codemandeur(s</w:t>
      </w:r>
      <w:r w:rsidRPr="00FF3C0C">
        <w:rPr>
          <w:b/>
          <w:i/>
          <w:snapToGrid/>
          <w:u w:val="single"/>
        </w:rPr>
        <w:t>)</w:t>
      </w:r>
    </w:p>
    <w:p w14:paraId="3660F783" w14:textId="77777777" w:rsidR="00E21B4F" w:rsidRPr="00FF3C0C" w:rsidRDefault="00E21B4F" w:rsidP="000C4276">
      <w:pPr>
        <w:rPr>
          <w:snapToGrid/>
        </w:rPr>
      </w:pPr>
      <w:r w:rsidRPr="00FF3C0C">
        <w:rPr>
          <w:snapToGrid/>
        </w:rPr>
        <w:t>Un consortium composé d’un demandeur chef de file et, à minima un codemandeur est requis</w:t>
      </w:r>
      <w:r w:rsidR="00876DC9" w:rsidRPr="00FF3C0C">
        <w:rPr>
          <w:snapToGrid/>
        </w:rPr>
        <w:t>.</w:t>
      </w:r>
    </w:p>
    <w:p w14:paraId="41042B6A" w14:textId="77777777" w:rsidR="00D54450" w:rsidRPr="00FF3C0C" w:rsidRDefault="00F42DD2" w:rsidP="000C4276">
      <w:pPr>
        <w:rPr>
          <w:snapToGrid/>
        </w:rPr>
      </w:pPr>
      <w:r w:rsidRPr="00FF3C0C">
        <w:rPr>
          <w:snapToGrid/>
        </w:rPr>
        <w:t xml:space="preserve">Les codemandeurs participent à l’élaboration et à la mise en œuvre de l’action, et les frais qu’ils supportent sont éligibles au même titre que ceux supportés par le demandeur chef de file. </w:t>
      </w:r>
    </w:p>
    <w:p w14:paraId="58025EA4" w14:textId="77777777" w:rsidR="00D54450" w:rsidRPr="00FF3C0C" w:rsidRDefault="006A36F9" w:rsidP="000C4276">
      <w:pPr>
        <w:rPr>
          <w:snapToGrid/>
        </w:rPr>
      </w:pPr>
      <w:r w:rsidRPr="00FF3C0C">
        <w:rPr>
          <w:snapToGrid/>
        </w:rPr>
        <w:t>Les codemandeurs doivent satisfaire aux mêmes critères d’éligibilité que ceux qui s’appliquent au demandeur chef de file lui-même.</w:t>
      </w:r>
    </w:p>
    <w:p w14:paraId="6DF5B150" w14:textId="73716871" w:rsidR="00876DC9" w:rsidRPr="00FF3C0C" w:rsidRDefault="00876DC9" w:rsidP="00876DC9">
      <w:pPr>
        <w:rPr>
          <w:snapToGrid/>
        </w:rPr>
      </w:pPr>
      <w:r w:rsidRPr="00FF3C0C">
        <w:rPr>
          <w:snapToGrid/>
        </w:rPr>
        <w:t>Outre ceux mentionnés à la section 2.1.1, les demandeurs suivants sont également éligibles:</w:t>
      </w:r>
      <w:r w:rsidR="00974BDB" w:rsidRPr="00FF3C0C">
        <w:rPr>
          <w:snapToGrid/>
        </w:rPr>
        <w:t xml:space="preserve"> Organisation/Association de la société civile burundaise.</w:t>
      </w:r>
    </w:p>
    <w:p w14:paraId="00499578" w14:textId="43D3E161" w:rsidR="00C4172B" w:rsidRPr="00FF3C0C" w:rsidRDefault="005C085D" w:rsidP="000C4276">
      <w:pPr>
        <w:rPr>
          <w:i/>
          <w:snapToGrid/>
          <w:highlight w:val="lightGray"/>
        </w:rPr>
      </w:pPr>
      <w:r w:rsidRPr="00FF3C0C">
        <w:rPr>
          <w:snapToGrid/>
          <w:u w:val="single"/>
        </w:rPr>
        <w:t>Au moins</w:t>
      </w:r>
      <w:r w:rsidRPr="00FF3C0C">
        <w:rPr>
          <w:snapToGrid/>
        </w:rPr>
        <w:t xml:space="preserve"> une organisation/association de la société civile burundaise doit obligatoirement être codemandeur de l’action</w:t>
      </w:r>
      <w:r w:rsidRPr="00FF3C0C">
        <w:rPr>
          <w:i/>
          <w:snapToGrid/>
          <w:highlight w:val="lightGray"/>
        </w:rPr>
        <w:t>.</w:t>
      </w:r>
    </w:p>
    <w:p w14:paraId="21F7CC2D" w14:textId="77777777" w:rsidR="00D80885" w:rsidRPr="00FF3C0C" w:rsidRDefault="00D80885" w:rsidP="000C4276">
      <w:pPr>
        <w:rPr>
          <w:snapToGrid/>
        </w:rPr>
      </w:pPr>
      <w:r w:rsidRPr="00FF3C0C">
        <w:rPr>
          <w:snapToGrid/>
        </w:rPr>
        <w:t>Les codemandeurs doivent signer le mandat figurant dans la partie B, section 4, du formulaire de demande de subvention.</w:t>
      </w:r>
    </w:p>
    <w:p w14:paraId="3A609AF0" w14:textId="77777777" w:rsidR="006D29D4" w:rsidRPr="00FF3C0C" w:rsidRDefault="004A16A8" w:rsidP="000C4276">
      <w:pPr>
        <w:rPr>
          <w:snapToGrid/>
        </w:rPr>
      </w:pPr>
      <w:r w:rsidRPr="00FF3C0C">
        <w:rPr>
          <w:snapToGrid/>
        </w:rPr>
        <w:t>Si le contrat de subvention leur est attribué, les éventuels codemandeurs deviennent les bénéficiaires dans le cadre de l’action (avec le coordonnateur).</w:t>
      </w:r>
    </w:p>
    <w:p w14:paraId="2724C115" w14:textId="6C40A40F" w:rsidR="00992EBA" w:rsidRPr="00FF3C0C" w:rsidRDefault="003201A8" w:rsidP="000C4276">
      <w:pPr>
        <w:numPr>
          <w:ilvl w:val="0"/>
          <w:numId w:val="67"/>
        </w:numPr>
        <w:rPr>
          <w:szCs w:val="22"/>
        </w:rPr>
      </w:pPr>
      <w:r w:rsidRPr="00FF3C0C">
        <w:rPr>
          <w:snapToGrid/>
        </w:rPr>
        <w:t>En outre, veuillez noter que les marchés ne peuvent être attribués à des demandeurs figurant sur les listes de mesures restrictives de l’UE, ni signés avec ceux-ci (voir section 2.4 du PRAG).</w:t>
      </w:r>
      <w:r w:rsidRPr="00FF3C0C">
        <w:t xml:space="preserve"> </w:t>
      </w:r>
    </w:p>
    <w:p w14:paraId="480FF894" w14:textId="77777777" w:rsidR="003827D3" w:rsidRPr="00FF3C0C" w:rsidRDefault="003827D3" w:rsidP="000C4276">
      <w:pPr>
        <w:ind w:left="360"/>
        <w:rPr>
          <w:szCs w:val="22"/>
        </w:rPr>
      </w:pPr>
    </w:p>
    <w:p w14:paraId="0F475D78" w14:textId="0B7E69D8" w:rsidR="00A67E4C" w:rsidRPr="002538A7" w:rsidRDefault="002538A7" w:rsidP="006B6048">
      <w:pPr>
        <w:rPr>
          <w:b/>
          <w:snapToGrid/>
          <w:u w:val="single"/>
        </w:rPr>
      </w:pPr>
      <w:bookmarkStart w:id="6" w:name="_Toc75362973"/>
      <w:bookmarkStart w:id="7" w:name="_Toc75363196"/>
      <w:bookmarkEnd w:id="6"/>
      <w:bookmarkEnd w:id="7"/>
      <w:r w:rsidRPr="002538A7">
        <w:rPr>
          <w:b/>
          <w:snapToGrid/>
          <w:u w:val="single"/>
        </w:rPr>
        <w:t>Entités affiliées</w:t>
      </w:r>
    </w:p>
    <w:p w14:paraId="3FD978D2" w14:textId="77777777" w:rsidR="00914462" w:rsidRPr="00FF3C0C" w:rsidRDefault="00A07623" w:rsidP="006B6048">
      <w:r w:rsidRPr="00FF3C0C">
        <w:rPr>
          <w:snapToGrid/>
        </w:rPr>
        <w:t xml:space="preserve">Le demandeur chef de file et son ou ses codemandeurs peuvent agir avec une ou des entités affiliées. </w:t>
      </w:r>
      <w:r w:rsidRPr="00FF3C0C">
        <w:rPr>
          <w:b/>
        </w:rPr>
        <w:t>Seules les entités suivantes peuvent être considérées comme affiliées au demandeur chef de file et/ou au(x) codemandeur(s):</w:t>
      </w:r>
    </w:p>
    <w:p w14:paraId="14FCDAEC" w14:textId="77777777" w:rsidR="005E7A18" w:rsidRPr="00FF3C0C" w:rsidRDefault="005E7A18" w:rsidP="005E7A18">
      <w:pPr>
        <w:keepNext/>
        <w:spacing w:after="120" w:line="276" w:lineRule="auto"/>
      </w:pPr>
      <w:r w:rsidRPr="00FF3C0C">
        <w:t>Uniquement les entités qui ont un lien structurel avec les demandeurs (le demandeur chef de file ou un codemandeur), en particulier un lien juridique ou de capital.</w:t>
      </w:r>
    </w:p>
    <w:p w14:paraId="43673FEA" w14:textId="77777777" w:rsidR="005E7A18" w:rsidRPr="00FF3C0C" w:rsidRDefault="005E7A18" w:rsidP="005E7A18">
      <w:pPr>
        <w:spacing w:line="276" w:lineRule="auto"/>
      </w:pPr>
      <w:r w:rsidRPr="00FF3C0C">
        <w:t>Ce lien structurel englobe principalement deux notions:</w:t>
      </w:r>
    </w:p>
    <w:p w14:paraId="6B0BC5FA" w14:textId="77777777" w:rsidR="005E7A18" w:rsidRPr="00FF3C0C" w:rsidRDefault="005E7A18" w:rsidP="00974BDB">
      <w:pPr>
        <w:spacing w:after="120" w:line="276" w:lineRule="auto"/>
        <w:ind w:left="720" w:hanging="567"/>
      </w:pPr>
      <w:r w:rsidRPr="00FF3C0C">
        <w:t xml:space="preserve">i) </w:t>
      </w:r>
      <w:r w:rsidRPr="00FF3C0C">
        <w:tab/>
        <w:t>le contrôle, au sens de la directive 2013/34/UE relative aux états financiers annuels, aux états financiers consolidés et aux rapports y afférents de certaines formes d’entreprises:</w:t>
      </w:r>
    </w:p>
    <w:p w14:paraId="3DB6FD15" w14:textId="77777777" w:rsidR="005E7A18" w:rsidRPr="00FF3C0C" w:rsidRDefault="005E7A18" w:rsidP="00974BDB">
      <w:pPr>
        <w:spacing w:after="0" w:line="276" w:lineRule="auto"/>
        <w:ind w:left="709"/>
      </w:pPr>
      <w:r w:rsidRPr="00FF3C0C">
        <w:t>Les entités affiliées à un demandeur peuvent donc être:</w:t>
      </w:r>
    </w:p>
    <w:p w14:paraId="3017F2CF" w14:textId="77777777" w:rsidR="005E7A18" w:rsidRPr="00FF3C0C" w:rsidRDefault="005E7A18" w:rsidP="00807DAF">
      <w:pPr>
        <w:numPr>
          <w:ilvl w:val="0"/>
          <w:numId w:val="40"/>
        </w:numPr>
        <w:spacing w:after="0" w:line="276" w:lineRule="auto"/>
        <w:ind w:left="1276" w:hanging="283"/>
      </w:pPr>
      <w:r w:rsidRPr="00FF3C0C">
        <w:lastRenderedPageBreak/>
        <w:t>des entités contrôlées directement ou indirectement par le demandeur (filiales ou filiales de premier rang) ou contrôlées par une entité elle-même contrôlée par le demandeur (sous-filiales ou filiales de deuxième rang). Ce qui précède est valable pour les autres niveaux de contrôle;</w:t>
      </w:r>
    </w:p>
    <w:p w14:paraId="21CAC36C" w14:textId="77777777" w:rsidR="005E7A18" w:rsidRPr="00FF3C0C" w:rsidRDefault="005E7A18" w:rsidP="00807DAF">
      <w:pPr>
        <w:numPr>
          <w:ilvl w:val="0"/>
          <w:numId w:val="40"/>
        </w:numPr>
        <w:spacing w:after="0" w:line="276" w:lineRule="auto"/>
        <w:ind w:left="1276" w:hanging="283"/>
      </w:pPr>
      <w:r w:rsidRPr="00FF3C0C">
        <w:t>des entités contrôlant directement ou indirectement le demandeur (sociétés mères). De la même façon, il peut s’agir d’entités contrôlant une entité contrôlant le demandeur;</w:t>
      </w:r>
    </w:p>
    <w:p w14:paraId="7AB7C000" w14:textId="77777777" w:rsidR="005E7A18" w:rsidRPr="00FF3C0C" w:rsidRDefault="005E7A18" w:rsidP="00974BDB">
      <w:pPr>
        <w:numPr>
          <w:ilvl w:val="0"/>
          <w:numId w:val="40"/>
        </w:numPr>
        <w:spacing w:after="120" w:line="276" w:lineRule="auto"/>
        <w:ind w:left="1276" w:hanging="284"/>
      </w:pPr>
      <w:r w:rsidRPr="00FF3C0C">
        <w:t>des entités au même niveau de contrôle direct ou indirect que le demandeur (sociétés sœurs).</w:t>
      </w:r>
    </w:p>
    <w:p w14:paraId="764DC1EC" w14:textId="77777777" w:rsidR="005E7A18" w:rsidRPr="00FF3C0C" w:rsidRDefault="005E7A18" w:rsidP="005E7A18">
      <w:pPr>
        <w:spacing w:after="0" w:line="276" w:lineRule="auto"/>
        <w:ind w:left="720" w:hanging="578"/>
      </w:pPr>
      <w:r w:rsidRPr="00FF3C0C">
        <w:t xml:space="preserve">ii) </w:t>
      </w:r>
      <w:r w:rsidRPr="00FF3C0C">
        <w:tab/>
        <w:t>l’adhésion, c’est-à-dire que le demandeur est juridiquement défini comme, par exemple, un réseau, une fédération ou une association dont les entités affiliées proposées sont membres, ou bien le demandeur est membre de la même entité (par exemple, un réseau, une fédération ou une association) que les entités affiliées proposées.</w:t>
      </w:r>
    </w:p>
    <w:p w14:paraId="201579BD" w14:textId="77777777" w:rsidR="005E7A18" w:rsidRPr="00FF3C0C" w:rsidRDefault="005E7A18" w:rsidP="005E7A18">
      <w:pPr>
        <w:spacing w:after="0" w:line="276" w:lineRule="auto"/>
      </w:pPr>
    </w:p>
    <w:p w14:paraId="72EC1D00" w14:textId="1CFBF9D5" w:rsidR="005E7A18" w:rsidRPr="00FF3C0C" w:rsidRDefault="005E7A18" w:rsidP="005E7A18">
      <w:pPr>
        <w:spacing w:after="0" w:line="276" w:lineRule="auto"/>
      </w:pPr>
      <w:r w:rsidRPr="00FF3C0C">
        <w:t xml:space="preserve">D’une manière générale, le lien structurel ne doit pas être limité à l’action, ni établi aux seules fins de la mise en œuvre de cette dernière. Il doit donc exister indépendamment de l’attribution de la subvention. </w:t>
      </w:r>
      <w:r w:rsidR="00643567" w:rsidRPr="00FF3C0C">
        <w:t>Il</w:t>
      </w:r>
      <w:r w:rsidRPr="00FF3C0C">
        <w:t xml:space="preserve"> devrait exister avant l’appel à propositions et rester valide une fois l’action terminée.</w:t>
      </w:r>
    </w:p>
    <w:p w14:paraId="672184EE" w14:textId="77777777" w:rsidR="005E7A18" w:rsidRPr="00FF3C0C" w:rsidRDefault="005E7A18" w:rsidP="005E7A18">
      <w:pPr>
        <w:spacing w:after="0" w:line="276" w:lineRule="auto"/>
        <w:ind w:left="720"/>
      </w:pPr>
    </w:p>
    <w:p w14:paraId="0BF58916" w14:textId="38792CC7" w:rsidR="005E7A18" w:rsidRPr="00FF3C0C" w:rsidRDefault="005E7A18" w:rsidP="005E7A18">
      <w:pPr>
        <w:spacing w:line="276" w:lineRule="auto"/>
      </w:pPr>
      <w:r w:rsidRPr="00FF3C0C">
        <w:t>À titre exceptionnel, une entité peut être considérée comme affiliée à un demandeur même si le lien structurel a été établi aux seules fins de la mise en œuvre de l’action, dans le cas de</w:t>
      </w:r>
      <w:r w:rsidR="00312492" w:rsidRPr="00FF3C0C">
        <w:t xml:space="preserve"> « demandeurs</w:t>
      </w:r>
      <w:r w:rsidRPr="00FF3C0C">
        <w:t xml:space="preserve"> </w:t>
      </w:r>
      <w:r w:rsidR="00643567" w:rsidRPr="00FF3C0C">
        <w:t>uniques »</w:t>
      </w:r>
      <w:r w:rsidRPr="00FF3C0C">
        <w:t xml:space="preserve"> </w:t>
      </w:r>
      <w:r w:rsidR="00975C48" w:rsidRPr="00FF3C0C">
        <w:t>ou de</w:t>
      </w:r>
      <w:r w:rsidR="00643567" w:rsidRPr="00FF3C0C">
        <w:t xml:space="preserve"> « bénéficiaires</w:t>
      </w:r>
      <w:r w:rsidR="00975C48" w:rsidRPr="00FF3C0C">
        <w:t xml:space="preserve"> </w:t>
      </w:r>
      <w:r w:rsidR="00643567" w:rsidRPr="00FF3C0C">
        <w:t>uniques »</w:t>
      </w:r>
      <w:r w:rsidR="00975C48" w:rsidRPr="00FF3C0C">
        <w:t xml:space="preserve">. </w:t>
      </w:r>
      <w:r w:rsidRPr="00FF3C0C">
        <w:t>Un demandeur unique ou un bénéficiaire unique est une entité juridique formée de plusieurs entités (un groupe d’entités) qui satisfont ensemble aux critères d’attribution de la subvention. Par exemple, une association est formée de ses membres.</w:t>
      </w:r>
    </w:p>
    <w:p w14:paraId="6598D6AC" w14:textId="77777777" w:rsidR="005E7A18" w:rsidRPr="00FF3C0C" w:rsidRDefault="005E7A18" w:rsidP="005E7A18">
      <w:pPr>
        <w:pStyle w:val="Heading5"/>
        <w:spacing w:line="276" w:lineRule="auto"/>
        <w:rPr>
          <w:rFonts w:ascii="Times New Roman" w:hAnsi="Times New Roman"/>
          <w:szCs w:val="22"/>
          <w:u w:val="single"/>
        </w:rPr>
      </w:pPr>
      <w:r w:rsidRPr="00FF3C0C">
        <w:rPr>
          <w:rFonts w:ascii="Times New Roman" w:hAnsi="Times New Roman"/>
          <w:szCs w:val="22"/>
          <w:u w:val="single"/>
        </w:rPr>
        <w:t xml:space="preserve">Que ne peut pas être une entité affiliée? </w:t>
      </w:r>
    </w:p>
    <w:p w14:paraId="337081D7" w14:textId="77777777" w:rsidR="005E7A18" w:rsidRPr="00FF3C0C" w:rsidRDefault="005E7A18" w:rsidP="005E7A18">
      <w:pPr>
        <w:spacing w:after="0"/>
      </w:pPr>
    </w:p>
    <w:p w14:paraId="7E31EA85" w14:textId="77777777" w:rsidR="005E7A18" w:rsidRPr="00FF3C0C" w:rsidRDefault="005E7A18" w:rsidP="005E7A18">
      <w:pPr>
        <w:spacing w:after="0"/>
      </w:pPr>
      <w:r w:rsidRPr="00FF3C0C">
        <w:t>Les entités suivantes ne peuvent pas être considérées comme affiliées à un demandeur:</w:t>
      </w:r>
    </w:p>
    <w:p w14:paraId="5BFEF337" w14:textId="77777777" w:rsidR="005E7A18" w:rsidRPr="00FF3C0C" w:rsidRDefault="005E7A18" w:rsidP="005E7A18">
      <w:pPr>
        <w:spacing w:after="0" w:line="276" w:lineRule="auto"/>
        <w:rPr>
          <w:szCs w:val="22"/>
        </w:rPr>
      </w:pPr>
    </w:p>
    <w:p w14:paraId="5EC56B68" w14:textId="77777777" w:rsidR="005E7A18" w:rsidRPr="00FF3C0C" w:rsidRDefault="005E7A18" w:rsidP="004741A1">
      <w:pPr>
        <w:numPr>
          <w:ilvl w:val="0"/>
          <w:numId w:val="43"/>
        </w:numPr>
        <w:spacing w:after="0" w:line="276" w:lineRule="auto"/>
      </w:pPr>
      <w:r w:rsidRPr="00FF3C0C">
        <w:t>les entités qui ont conclu un contrat ou un contrat de sous-traitance (passation de marchés publics) avec un demandeur, agissent en tant que concessionnaires ou délégataires de services publics pour un demandeur;</w:t>
      </w:r>
    </w:p>
    <w:p w14:paraId="56B65A3C" w14:textId="77777777" w:rsidR="005E7A18" w:rsidRPr="00FF3C0C" w:rsidRDefault="005E7A18" w:rsidP="004741A1">
      <w:pPr>
        <w:numPr>
          <w:ilvl w:val="0"/>
          <w:numId w:val="43"/>
        </w:numPr>
        <w:spacing w:after="0" w:line="276" w:lineRule="auto"/>
      </w:pPr>
      <w:r w:rsidRPr="00FF3C0C">
        <w:t>les entités qui perçoivent un soutien financier de la part du demandeur;</w:t>
      </w:r>
    </w:p>
    <w:p w14:paraId="2CB08764" w14:textId="77777777" w:rsidR="005E7A18" w:rsidRPr="00FF3C0C" w:rsidRDefault="005E7A18" w:rsidP="004741A1">
      <w:pPr>
        <w:numPr>
          <w:ilvl w:val="0"/>
          <w:numId w:val="43"/>
        </w:numPr>
        <w:spacing w:after="0" w:line="276" w:lineRule="auto"/>
      </w:pPr>
      <w:r w:rsidRPr="00FF3C0C">
        <w:t>les entités qui collaborent régulièrement avec un demandeur sur la base d’un protocole d’accord ou qui partagent des actifs avec lui;</w:t>
      </w:r>
    </w:p>
    <w:p w14:paraId="0B46C7C5" w14:textId="77777777" w:rsidR="005E7A18" w:rsidRPr="00FF3C0C" w:rsidRDefault="005E7A18" w:rsidP="004741A1">
      <w:pPr>
        <w:numPr>
          <w:ilvl w:val="0"/>
          <w:numId w:val="43"/>
        </w:numPr>
        <w:spacing w:after="0" w:line="276" w:lineRule="auto"/>
      </w:pPr>
      <w:r w:rsidRPr="00FF3C0C">
        <w:t>les entités qui ont signé un accord de consortium dans le cadre du contrat de subvention (sauf si cet accord de consortium conduit à la création d’un «demandeur unique» tel que décrit ci-dessus).</w:t>
      </w:r>
    </w:p>
    <w:p w14:paraId="356A8C23" w14:textId="77777777" w:rsidR="005E7A18" w:rsidRPr="00FF3C0C" w:rsidRDefault="005E7A18" w:rsidP="005E7A18">
      <w:pPr>
        <w:spacing w:after="0" w:line="276" w:lineRule="auto"/>
      </w:pPr>
    </w:p>
    <w:p w14:paraId="538EDDB3" w14:textId="77777777" w:rsidR="005E7A18" w:rsidRPr="00FF3C0C" w:rsidRDefault="005E7A18" w:rsidP="005E7A18">
      <w:pPr>
        <w:spacing w:after="0" w:line="276" w:lineRule="auto"/>
        <w:rPr>
          <w:u w:val="single"/>
        </w:rPr>
      </w:pPr>
      <w:r w:rsidRPr="00FF3C0C">
        <w:rPr>
          <w:u w:val="single"/>
        </w:rPr>
        <w:t>Comment vérifier l’existence du lien requis avec un demandeur?</w:t>
      </w:r>
    </w:p>
    <w:p w14:paraId="2ADC04B4" w14:textId="77777777" w:rsidR="005E7A18" w:rsidRPr="00FF3C0C" w:rsidRDefault="005E7A18" w:rsidP="005E7A18">
      <w:pPr>
        <w:spacing w:after="0"/>
      </w:pPr>
    </w:p>
    <w:p w14:paraId="55AD3DB6" w14:textId="77777777" w:rsidR="005E7A18" w:rsidRPr="00FF3C0C" w:rsidRDefault="005E7A18" w:rsidP="005E7A18">
      <w:pPr>
        <w:spacing w:after="0" w:line="276" w:lineRule="auto"/>
        <w:ind w:left="8"/>
      </w:pPr>
      <w:r w:rsidRPr="00FF3C0C">
        <w:t>L’affiliation résultant d’une relation de contrôle peut être démontrée en particulier sur la base des comptes consolidés du groupe auquel appartiennent le demandeur et ses entités affiliées proposées.</w:t>
      </w:r>
    </w:p>
    <w:p w14:paraId="72256487" w14:textId="77777777" w:rsidR="005E7A18" w:rsidRPr="00FF3C0C" w:rsidRDefault="005E7A18" w:rsidP="005E7A18">
      <w:pPr>
        <w:spacing w:after="0" w:line="276" w:lineRule="auto"/>
      </w:pPr>
    </w:p>
    <w:p w14:paraId="1F8E8116" w14:textId="77777777" w:rsidR="005E7A18" w:rsidRPr="00FF3C0C" w:rsidRDefault="005E7A18" w:rsidP="005E7A18">
      <w:pPr>
        <w:spacing w:after="0" w:line="276" w:lineRule="auto"/>
      </w:pPr>
      <w:r w:rsidRPr="00FF3C0C">
        <w:t>Celle résultant d’une adhésion peut être démontrée en particulier sur la base des statuts (ou d’un acte constitutif équivalent) de l’entité (réseau, fédération, association) que forme le demandeur ou à laquelle il participe.</w:t>
      </w:r>
    </w:p>
    <w:p w14:paraId="38FAEE27" w14:textId="77777777" w:rsidR="00F012FD" w:rsidRPr="00FF3C0C" w:rsidRDefault="007261B1" w:rsidP="006B6048">
      <w:r w:rsidRPr="00FF3C0C">
        <w:t>Si un contrat de subvention est attribué à un demandeur, ses entités affiliées ne deviennent ni bénéficiaires de l’action ni signataires du contrat de subvention. Toutefois, elles participent à l’élaboration et à la mise en œuvre de l’action et les coûts qu’elles supportent (notamment ceux relatifs aux marchés de mise en œuvre et au soutien financier de tiers et de sous-traitants) peuvent être éligibles, à condition de respecter les règles pertinentes applicables aux bénéficiaires en vertu du contrat de subvention.</w:t>
      </w:r>
    </w:p>
    <w:p w14:paraId="0D8F1AC0" w14:textId="77777777" w:rsidR="00A33882" w:rsidRPr="00FF3C0C" w:rsidRDefault="00914462" w:rsidP="007261B1">
      <w:r w:rsidRPr="00FF3C0C">
        <w:t>Les entités affiliées doivent satisfaire aux mêmes critères d’éligibilité que ceux qui s’appliquent au demandeur ch</w:t>
      </w:r>
      <w:r w:rsidR="00975C48" w:rsidRPr="00FF3C0C">
        <w:t>ef de file et aux codemandeurs.</w:t>
      </w:r>
      <w:r w:rsidRPr="00FF3C0C">
        <w:t xml:space="preserve"> Elles doivent signer la déclaration les concernant qui figure dans la partie B, section 5, du formulaire de demande de subvention.</w:t>
      </w:r>
    </w:p>
    <w:p w14:paraId="4601DD4A" w14:textId="7B48B9E3" w:rsidR="00F06309" w:rsidRPr="00FF3C0C" w:rsidRDefault="00F06309" w:rsidP="00904791">
      <w:pPr>
        <w:pStyle w:val="Guidelines3"/>
      </w:pPr>
      <w:bookmarkStart w:id="8" w:name="_Toc380145061"/>
      <w:bookmarkEnd w:id="8"/>
      <w:r w:rsidRPr="00FF3C0C">
        <w:lastRenderedPageBreak/>
        <w:t>Associés et contractants</w:t>
      </w:r>
    </w:p>
    <w:p w14:paraId="509339CC" w14:textId="66AB2666" w:rsidR="00F06309" w:rsidRPr="00FF3C0C" w:rsidRDefault="00F06309" w:rsidP="00F06309">
      <w:pPr>
        <w:spacing w:before="240"/>
      </w:pPr>
      <w:r w:rsidRPr="00FF3C0C">
        <w:t>Les entités suivantes ne sont ni des demandeurs ni des entités affiliées et elles n’ont pas à signer le</w:t>
      </w:r>
      <w:r w:rsidR="00A718F5" w:rsidRPr="00FF3C0C">
        <w:t xml:space="preserve"> « mandat</w:t>
      </w:r>
      <w:r w:rsidRPr="00FF3C0C">
        <w:t xml:space="preserve"> pour le </w:t>
      </w:r>
      <w:r w:rsidR="00A718F5" w:rsidRPr="00FF3C0C">
        <w:t>codemandeur »</w:t>
      </w:r>
      <w:r w:rsidRPr="00FF3C0C">
        <w:t xml:space="preserve"> ni la</w:t>
      </w:r>
      <w:r w:rsidR="00A718F5" w:rsidRPr="00FF3C0C">
        <w:t xml:space="preserve"> « déclaration</w:t>
      </w:r>
      <w:r w:rsidRPr="00FF3C0C">
        <w:t xml:space="preserve"> relative aux entités </w:t>
      </w:r>
      <w:r w:rsidR="00A718F5" w:rsidRPr="00FF3C0C">
        <w:t>affiliées »</w:t>
      </w:r>
      <w:r w:rsidRPr="00FF3C0C">
        <w:t>:</w:t>
      </w:r>
    </w:p>
    <w:p w14:paraId="3B1D1FC0" w14:textId="77777777" w:rsidR="00F06309" w:rsidRPr="00FF3C0C" w:rsidRDefault="00F06309" w:rsidP="00F06309">
      <w:pPr>
        <w:numPr>
          <w:ilvl w:val="0"/>
          <w:numId w:val="20"/>
        </w:numPr>
      </w:pPr>
      <w:r w:rsidRPr="00FF3C0C">
        <w:t>Associés</w:t>
      </w:r>
    </w:p>
    <w:p w14:paraId="6757DE04" w14:textId="700542C6" w:rsidR="00F06309" w:rsidRPr="00FF3C0C" w:rsidRDefault="00F06309" w:rsidP="00F06309">
      <w:r w:rsidRPr="00FF3C0C">
        <w:t>D’autres organisations ou personnes peuvent être associées à l’action. Ces associés participent effectivement à l’action, mais ne bénéficient pas d’un financement au titre de la subvention, à l’exception des per diems et des frais de déplacement. Ils ne sont pas tenus de répondre aux critères d’éligibilité mentionnés à la section 2.1.1. Les associés doivent être mentionnés dans la partie B, section 6, du formulaire de demande de subvention, intitulée</w:t>
      </w:r>
      <w:r w:rsidR="00B720A4" w:rsidRPr="00FF3C0C">
        <w:t xml:space="preserve"> « Associés</w:t>
      </w:r>
      <w:r w:rsidRPr="00FF3C0C">
        <w:t xml:space="preserve"> participant à </w:t>
      </w:r>
      <w:r w:rsidR="00A718F5" w:rsidRPr="00FF3C0C">
        <w:t>l’action »</w:t>
      </w:r>
      <w:r w:rsidRPr="00FF3C0C">
        <w:t xml:space="preserve">. </w:t>
      </w:r>
    </w:p>
    <w:p w14:paraId="30ED346B" w14:textId="77777777" w:rsidR="00103811" w:rsidRPr="00FF3C0C" w:rsidRDefault="00103811" w:rsidP="00103811">
      <w:pPr>
        <w:numPr>
          <w:ilvl w:val="0"/>
          <w:numId w:val="20"/>
        </w:numPr>
      </w:pPr>
      <w:r w:rsidRPr="00FF3C0C">
        <w:t>Contractants</w:t>
      </w:r>
    </w:p>
    <w:p w14:paraId="1700B51B" w14:textId="77777777" w:rsidR="00F06309" w:rsidRPr="00FF3C0C" w:rsidRDefault="00F06309" w:rsidP="00F06309">
      <w:r w:rsidRPr="00FF3C0C">
        <w:t>Les bénéficiaires et leurs entités affiliées peuvent attribuer des marchés. Les associés ou les entités affiliées ne peuvent pas être en même temps des contractants du projet. Les contractants sont soumis aux règles de passation de marchés énoncées à l’annexe IV du contrat type de subvention.</w:t>
      </w:r>
    </w:p>
    <w:p w14:paraId="1130842F" w14:textId="1C47F79E" w:rsidR="0007408E" w:rsidRPr="00FF3C0C" w:rsidRDefault="0007408E" w:rsidP="00904791">
      <w:pPr>
        <w:pStyle w:val="Guidelines3"/>
      </w:pPr>
      <w:bookmarkStart w:id="9" w:name="_Toc380145063"/>
      <w:bookmarkStart w:id="10" w:name="_Toc380145064"/>
      <w:bookmarkEnd w:id="9"/>
      <w:bookmarkEnd w:id="10"/>
      <w:r w:rsidRPr="00FF3C0C">
        <w:t>Actions éligibles: actions pour lesquelles une demande peut être présentée</w:t>
      </w:r>
    </w:p>
    <w:p w14:paraId="0D4BBB78" w14:textId="77777777" w:rsidR="009B41E2" w:rsidRPr="00FF3C0C" w:rsidRDefault="002265E1" w:rsidP="006B6048">
      <w:pPr>
        <w:spacing w:before="240"/>
        <w:rPr>
          <w:u w:val="single"/>
        </w:rPr>
      </w:pPr>
      <w:r w:rsidRPr="00FF3C0C">
        <w:rPr>
          <w:u w:val="single"/>
        </w:rPr>
        <w:t xml:space="preserve">Définition </w:t>
      </w:r>
    </w:p>
    <w:p w14:paraId="2D63AD82" w14:textId="77777777" w:rsidR="002265E1" w:rsidRPr="00FF3C0C" w:rsidRDefault="002265E1" w:rsidP="006B6048">
      <w:r w:rsidRPr="00FF3C0C">
        <w:t>Une action se compose d’une série d’activités.</w:t>
      </w:r>
    </w:p>
    <w:p w14:paraId="64040F91" w14:textId="77777777" w:rsidR="0007408E" w:rsidRPr="00FF3C0C" w:rsidRDefault="0007408E" w:rsidP="006B6048">
      <w:pPr>
        <w:rPr>
          <w:u w:val="single"/>
        </w:rPr>
      </w:pPr>
      <w:r w:rsidRPr="00FF3C0C">
        <w:rPr>
          <w:u w:val="single"/>
        </w:rPr>
        <w:t>Durée</w:t>
      </w:r>
    </w:p>
    <w:p w14:paraId="0AD6287D" w14:textId="0492ED55" w:rsidR="0007408E" w:rsidRPr="00FF3C0C" w:rsidRDefault="0007408E" w:rsidP="006B6048">
      <w:r w:rsidRPr="00FF3C0C">
        <w:t xml:space="preserve">La durée initiale prévue d’une action ne peut pas </w:t>
      </w:r>
      <w:r w:rsidR="00037C88" w:rsidRPr="00FF3C0C">
        <w:t xml:space="preserve">être inférieure à </w:t>
      </w:r>
      <w:r w:rsidR="002A3C6C" w:rsidRPr="00FF3C0C">
        <w:t>36</w:t>
      </w:r>
      <w:r w:rsidR="00B720A4" w:rsidRPr="00FF3C0C">
        <w:t xml:space="preserve"> mois </w:t>
      </w:r>
      <w:r w:rsidRPr="00FF3C0C">
        <w:t>ni excéder</w:t>
      </w:r>
      <w:r w:rsidR="00B720A4" w:rsidRPr="00FF3C0C">
        <w:t xml:space="preserve"> 48 mois</w:t>
      </w:r>
      <w:r w:rsidRPr="00FF3C0C">
        <w:t>.</w:t>
      </w:r>
    </w:p>
    <w:p w14:paraId="54DBEBB8" w14:textId="77777777" w:rsidR="0007408E" w:rsidRPr="00FF3C0C" w:rsidRDefault="0007408E" w:rsidP="006B6048">
      <w:pPr>
        <w:rPr>
          <w:u w:val="single"/>
        </w:rPr>
      </w:pPr>
      <w:r w:rsidRPr="00FF3C0C">
        <w:rPr>
          <w:u w:val="single"/>
        </w:rPr>
        <w:t>Secteurs ou thèmes</w:t>
      </w:r>
    </w:p>
    <w:p w14:paraId="13EEE769" w14:textId="77777777" w:rsidR="006133CF" w:rsidRPr="00FF3C0C" w:rsidRDefault="006133CF" w:rsidP="006B6048">
      <w:r w:rsidRPr="00FF3C0C">
        <w:t>Les secteurs couverts par l’Action sont entre autre :</w:t>
      </w:r>
    </w:p>
    <w:p w14:paraId="4F305A65" w14:textId="77777777" w:rsidR="006133CF" w:rsidRPr="00FF3C0C" w:rsidRDefault="006133CF" w:rsidP="00037C88">
      <w:pPr>
        <w:pStyle w:val="ListParagraph"/>
        <w:numPr>
          <w:ilvl w:val="0"/>
          <w:numId w:val="20"/>
        </w:numPr>
      </w:pPr>
      <w:r w:rsidRPr="00FF3C0C">
        <w:t>La problématique de la santé communautaire</w:t>
      </w:r>
    </w:p>
    <w:p w14:paraId="0D08B7D3" w14:textId="77777777" w:rsidR="006133CF" w:rsidRPr="00FF3C0C" w:rsidRDefault="006133CF" w:rsidP="00037C88">
      <w:pPr>
        <w:pStyle w:val="ListParagraph"/>
        <w:numPr>
          <w:ilvl w:val="0"/>
          <w:numId w:val="20"/>
        </w:numPr>
      </w:pPr>
      <w:r w:rsidRPr="00FF3C0C">
        <w:t>La gouvernance des structures sanitaires périphériques</w:t>
      </w:r>
    </w:p>
    <w:p w14:paraId="2280D90B" w14:textId="77777777" w:rsidR="006133CF" w:rsidRPr="00FF3C0C" w:rsidRDefault="006133CF" w:rsidP="00037C88">
      <w:pPr>
        <w:pStyle w:val="ListParagraph"/>
        <w:numPr>
          <w:ilvl w:val="0"/>
          <w:numId w:val="20"/>
        </w:numPr>
        <w:rPr>
          <w:u w:val="single"/>
        </w:rPr>
      </w:pPr>
      <w:r w:rsidRPr="00FF3C0C">
        <w:t>L</w:t>
      </w:r>
      <w:r w:rsidR="008C4228" w:rsidRPr="00FF3C0C">
        <w:t>a problématique et l</w:t>
      </w:r>
      <w:r w:rsidRPr="00FF3C0C">
        <w:t>’</w:t>
      </w:r>
      <w:r w:rsidR="008C4228" w:rsidRPr="00FF3C0C">
        <w:t>organisation</w:t>
      </w:r>
      <w:r w:rsidRPr="00FF3C0C">
        <w:t xml:space="preserve"> des </w:t>
      </w:r>
      <w:r w:rsidR="008C4228" w:rsidRPr="00FF3C0C">
        <w:t>agents</w:t>
      </w:r>
      <w:r w:rsidRPr="00FF3C0C">
        <w:t xml:space="preserve"> de santé </w:t>
      </w:r>
      <w:r w:rsidR="008C4228" w:rsidRPr="00FF3C0C">
        <w:t>communautaire</w:t>
      </w:r>
      <w:r w:rsidRPr="00FF3C0C">
        <w:t xml:space="preserve"> y compris leur </w:t>
      </w:r>
      <w:r w:rsidR="008C4228" w:rsidRPr="00FF3C0C">
        <w:t>ancrage</w:t>
      </w:r>
      <w:r w:rsidRPr="00FF3C0C">
        <w:t xml:space="preserve"> </w:t>
      </w:r>
      <w:r w:rsidR="008C4228" w:rsidRPr="00FF3C0C">
        <w:t>institutionnel</w:t>
      </w:r>
      <w:r w:rsidR="00E96B02" w:rsidRPr="00FF3C0C">
        <w:t>.</w:t>
      </w:r>
    </w:p>
    <w:p w14:paraId="44134819" w14:textId="77777777" w:rsidR="0007408E" w:rsidRPr="00FF3C0C" w:rsidRDefault="0007408E" w:rsidP="006B6048">
      <w:pPr>
        <w:rPr>
          <w:u w:val="single"/>
        </w:rPr>
      </w:pPr>
      <w:r w:rsidRPr="00FF3C0C">
        <w:rPr>
          <w:u w:val="single"/>
        </w:rPr>
        <w:t>Lieu(x) d</w:t>
      </w:r>
      <w:r w:rsidR="00284650" w:rsidRPr="00FF3C0C">
        <w:rPr>
          <w:u w:val="single"/>
        </w:rPr>
        <w:t>’</w:t>
      </w:r>
      <w:r w:rsidRPr="00FF3C0C">
        <w:rPr>
          <w:u w:val="single"/>
        </w:rPr>
        <w:t>exécution</w:t>
      </w:r>
    </w:p>
    <w:p w14:paraId="32C1BD67" w14:textId="77777777" w:rsidR="00E96B02" w:rsidRPr="00FF3C0C" w:rsidRDefault="0007408E" w:rsidP="006B6048">
      <w:r w:rsidRPr="00FF3C0C">
        <w:t xml:space="preserve">Les actions doivent être mises en œuvre </w:t>
      </w:r>
      <w:r w:rsidR="00180D68" w:rsidRPr="00FF3C0C">
        <w:t>au Burundi</w:t>
      </w:r>
      <w:r w:rsidR="00037C88" w:rsidRPr="00FF3C0C">
        <w:t>, en priorité mais de façon non limitée dans les districts ayant déjà bénéficié d’un appui de l’UE à la gestion communautaire, prolongeant ainsi et consolidant ces appuis vers davantage d’autonomie et de soutenabilité</w:t>
      </w:r>
      <w:r w:rsidR="00180D68" w:rsidRPr="00FF3C0C">
        <w:t>.</w:t>
      </w:r>
      <w:r w:rsidR="00E96B02" w:rsidRPr="00FF3C0C" w:rsidDel="00180D68">
        <w:t xml:space="preserve"> </w:t>
      </w:r>
    </w:p>
    <w:p w14:paraId="4D8BD57C" w14:textId="77777777" w:rsidR="0007408E" w:rsidRPr="00FF3C0C" w:rsidRDefault="0007408E" w:rsidP="006B6048">
      <w:pPr>
        <w:rPr>
          <w:szCs w:val="22"/>
          <w:u w:val="single"/>
        </w:rPr>
      </w:pPr>
      <w:r w:rsidRPr="00FF3C0C">
        <w:rPr>
          <w:szCs w:val="22"/>
          <w:u w:val="single"/>
        </w:rPr>
        <w:t>Types d’action</w:t>
      </w:r>
    </w:p>
    <w:p w14:paraId="41F47474" w14:textId="77777777" w:rsidR="00CB0E6D" w:rsidRPr="00FF3C0C" w:rsidRDefault="00037C88" w:rsidP="00CB0E6D">
      <w:pPr>
        <w:numPr>
          <w:ilvl w:val="0"/>
          <w:numId w:val="73"/>
        </w:numPr>
      </w:pPr>
      <w:r w:rsidRPr="00FF3C0C">
        <w:t>Enquêtes et études socio-économiques</w:t>
      </w:r>
      <w:r w:rsidR="00CB0E6D" w:rsidRPr="00FF3C0C">
        <w:t xml:space="preserve"> </w:t>
      </w:r>
    </w:p>
    <w:p w14:paraId="3399214B" w14:textId="793086C1" w:rsidR="00CB0E6D" w:rsidRPr="00FF3C0C" w:rsidRDefault="00CB0E6D" w:rsidP="00CB0E6D">
      <w:pPr>
        <w:numPr>
          <w:ilvl w:val="1"/>
          <w:numId w:val="73"/>
        </w:numPr>
      </w:pPr>
      <w:r w:rsidRPr="00FF3C0C">
        <w:t>Analyse de l’environnement et des contraintes qui en résultent sur la réalisation et l’</w:t>
      </w:r>
      <w:r w:rsidR="002A3C6C" w:rsidRPr="00FF3C0C">
        <w:t>équité</w:t>
      </w:r>
      <w:r w:rsidRPr="00FF3C0C">
        <w:t xml:space="preserve"> (cadre juridique, normatif, bancarisation, accès crédit/garanties, réseaux, approvisionnements…), partagée entre les parties prenantes</w:t>
      </w:r>
    </w:p>
    <w:p w14:paraId="3445221B" w14:textId="613FF6D5" w:rsidR="00CB0E6D" w:rsidRPr="00FF3C0C" w:rsidRDefault="002A3C6C" w:rsidP="00CB0E6D">
      <w:pPr>
        <w:numPr>
          <w:ilvl w:val="1"/>
          <w:numId w:val="73"/>
        </w:numPr>
      </w:pPr>
      <w:r w:rsidRPr="00FF3C0C">
        <w:t>Évaluation</w:t>
      </w:r>
      <w:r w:rsidR="00CB0E6D" w:rsidRPr="00FF3C0C">
        <w:t xml:space="preserve"> dynamique de la soutenabilité du secteur à travers une analyse standardisée du financement de l’infrastructure et de l’équipement, et du fonctionnement (personnel, biens et services) des services de santé dans les FOSA couvertes par l’UE: normes, procédures, capacités, dynamique communautaire / « démocratie sanitaire », équilibres et cohérence </w:t>
      </w:r>
    </w:p>
    <w:p w14:paraId="2A2FA6AE" w14:textId="77777777" w:rsidR="00037C88" w:rsidRPr="00FF3C0C" w:rsidRDefault="00037C88" w:rsidP="00037C88">
      <w:pPr>
        <w:pStyle w:val="ListParagraph"/>
        <w:numPr>
          <w:ilvl w:val="0"/>
          <w:numId w:val="73"/>
        </w:numPr>
      </w:pPr>
      <w:r w:rsidRPr="00FF3C0C">
        <w:t xml:space="preserve">Formations ponctuelles ou en cycle, selon les besoins et priorités définis, y compris l’évaluation de leurs effets </w:t>
      </w:r>
    </w:p>
    <w:p w14:paraId="011A3908" w14:textId="77777777" w:rsidR="00037C88" w:rsidRPr="00FF3C0C" w:rsidRDefault="00037C88" w:rsidP="00037C88">
      <w:pPr>
        <w:pStyle w:val="ListParagraph"/>
        <w:numPr>
          <w:ilvl w:val="0"/>
          <w:numId w:val="73"/>
        </w:numPr>
      </w:pPr>
      <w:r w:rsidRPr="00FF3C0C">
        <w:lastRenderedPageBreak/>
        <w:t>Encadrement et suivi des acteurs et groupes bénéficiaires</w:t>
      </w:r>
    </w:p>
    <w:p w14:paraId="660A96E2" w14:textId="77777777" w:rsidR="00037C88" w:rsidRPr="00FF3C0C" w:rsidRDefault="00037C88" w:rsidP="00037C88">
      <w:pPr>
        <w:pStyle w:val="ListParagraph"/>
        <w:numPr>
          <w:ilvl w:val="0"/>
          <w:numId w:val="73"/>
        </w:numPr>
      </w:pPr>
      <w:r w:rsidRPr="00FF3C0C">
        <w:t>Actions d’ingénierie sociale, incluant sans s’y limiter des réunions avec, et l’organisation de parties prenantes, groupes, etc.</w:t>
      </w:r>
    </w:p>
    <w:p w14:paraId="3F4B5809" w14:textId="77777777" w:rsidR="00037C88" w:rsidRPr="00FF3C0C" w:rsidRDefault="00037C88" w:rsidP="00037C88">
      <w:pPr>
        <w:pStyle w:val="ListParagraph"/>
        <w:numPr>
          <w:ilvl w:val="0"/>
          <w:numId w:val="73"/>
        </w:numPr>
      </w:pPr>
      <w:r w:rsidRPr="00FF3C0C">
        <w:t>Voyages et séjours d’étude, partage d’expériences et de bonnes pratiques</w:t>
      </w:r>
    </w:p>
    <w:p w14:paraId="487D20D8" w14:textId="77777777" w:rsidR="00037C88" w:rsidRPr="00FF3C0C" w:rsidRDefault="00037C88" w:rsidP="00037C88">
      <w:pPr>
        <w:pStyle w:val="ListParagraph"/>
        <w:numPr>
          <w:ilvl w:val="0"/>
          <w:numId w:val="73"/>
        </w:numPr>
      </w:pPr>
      <w:r w:rsidRPr="00FF3C0C">
        <w:t>Évaluation, pour laquelle une méthodologie formative ou sommative devra être discutée en fonction de l’approche envisagée.</w:t>
      </w:r>
    </w:p>
    <w:p w14:paraId="0361D491" w14:textId="77777777" w:rsidR="00037C88" w:rsidRPr="00FF3C0C" w:rsidRDefault="00037C88" w:rsidP="00037C88">
      <w:r w:rsidRPr="00FF3C0C">
        <w:t>L’acquisition d’équipements spécifiques (informatique, communication) n’est pas envisagée comme priorité immédiate dans le cadre du présent appel, dont le but est plutôt de permettre aux acteurs communautaires de mobiliser par eux-mêmes ces ressources dans le cadre des relations institutionnelles.  Une telle activité pourra éventuellement être envisagée toutefois, en concertation avec la Délégation de l’UE et les autres composantes du PASS III, afin de débloquer une situation dont la solution aura été identifiée dans le cadre du système. L’attention des participants à l’appel est attirée sur le côté approprié des technologies et énergies envisagées et leur empreinte à l’environnement dans lequel elles seront déployées.</w:t>
      </w:r>
    </w:p>
    <w:p w14:paraId="4B1ED03D" w14:textId="77777777" w:rsidR="00E1397C" w:rsidRPr="00FF3C0C" w:rsidRDefault="00E1397C" w:rsidP="00E1397C">
      <w:r w:rsidRPr="00FF3C0C">
        <w:t>Les types d’action suivants ne sont pas éligibles:</w:t>
      </w:r>
    </w:p>
    <w:p w14:paraId="782786BA" w14:textId="77777777" w:rsidR="00E1397C" w:rsidRPr="00FF3C0C" w:rsidRDefault="00E1397C" w:rsidP="00E1397C">
      <w:pPr>
        <w:numPr>
          <w:ilvl w:val="0"/>
          <w:numId w:val="20"/>
        </w:numPr>
      </w:pPr>
      <w:r w:rsidRPr="00FF3C0C">
        <w:t>les actions consistant uniquement ou principalement à financer la participation de particuliers à des ateliers, des séminaires, des conférences et des congrès;</w:t>
      </w:r>
    </w:p>
    <w:p w14:paraId="1F689438" w14:textId="77777777" w:rsidR="00E1397C" w:rsidRPr="00FF3C0C" w:rsidRDefault="00E1397C" w:rsidP="00E1397C">
      <w:pPr>
        <w:numPr>
          <w:ilvl w:val="0"/>
          <w:numId w:val="20"/>
        </w:numPr>
      </w:pPr>
      <w:r w:rsidRPr="00FF3C0C">
        <w:t>les actions consistant uniquement ou principalement à financer des bourses individuelles d’études ou de formation;</w:t>
      </w:r>
    </w:p>
    <w:p w14:paraId="0A0AEB8F" w14:textId="77777777" w:rsidR="00FD2874" w:rsidRPr="00FF3C0C" w:rsidRDefault="00FD2874" w:rsidP="00687B7E">
      <w:pPr>
        <w:numPr>
          <w:ilvl w:val="0"/>
          <w:numId w:val="20"/>
        </w:numPr>
      </w:pPr>
      <w:r w:rsidRPr="00FF3C0C">
        <w:t>les actions visant à soutenir directement ou indirectement les partis politiques</w:t>
      </w:r>
      <w:r w:rsidR="00E96B02" w:rsidRPr="00FF3C0C">
        <w:t> ;</w:t>
      </w:r>
    </w:p>
    <w:p w14:paraId="5FFB7DCD" w14:textId="77777777" w:rsidR="00FD2874" w:rsidRPr="00FF3C0C" w:rsidRDefault="00FD2874" w:rsidP="00687B7E">
      <w:pPr>
        <w:numPr>
          <w:ilvl w:val="0"/>
          <w:numId w:val="20"/>
        </w:numPr>
      </w:pPr>
      <w:r w:rsidRPr="00FF3C0C">
        <w:t>les abondements de fonds de crédits</w:t>
      </w:r>
      <w:r w:rsidR="00E96B02" w:rsidRPr="00FF3C0C">
        <w:t> ;</w:t>
      </w:r>
    </w:p>
    <w:p w14:paraId="4E160BCC" w14:textId="77777777" w:rsidR="0007408E" w:rsidRPr="00FF3C0C" w:rsidRDefault="00FD2874" w:rsidP="00687B7E">
      <w:pPr>
        <w:numPr>
          <w:ilvl w:val="0"/>
          <w:numId w:val="20"/>
        </w:numPr>
      </w:pPr>
      <w:r w:rsidRPr="00FF3C0C">
        <w:t>les actions intégrant des formes de menaces ou violence.</w:t>
      </w:r>
    </w:p>
    <w:p w14:paraId="34D3EEA2" w14:textId="77777777" w:rsidR="0023018A" w:rsidRPr="00FF3C0C" w:rsidRDefault="00266BD4" w:rsidP="006B6048">
      <w:pPr>
        <w:rPr>
          <w:szCs w:val="22"/>
          <w:u w:val="single"/>
        </w:rPr>
      </w:pPr>
      <w:r w:rsidRPr="00FF3C0C">
        <w:rPr>
          <w:szCs w:val="22"/>
          <w:u w:val="single"/>
        </w:rPr>
        <w:t>Soutien financier à des tiers</w:t>
      </w:r>
      <w:r w:rsidR="00DB06F5" w:rsidRPr="00FF3C0C">
        <w:rPr>
          <w:rStyle w:val="FootnoteReference"/>
          <w:szCs w:val="22"/>
          <w:u w:val="single"/>
        </w:rPr>
        <w:footnoteReference w:id="8"/>
      </w:r>
      <w:r w:rsidRPr="00FF3C0C">
        <w:rPr>
          <w:szCs w:val="22"/>
          <w:u w:val="single"/>
        </w:rPr>
        <w:t xml:space="preserve"> </w:t>
      </w:r>
    </w:p>
    <w:p w14:paraId="417690C6" w14:textId="77777777" w:rsidR="007E1BE2" w:rsidRPr="00FF3C0C" w:rsidRDefault="003F04E9" w:rsidP="00C90F08">
      <w:r w:rsidRPr="00FF3C0C">
        <w:t>Les demandeurs</w:t>
      </w:r>
      <w:r w:rsidR="001902B7" w:rsidRPr="00FF3C0C">
        <w:t xml:space="preserve"> </w:t>
      </w:r>
      <w:r w:rsidRPr="00FF3C0C">
        <w:t>peuvent proposer de soutenir des tiers financièrement.</w:t>
      </w:r>
    </w:p>
    <w:p w14:paraId="7C9CC030" w14:textId="77777777" w:rsidR="00107C6D" w:rsidRPr="00FF3C0C" w:rsidRDefault="00376315" w:rsidP="007E1BE2">
      <w:r w:rsidRPr="00FF3C0C">
        <w:t xml:space="preserve">Les demandeurs peuvent proposer de soutenir des tiers financièrement pour contribuer à réaliser les objectifs de l’action. </w:t>
      </w:r>
    </w:p>
    <w:p w14:paraId="2485DD7C" w14:textId="77777777" w:rsidR="009B6884" w:rsidRPr="00FF3C0C" w:rsidRDefault="007E1BE2" w:rsidP="009B6884">
      <w:pPr>
        <w:rPr>
          <w:szCs w:val="22"/>
        </w:rPr>
      </w:pPr>
      <w:r w:rsidRPr="00FF3C0C">
        <w:t xml:space="preserve">Le montant maximal d’un tel soutien financier ne doit pas dépasser 60 000 EUR par tiers, sauf lorsque la réalisation des objectifs des actions serait, autrement, impossible ou exagérément difficile; dans ce cas, ce plafond peut être dépassé. </w:t>
      </w:r>
      <w:r w:rsidRPr="00FF3C0C">
        <w:rPr>
          <w:szCs w:val="22"/>
        </w:rPr>
        <w:t>Un plafond inférieur à 60 000 EUR peut être fixé s</w:t>
      </w:r>
      <w:r w:rsidR="00284650" w:rsidRPr="00FF3C0C">
        <w:rPr>
          <w:szCs w:val="22"/>
        </w:rPr>
        <w:t>’</w:t>
      </w:r>
      <w:r w:rsidRPr="00FF3C0C">
        <w:rPr>
          <w:szCs w:val="22"/>
        </w:rPr>
        <w:t>il y a lieu.</w:t>
      </w:r>
    </w:p>
    <w:p w14:paraId="3E8EB530" w14:textId="77777777" w:rsidR="00700AF2" w:rsidRPr="00FF3C0C" w:rsidRDefault="00700AF2" w:rsidP="00700AF2">
      <w:pPr>
        <w:rPr>
          <w:szCs w:val="22"/>
        </w:rPr>
      </w:pPr>
      <w:r w:rsidRPr="00FF3C0C">
        <w:rPr>
          <w:szCs w:val="22"/>
        </w:rPr>
        <w:t xml:space="preserve">Conformément aux présentes lignes directrices, et notamment aux conditions ou restrictions fixées dans la présente section, le demandeur chef de file devrait indiquer obligatoirement, dans la section 2.1.1 du formulaire de demande de subvention: </w:t>
      </w:r>
    </w:p>
    <w:p w14:paraId="03C9D5CC" w14:textId="77777777" w:rsidR="00700AF2" w:rsidRPr="00FF3C0C" w:rsidRDefault="00700AF2" w:rsidP="004741A1">
      <w:pPr>
        <w:numPr>
          <w:ilvl w:val="0"/>
          <w:numId w:val="37"/>
        </w:numPr>
        <w:tabs>
          <w:tab w:val="left" w:pos="851"/>
        </w:tabs>
        <w:ind w:left="851" w:hanging="425"/>
        <w:rPr>
          <w:szCs w:val="22"/>
        </w:rPr>
      </w:pPr>
      <w:r w:rsidRPr="00FF3C0C">
        <w:rPr>
          <w:szCs w:val="22"/>
        </w:rPr>
        <w:t>l’objectif général, les objectifs spécifiques et les produits</w:t>
      </w:r>
      <w:r w:rsidR="00247941" w:rsidRPr="00FF3C0C">
        <w:rPr>
          <w:rStyle w:val="FootnoteReference"/>
          <w:szCs w:val="22"/>
        </w:rPr>
        <w:footnoteReference w:id="9"/>
      </w:r>
      <w:r w:rsidRPr="00FF3C0C">
        <w:rPr>
          <w:szCs w:val="22"/>
        </w:rPr>
        <w:t xml:space="preserve"> (c’est-à-dire les résultats) à atteindre au moyen du soutien financier; </w:t>
      </w:r>
    </w:p>
    <w:p w14:paraId="711BA10A" w14:textId="77777777" w:rsidR="00700AF2" w:rsidRPr="00FF3C0C" w:rsidRDefault="00700AF2" w:rsidP="004741A1">
      <w:pPr>
        <w:numPr>
          <w:ilvl w:val="0"/>
          <w:numId w:val="37"/>
        </w:numPr>
        <w:tabs>
          <w:tab w:val="left" w:pos="851"/>
        </w:tabs>
        <w:ind w:left="851" w:hanging="425"/>
        <w:rPr>
          <w:szCs w:val="22"/>
        </w:rPr>
      </w:pPr>
      <w:r w:rsidRPr="00FF3C0C">
        <w:rPr>
          <w:szCs w:val="22"/>
        </w:rPr>
        <w:t xml:space="preserve">les différents types d’activité éligibles à un soutien financier, sur la base d’une liste exhaustive; </w:t>
      </w:r>
    </w:p>
    <w:p w14:paraId="4BFDE3BC" w14:textId="77777777" w:rsidR="00700AF2" w:rsidRPr="00FF3C0C" w:rsidRDefault="00700AF2" w:rsidP="004741A1">
      <w:pPr>
        <w:numPr>
          <w:ilvl w:val="0"/>
          <w:numId w:val="37"/>
        </w:numPr>
        <w:tabs>
          <w:tab w:val="left" w:pos="851"/>
        </w:tabs>
        <w:ind w:left="851" w:hanging="425"/>
        <w:rPr>
          <w:szCs w:val="22"/>
        </w:rPr>
      </w:pPr>
      <w:r w:rsidRPr="00FF3C0C">
        <w:rPr>
          <w:szCs w:val="22"/>
        </w:rPr>
        <w:t xml:space="preserve">les types de personnes ou les catégories de personnes susceptibles de recevoir un soutien financier;  </w:t>
      </w:r>
    </w:p>
    <w:p w14:paraId="66167ABC" w14:textId="77777777" w:rsidR="00700AF2" w:rsidRPr="00FF3C0C" w:rsidRDefault="00700AF2" w:rsidP="004741A1">
      <w:pPr>
        <w:tabs>
          <w:tab w:val="left" w:pos="851"/>
        </w:tabs>
        <w:ind w:left="851" w:hanging="425"/>
        <w:rPr>
          <w:szCs w:val="22"/>
        </w:rPr>
      </w:pPr>
      <w:r w:rsidRPr="00FF3C0C">
        <w:rPr>
          <w:szCs w:val="22"/>
        </w:rPr>
        <w:t>iv)</w:t>
      </w:r>
      <w:r w:rsidRPr="00FF3C0C">
        <w:rPr>
          <w:szCs w:val="22"/>
        </w:rPr>
        <w:tab/>
        <w:t xml:space="preserve">les critères permettant de sélectionner ces entités et de leur octroyer le soutien financier;  </w:t>
      </w:r>
    </w:p>
    <w:p w14:paraId="076F7D87" w14:textId="77777777" w:rsidR="00700AF2" w:rsidRPr="00FF3C0C" w:rsidRDefault="00700AF2" w:rsidP="004741A1">
      <w:pPr>
        <w:numPr>
          <w:ilvl w:val="0"/>
          <w:numId w:val="38"/>
        </w:numPr>
        <w:tabs>
          <w:tab w:val="left" w:pos="851"/>
        </w:tabs>
        <w:ind w:left="851" w:hanging="425"/>
        <w:rPr>
          <w:szCs w:val="22"/>
        </w:rPr>
      </w:pPr>
      <w:r w:rsidRPr="00FF3C0C">
        <w:rPr>
          <w:szCs w:val="22"/>
        </w:rPr>
        <w:lastRenderedPageBreak/>
        <w:t xml:space="preserve">les critères permettant de déterminer le montant exact du soutien financier octroyé à chaque tiers et; </w:t>
      </w:r>
    </w:p>
    <w:p w14:paraId="5B2F67DA" w14:textId="77777777" w:rsidR="00700AF2" w:rsidRPr="00FF3C0C" w:rsidRDefault="00700AF2" w:rsidP="004741A1">
      <w:pPr>
        <w:numPr>
          <w:ilvl w:val="0"/>
          <w:numId w:val="38"/>
        </w:numPr>
        <w:tabs>
          <w:tab w:val="left" w:pos="851"/>
        </w:tabs>
        <w:ind w:left="851" w:hanging="425"/>
        <w:rPr>
          <w:szCs w:val="22"/>
        </w:rPr>
      </w:pPr>
      <w:r w:rsidRPr="00FF3C0C">
        <w:rPr>
          <w:szCs w:val="22"/>
        </w:rPr>
        <w:t>le montant maximal pouvant être octroyé.</w:t>
      </w:r>
    </w:p>
    <w:p w14:paraId="44AFFECC" w14:textId="77777777" w:rsidR="00517ECD" w:rsidRPr="00FF3C0C" w:rsidRDefault="00700AF2" w:rsidP="00517ECD">
      <w:pPr>
        <w:rPr>
          <w:szCs w:val="22"/>
        </w:rPr>
      </w:pPr>
      <w:r w:rsidRPr="00FF3C0C">
        <w:rPr>
          <w:szCs w:val="22"/>
        </w:rPr>
        <w:t>En tout état de cause, les conditions obligatoires fixées ci-dessus pour l’octroi d’un soutien financier [points i) à vi)] doivent être strictement définies dans le contrat de subvention afin d’éviter que ce soutien financier soit attribué de façon discrétionnaire.</w:t>
      </w:r>
    </w:p>
    <w:p w14:paraId="2ECEA177" w14:textId="77777777" w:rsidR="00107C6D" w:rsidRPr="00FF3C0C" w:rsidRDefault="00107C6D" w:rsidP="004B7BC2">
      <w:pPr>
        <w:keepNext/>
        <w:rPr>
          <w:szCs w:val="22"/>
          <w:u w:val="single"/>
        </w:rPr>
      </w:pPr>
      <w:r w:rsidRPr="00FF3C0C">
        <w:rPr>
          <w:szCs w:val="22"/>
          <w:u w:val="single"/>
        </w:rPr>
        <w:t>Visibilité</w:t>
      </w:r>
    </w:p>
    <w:p w14:paraId="48152567" w14:textId="77777777" w:rsidR="00622160" w:rsidRPr="00FF3C0C" w:rsidRDefault="00622160" w:rsidP="00622160">
      <w:r w:rsidRPr="00FF3C0C">
        <w:t>Les demandeurs doivent prendre toutes les mesures nécessaires pour faire savoir que l’Union européenne a financé ou cofinancé l’action. Dans la mesure du possible, les actions totalement ou partiellement financées par l’Union européenne doivent comprendre des activités d’information et de communication destinées à sensibiliser des publics spécifiques ou généraux aux raisons de ces actions et du soutien de l’UE en leur faveur dans le pays ou la région concernée, ainsi qu’aux résultats et à l’impact de ce soutien.</w:t>
      </w:r>
    </w:p>
    <w:p w14:paraId="6E48ABB8" w14:textId="77777777" w:rsidR="00B32E2B" w:rsidRPr="00FF3C0C" w:rsidRDefault="00EE729B" w:rsidP="00B32E2B">
      <w:pPr>
        <w:rPr>
          <w:snapToGrid/>
          <w:color w:val="00B0F0"/>
        </w:rPr>
      </w:pPr>
      <w:r w:rsidRPr="00FF3C0C">
        <w:t xml:space="preserve">Les demandeurs doivent respecter les objectifs et les priorités et garantir la visibilité du financement de l’UE (se reporter au manuel de communication et de visibilité des actions extérieures financées par l’UE, établi et publié par la Commission européenne, qui peut être consulté à l’adresse suivante: </w:t>
      </w:r>
      <w:hyperlink r:id="rId14" w:history="1">
        <w:r w:rsidRPr="00FF3C0C">
          <w:rPr>
            <w:rStyle w:val="Hyperlink"/>
            <w:color w:val="00B0F0"/>
          </w:rPr>
          <w:t>https://ec.europa.eu/international-partnerships/system/files/communication-visibility-requirements-2018_fr.pdf</w:t>
        </w:r>
      </w:hyperlink>
      <w:r w:rsidRPr="00FF3C0C">
        <w:rPr>
          <w:color w:val="00B0F0"/>
        </w:rPr>
        <w:t>).</w:t>
      </w:r>
    </w:p>
    <w:p w14:paraId="74F0A0BC" w14:textId="77777777" w:rsidR="0007408E" w:rsidRPr="00FF3C0C" w:rsidRDefault="0007408E" w:rsidP="006B6048">
      <w:pPr>
        <w:rPr>
          <w:u w:val="single"/>
        </w:rPr>
      </w:pPr>
      <w:r w:rsidRPr="00FF3C0C">
        <w:rPr>
          <w:u w:val="single"/>
        </w:rPr>
        <w:t>Nombre de demandes et de subventions par demandeur/entité affiliée</w:t>
      </w:r>
    </w:p>
    <w:p w14:paraId="4E5345E8" w14:textId="77777777" w:rsidR="0007408E" w:rsidRPr="00FF3C0C" w:rsidRDefault="00037C88" w:rsidP="006B6048">
      <w:r w:rsidRPr="00FF3C0C">
        <w:t>Le demandeur chef de file</w:t>
      </w:r>
      <w:r w:rsidR="006A36F9" w:rsidRPr="00FF3C0C">
        <w:t xml:space="preserve"> ne peut pas soumettre plus d</w:t>
      </w:r>
      <w:r w:rsidRPr="00FF3C0C">
        <w:t>’une</w:t>
      </w:r>
      <w:r w:rsidR="006A36F9" w:rsidRPr="00FF3C0C">
        <w:t xml:space="preserve"> demande dans le cadre du présent appel à propositions.</w:t>
      </w:r>
    </w:p>
    <w:p w14:paraId="6BADA7A0" w14:textId="77777777" w:rsidR="0007408E" w:rsidRPr="00FF3C0C" w:rsidRDefault="006A36F9" w:rsidP="006B6048">
      <w:r w:rsidRPr="00FF3C0C">
        <w:t>Le demandeur chef de file ne peut pas</w:t>
      </w:r>
      <w:r w:rsidR="00037C88" w:rsidRPr="00FF3C0C">
        <w:t xml:space="preserve"> se voir attribuer plus d’une</w:t>
      </w:r>
      <w:r w:rsidR="004E62F1" w:rsidRPr="00FF3C0C">
        <w:t xml:space="preserve"> </w:t>
      </w:r>
      <w:r w:rsidRPr="00FF3C0C">
        <w:t>subvention au titre du présent appel à propositions.</w:t>
      </w:r>
    </w:p>
    <w:p w14:paraId="000496DF" w14:textId="77777777" w:rsidR="00B41A93" w:rsidRPr="00FF3C0C" w:rsidRDefault="00037C88" w:rsidP="006B6048">
      <w:r w:rsidRPr="00FF3C0C">
        <w:t>Le demandeur chef de file</w:t>
      </w:r>
      <w:r w:rsidR="006A36F9" w:rsidRPr="00FF3C0C">
        <w:t xml:space="preserve"> ne peut pas être en même temps un codemandeur ou une entité affiliée dans une autre demande.</w:t>
      </w:r>
    </w:p>
    <w:p w14:paraId="4B1C924C" w14:textId="77777777" w:rsidR="00B34A8F" w:rsidRPr="00FF3C0C" w:rsidRDefault="00223C40" w:rsidP="006B6048">
      <w:r w:rsidRPr="00FF3C0C">
        <w:t>Un codemandeur/une entité affiliée ne peut pas être un codemandeur ou une entité affiliée dans plus de</w:t>
      </w:r>
      <w:r w:rsidR="004E62F1" w:rsidRPr="00FF3C0C">
        <w:t xml:space="preserve"> 1(une)</w:t>
      </w:r>
      <w:r w:rsidRPr="00FF3C0C">
        <w:t> demande dans le cadre du présent appel à propositions.</w:t>
      </w:r>
    </w:p>
    <w:p w14:paraId="22254AAD" w14:textId="12E27107" w:rsidR="00B34A8F" w:rsidRPr="00FF3C0C" w:rsidRDefault="00223C40" w:rsidP="006B6048">
      <w:r w:rsidRPr="00FF3C0C">
        <w:t xml:space="preserve">Un </w:t>
      </w:r>
      <w:r w:rsidR="00831018" w:rsidRPr="00FF3C0C">
        <w:t>codemandeur/une entité affiliée</w:t>
      </w:r>
      <w:r w:rsidRPr="00FF3C0C">
        <w:t xml:space="preserve"> ne peut </w:t>
      </w:r>
      <w:r w:rsidR="00426848" w:rsidRPr="00FF3C0C">
        <w:t>pas se</w:t>
      </w:r>
      <w:r w:rsidRPr="00FF3C0C">
        <w:t xml:space="preserve"> voir attribuer plus de </w:t>
      </w:r>
      <w:r w:rsidR="004E62F1" w:rsidRPr="00FF3C0C">
        <w:t xml:space="preserve">1(une) </w:t>
      </w:r>
      <w:r w:rsidRPr="00FF3C0C">
        <w:t>subvention au titre du présent appel à propositions.</w:t>
      </w:r>
    </w:p>
    <w:p w14:paraId="0BAE80C1" w14:textId="55990F43" w:rsidR="0007408E" w:rsidRPr="00FF3C0C" w:rsidRDefault="0007408E" w:rsidP="00904791">
      <w:pPr>
        <w:pStyle w:val="Guidelines3"/>
      </w:pPr>
      <w:r w:rsidRPr="00FF3C0C">
        <w:t xml:space="preserve">Éligibilité des coûts: coûts pouvant être inclus </w:t>
      </w:r>
    </w:p>
    <w:p w14:paraId="408E1E8A" w14:textId="77777777" w:rsidR="007D50C2" w:rsidRPr="00FF3C0C" w:rsidRDefault="007D50C2" w:rsidP="006B6048"/>
    <w:p w14:paraId="27367757" w14:textId="4CCE248A" w:rsidR="00B17D2F" w:rsidRPr="00FF3C0C" w:rsidRDefault="003743B4" w:rsidP="006B6048">
      <w:r w:rsidRPr="00FF3C0C">
        <w:t>Les contributions de l’Union au titre du présent appel à propositions prennent la forme suivante:</w:t>
      </w:r>
    </w:p>
    <w:p w14:paraId="6F8D0AF6" w14:textId="77777777" w:rsidR="00E90E7B" w:rsidRPr="00FF3C0C" w:rsidRDefault="006129E4" w:rsidP="000C4276">
      <w:r w:rsidRPr="00FF3C0C">
        <w:t xml:space="preserve">- </w:t>
      </w:r>
      <w:r w:rsidRPr="00FF3C0C">
        <w:rPr>
          <w:b/>
        </w:rPr>
        <w:t>le remboursement des coûts éligibles</w:t>
      </w:r>
      <w:r w:rsidRPr="00FF3C0C">
        <w:t>, qui peut prendre les formes suivantes, ou une combinaison de celles-ci:</w:t>
      </w:r>
    </w:p>
    <w:p w14:paraId="10EA6EB7" w14:textId="77777777" w:rsidR="00463413" w:rsidRPr="00FF3C0C" w:rsidRDefault="00E90E7B" w:rsidP="000C4276">
      <w:pPr>
        <w:ind w:left="720"/>
      </w:pPr>
      <w:r w:rsidRPr="00FF3C0C">
        <w:t>i) les frais effectivement supportés par le ou les bénéficiaires et l’entité ou les entités affiliées;</w:t>
      </w:r>
    </w:p>
    <w:p w14:paraId="0CA612F6" w14:textId="77777777" w:rsidR="00E90E7B" w:rsidRPr="00FF3C0C" w:rsidRDefault="00E90E7B" w:rsidP="000C4276">
      <w:pPr>
        <w:ind w:left="720"/>
      </w:pPr>
      <w:r w:rsidRPr="00FF3C0C">
        <w:t>ii) une ou plusieurs options simplifiées en matière de coûts (voir ci-dessous).</w:t>
      </w:r>
    </w:p>
    <w:p w14:paraId="5A322ED9" w14:textId="069EB639" w:rsidR="00E90E7B" w:rsidRPr="00FF3C0C" w:rsidRDefault="00E90E7B" w:rsidP="000C4276">
      <w:pPr>
        <w:ind w:left="360"/>
      </w:pPr>
      <w:r w:rsidRPr="00FF3C0C">
        <w:t>Seuls les</w:t>
      </w:r>
      <w:r w:rsidR="005A6199" w:rsidRPr="00FF3C0C">
        <w:t xml:space="preserve"> « coûts</w:t>
      </w:r>
      <w:r w:rsidRPr="00FF3C0C">
        <w:t xml:space="preserve"> </w:t>
      </w:r>
      <w:r w:rsidR="002A3C6C" w:rsidRPr="00FF3C0C">
        <w:t>éligibles »</w:t>
      </w:r>
      <w:r w:rsidRPr="00FF3C0C">
        <w:t xml:space="preserve"> peuvent être couverts par une subvention. Les catégories de coûts éligibles et non éligibles sont indiquées ci-dessous. Le budget constitue à la fois une estimation des coûts et un plafond global pour les</w:t>
      </w:r>
      <w:r w:rsidR="005A6199" w:rsidRPr="00FF3C0C">
        <w:t xml:space="preserve"> « coûts</w:t>
      </w:r>
      <w:r w:rsidRPr="00FF3C0C">
        <w:t xml:space="preserve"> </w:t>
      </w:r>
      <w:r w:rsidR="002A3C6C" w:rsidRPr="00FF3C0C">
        <w:t>éligibles »</w:t>
      </w:r>
      <w:r w:rsidRPr="00FF3C0C">
        <w:t xml:space="preserve">. </w:t>
      </w:r>
    </w:p>
    <w:p w14:paraId="523C1F9C" w14:textId="77777777" w:rsidR="00BF7060" w:rsidRPr="00FF3C0C" w:rsidRDefault="00BF7060" w:rsidP="00BF7060">
      <w:pPr>
        <w:rPr>
          <w:b/>
        </w:rPr>
      </w:pPr>
      <w:r w:rsidRPr="00FF3C0C">
        <w:t>Les options simplifiées en matière de coûts (OSC) peuvent prendre les formes suivantes:</w:t>
      </w:r>
    </w:p>
    <w:p w14:paraId="67958946" w14:textId="77777777" w:rsidR="00BF7060" w:rsidRPr="00FF3C0C" w:rsidRDefault="00BF7060" w:rsidP="00BF7060">
      <w:pPr>
        <w:numPr>
          <w:ilvl w:val="0"/>
          <w:numId w:val="22"/>
        </w:numPr>
      </w:pPr>
      <w:r w:rsidRPr="00FF3C0C">
        <w:rPr>
          <w:b/>
        </w:rPr>
        <w:t>coûts unitaires:</w:t>
      </w:r>
      <w:r w:rsidRPr="00FF3C0C">
        <w:t xml:space="preserve"> couvrent tout ou partie des catégories spécifiques de coûts éligibles qui sont clairement fixées à l’avance par référence à un </w:t>
      </w:r>
      <w:r w:rsidRPr="00FF3C0C">
        <w:rPr>
          <w:u w:val="single"/>
        </w:rPr>
        <w:t>montant par unité</w:t>
      </w:r>
      <w:r w:rsidRPr="00FF3C0C">
        <w:t>.</w:t>
      </w:r>
    </w:p>
    <w:p w14:paraId="6EC027F4" w14:textId="77777777" w:rsidR="00BF7060" w:rsidRPr="00FF3C0C" w:rsidRDefault="00BF7060" w:rsidP="00BF7060">
      <w:pPr>
        <w:numPr>
          <w:ilvl w:val="0"/>
          <w:numId w:val="22"/>
        </w:numPr>
      </w:pPr>
      <w:r w:rsidRPr="00FF3C0C">
        <w:rPr>
          <w:b/>
        </w:rPr>
        <w:lastRenderedPageBreak/>
        <w:t xml:space="preserve">montants forfaitaires: </w:t>
      </w:r>
      <w:r w:rsidRPr="00FF3C0C">
        <w:t xml:space="preserve">couvrent </w:t>
      </w:r>
      <w:r w:rsidRPr="00FF3C0C">
        <w:rPr>
          <w:u w:val="single"/>
        </w:rPr>
        <w:t>globalement</w:t>
      </w:r>
      <w:r w:rsidRPr="00FF3C0C">
        <w:t xml:space="preserve"> tout ou partie des catégories spécifiques de coûts éligibles qui sont clairement fixées à l’avance;</w:t>
      </w:r>
    </w:p>
    <w:p w14:paraId="5CC9C090" w14:textId="77777777" w:rsidR="006A03A6" w:rsidRPr="00FF3C0C" w:rsidRDefault="00BF7060" w:rsidP="003B0B8E">
      <w:pPr>
        <w:numPr>
          <w:ilvl w:val="0"/>
          <w:numId w:val="22"/>
        </w:numPr>
      </w:pPr>
      <w:r w:rsidRPr="00FF3C0C">
        <w:rPr>
          <w:b/>
        </w:rPr>
        <w:t xml:space="preserve">financement à taux forfaitaire: </w:t>
      </w:r>
      <w:r w:rsidRPr="00FF3C0C">
        <w:t>couvre des catégories spécifiques de coûts éligibles qui sont clairement fixées à l’avance par l’</w:t>
      </w:r>
      <w:r w:rsidRPr="00FF3C0C">
        <w:rPr>
          <w:u w:val="single"/>
        </w:rPr>
        <w:t>application d’un pourcentage</w:t>
      </w:r>
      <w:r w:rsidRPr="00FF3C0C">
        <w:t xml:space="preserve"> défini ex ante. Cette forme ne s’applique pas aux OSC basées sur les produits ou les résultats.</w:t>
      </w:r>
    </w:p>
    <w:p w14:paraId="42ED3725" w14:textId="77777777" w:rsidR="00BF7060" w:rsidRPr="00FF3C0C" w:rsidRDefault="00BF7060" w:rsidP="00BF158E">
      <w:r w:rsidRPr="00FF3C0C">
        <w:t>Les options simplifiées en matière de coûts sont divisées en deux catégories:</w:t>
      </w:r>
    </w:p>
    <w:p w14:paraId="21695053" w14:textId="77777777" w:rsidR="00BF7060" w:rsidRPr="00FF3C0C" w:rsidRDefault="00BF7060" w:rsidP="00BF7060">
      <w:r w:rsidRPr="00FF3C0C">
        <w:t xml:space="preserve">1/ les «OSC basées sur les produits ou les </w:t>
      </w:r>
      <w:r w:rsidR="005A6199" w:rsidRPr="00FF3C0C">
        <w:t>résultats »</w:t>
      </w:r>
      <w:r w:rsidRPr="00FF3C0C">
        <w:t>: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et les coûts unitaires sont calculés de manière à permettre leur paiement lorsque des produits/résultats concrets sont obtenus. Ce type d’OSC peut être proposé par le bénéficiaire (aucun seuil n’est applicable) au stade de la proposition (formulaire de demande de subvention – demande complète). Si le comité d’évaluation et l’administration contractante ne sont pas convaincus par la justification fournie, un remboursement sur la base des frais effectivement supportés est toujours possible;</w:t>
      </w:r>
    </w:p>
    <w:p w14:paraId="603B375F" w14:textId="77777777" w:rsidR="00BF7060" w:rsidRPr="00FF3C0C" w:rsidRDefault="00BF7060" w:rsidP="00BF158E">
      <w:r w:rsidRPr="00FF3C0C">
        <w:t>2/ les</w:t>
      </w:r>
      <w:r w:rsidR="005A6199" w:rsidRPr="00FF3C0C">
        <w:t xml:space="preserve"> « autres</w:t>
      </w:r>
      <w:r w:rsidRPr="00FF3C0C">
        <w:t xml:space="preserve"> OSC»: cette seconde catégorie couvre les options simplifiées en matière de coûts intégrées dans les pratiques du bénéficiaire en matière de comptabilité analytique, si elles sont acceptées par les autorités nationales dans le cadre de systèmes de financement comparables. Dans ce cas, le bénéficiaire de la subvention doit prouver que l’autorité nationale a accepté les pratiques en matière de comptabilité analytique et préciser le contexte dans lequel cette acceptation a eu lieu. Le comité d’évaluation déterminera si le système de financement est comparable. Pour obtenir le remboursement de cette catégorie d’OSC, le bénéficiaire renvoie aux systèmes de financement comparables des autorités nationales dans la feuille de justification du budget (annexe B). Si le comité d’évaluation et l’administration contractante ne sont pas convaincus par la justification fournie, un remboursement sur la base des frais effectivement supportés est toujours possible.</w:t>
      </w:r>
    </w:p>
    <w:p w14:paraId="5AC832B1" w14:textId="22DF0AC5" w:rsidR="00633C06" w:rsidRPr="00FF3C0C" w:rsidRDefault="007E5576" w:rsidP="0068216F">
      <w:r w:rsidRPr="00FF3C0C">
        <w:t>Les montants ou taux doivent être basés sur des estimations utilisant des données objectives, telles que des données statistiques, ou tout autre moyen objectif, ou se référant à des données historiques certifiées ou vérifiables des demandeurs ou des entités affiliées. La détermination des OSC est également possible au moyen d’un</w:t>
      </w:r>
      <w:r w:rsidR="002346EC" w:rsidRPr="00FF3C0C">
        <w:t xml:space="preserve"> « jugement</w:t>
      </w:r>
      <w:r w:rsidRPr="00FF3C0C">
        <w:t xml:space="preserve"> </w:t>
      </w:r>
      <w:r w:rsidR="00A60AFA" w:rsidRPr="00FF3C0C">
        <w:t>d’expert »</w:t>
      </w:r>
      <w:r w:rsidRPr="00FF3C0C">
        <w:t>, fourni par des experts disponibles en interne ou obtenu conformément à la réglementation applicable. Les experts sont soit des contrôleurs des comptes ou des experts-comptables mandatés, soit des membres du personnel de l’administration contractante, mais il ne peut s’agir de membres du personnel du bénéficiaire. Les méthodes utilisées pour déterminer les montants ou les taux des coûts unitaires, les montants forfaitaires ou les taux forfaitaires doivent remplir les critères énoncés dans l’annexe K et faire en sorte, en particulier, que les coûts soient relativement proches de ceux effectivement supportés par le ou les bénéficiaires et les entités affiliées, qu’ils soient conformes à leurs pratiques en matière de comptabilité analytique, qu’aucun bénéfice ne soit réalisé et qu’ils ne soient pas déjà couverts par d’autres sources de financement (absence de double financement). Veuillez consulter l’annexe K pour connaître le détail de la procédure à suivre selon le type et le montant des coûts à déclarer comme OSC.</w:t>
      </w:r>
    </w:p>
    <w:p w14:paraId="4D4DA1D1" w14:textId="77777777" w:rsidR="0080592F" w:rsidRPr="00FF3C0C" w:rsidRDefault="00466C25" w:rsidP="0068216F">
      <w:r w:rsidRPr="00FF3C0C">
        <w:t xml:space="preserve">Les demandeurs proposant cette forme de remboursement doivent faire apparaître clairement, dans la feuille de calcul nº 1 de l’annexe B, chaque rubrique/poste de coûts éligibles concerné(e) par ce type de financement, en indiquant, en lettres capitales, la mention «COÛT UNITAIRE», «MONTANT FORFAITAIRE», «TAUX FORFAITAIRE» dans la colonne «Unité» (voir l’exemple dans l’annexe K). </w:t>
      </w:r>
    </w:p>
    <w:p w14:paraId="3645AFE2" w14:textId="77777777" w:rsidR="00E47803" w:rsidRPr="00FF3C0C" w:rsidRDefault="00E47803" w:rsidP="0068216F">
      <w:r w:rsidRPr="00FF3C0C">
        <w:t>En outre, dans l’annexe B, dans la deuxième colonne de la feuille de calcul nº 2</w:t>
      </w:r>
      <w:r w:rsidR="002346EC" w:rsidRPr="00FF3C0C">
        <w:t xml:space="preserve"> « Justification</w:t>
      </w:r>
      <w:r w:rsidRPr="00FF3C0C">
        <w:t xml:space="preserve"> des coûts estimés», les demandeurs doivent, pour chaque poste budgétaire ou rubrique correspondant(e):</w:t>
      </w:r>
    </w:p>
    <w:p w14:paraId="2A794C97" w14:textId="77777777" w:rsidR="00E47803" w:rsidRPr="00FF3C0C" w:rsidRDefault="00E47803" w:rsidP="00056377">
      <w:pPr>
        <w:numPr>
          <w:ilvl w:val="0"/>
          <w:numId w:val="23"/>
        </w:numPr>
      </w:pPr>
      <w:r w:rsidRPr="00FF3C0C">
        <w:t>décrire les informations et les méthodes utilisées pour déterminer les montants des coûts unitaires, les montants forfaitaires et/ou les taux forfaitaires, indiquer à quels coûts ils se réfèrent,</w:t>
      </w:r>
      <w:r w:rsidR="00284650" w:rsidRPr="00FF3C0C">
        <w:t> </w:t>
      </w:r>
      <w:r w:rsidRPr="00FF3C0C">
        <w:t>etc. pour les OSC basées sur les produits ou les résultats;</w:t>
      </w:r>
    </w:p>
    <w:p w14:paraId="0A7C0E62" w14:textId="77777777" w:rsidR="00E47803" w:rsidRPr="00FF3C0C" w:rsidRDefault="00E47803" w:rsidP="00056377">
      <w:pPr>
        <w:numPr>
          <w:ilvl w:val="0"/>
          <w:numId w:val="23"/>
        </w:numPr>
        <w:rPr>
          <w:bCs/>
        </w:rPr>
      </w:pPr>
      <w:r w:rsidRPr="00FF3C0C">
        <w:t>expliquer clairement les formules utilisées pour le calcul du montant final éligible pour les OSC basées sur les produits ou les résultats;</w:t>
      </w:r>
    </w:p>
    <w:p w14:paraId="54406AB1" w14:textId="77777777" w:rsidR="00765310" w:rsidRPr="00FF3C0C" w:rsidRDefault="00765310" w:rsidP="003639B6">
      <w:pPr>
        <w:numPr>
          <w:ilvl w:val="0"/>
          <w:numId w:val="23"/>
        </w:numPr>
      </w:pPr>
      <w:r w:rsidRPr="00FF3C0C">
        <w:t>renvoyer aux systèmes de financement comparables des autorités nationales pour les autres OSC.</w:t>
      </w:r>
    </w:p>
    <w:p w14:paraId="4649DEC5" w14:textId="77777777" w:rsidR="006A7D36" w:rsidRPr="00FF3C0C" w:rsidRDefault="006E0D8F" w:rsidP="0068216F">
      <w:r w:rsidRPr="00FF3C0C">
        <w:lastRenderedPageBreak/>
        <w:t>Lorsque des OSC sont proposées, le comité d’évaluation et l’administration contractante décident s’ils acceptent ou non les montants ou taux proposés sur la base du budget prévisionnel soumis par les demandeurs, en analysant les données factuelles des subventions utilisées par les demandeurs ou d’actions similaires. Si le comité d’évaluation et l’administration contractante ne sont pas convaincus par la justification fournie, un remboursement sur la base des frais effectivement supportés est toujours possible.</w:t>
      </w:r>
    </w:p>
    <w:p w14:paraId="1AF3F692" w14:textId="77777777" w:rsidR="0069482E" w:rsidRPr="00FF3C0C" w:rsidRDefault="00C14F69" w:rsidP="0068216F">
      <w:r w:rsidRPr="00FF3C0C">
        <w:t>Aucun seuil n’est fixé à l’avance pour le montant total du financement qui peut être autorisé par l’administration contractante sur la base d’options simplifiées en matière de coûts. Les autres OSC ne peuvent être proposées que si elles ont été préalablement acceptées par les autorités nationales dans le cadre de systèmes de financement comparables.</w:t>
      </w:r>
    </w:p>
    <w:p w14:paraId="1C471210" w14:textId="77777777" w:rsidR="0007408E" w:rsidRPr="00FF3C0C" w:rsidRDefault="0007408E" w:rsidP="0068216F">
      <w:r w:rsidRPr="00FF3C0C">
        <w:t>Les recommandations concernant l’attribution d’une subvention sont toujours subordonnées à la condition que les vérifications précédant la signature du contrat de subvention ne révèlent pas de problèmes nécessitant des modifications du budget (par exemple, des erreurs arithmétiques, des inexactitudes, des coûts irréalistes et des coûts non éligibles). Cette procédure de vérification peut donner lieu à des demandes d’éclaircissement et conduire l’administration contractante à imposer des modifications ou des réductions afin de corriger ces erreurs ou inexactitudes. Ces corrections ne peuvent entraîner une augmentation de la subvention ou du pourcentage du cofinancement de l’UE.</w:t>
      </w:r>
    </w:p>
    <w:p w14:paraId="6D8CAD2D" w14:textId="77777777" w:rsidR="0007408E" w:rsidRPr="00FF3C0C" w:rsidRDefault="0007408E" w:rsidP="0068216F">
      <w:r w:rsidRPr="00FF3C0C">
        <w:t xml:space="preserve">En conséquence, il est dans l’intérêt des demandeurs de fournir un </w:t>
      </w:r>
      <w:r w:rsidRPr="00FF3C0C">
        <w:rPr>
          <w:b/>
        </w:rPr>
        <w:t>budget réaliste et d’un rapport coût-efficacité convenable</w:t>
      </w:r>
      <w:r w:rsidRPr="00FF3C0C">
        <w:t>.</w:t>
      </w:r>
    </w:p>
    <w:p w14:paraId="48DC8E7C" w14:textId="77777777" w:rsidR="003639B6" w:rsidRPr="00FF3C0C" w:rsidRDefault="003639B6" w:rsidP="003639B6">
      <w:pPr>
        <w:spacing w:before="120" w:after="120"/>
        <w:rPr>
          <w:snapToGrid/>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46650" w:rsidRPr="00FF3C0C" w14:paraId="74A1DD98" w14:textId="77777777" w:rsidTr="00946650">
        <w:tc>
          <w:tcPr>
            <w:tcW w:w="9854" w:type="dxa"/>
            <w:shd w:val="clear" w:color="auto" w:fill="auto"/>
          </w:tcPr>
          <w:p w14:paraId="5052FDB1" w14:textId="77777777" w:rsidR="00946650" w:rsidRPr="00FF3C0C" w:rsidRDefault="00946650" w:rsidP="00946650">
            <w:pPr>
              <w:tabs>
                <w:tab w:val="left" w:pos="993"/>
              </w:tabs>
            </w:pPr>
            <w:r w:rsidRPr="00FF3C0C">
              <w:t>La subvention peut prendre la forme d’un montant forfaitaire unique couvrant l’intégralité des coûts éligibles d’une action ou d’un programme de travail.</w:t>
            </w:r>
          </w:p>
          <w:p w14:paraId="1ADB568E" w14:textId="77777777" w:rsidR="00946650" w:rsidRPr="00FF3C0C" w:rsidRDefault="00946650" w:rsidP="000C4276">
            <w:pPr>
              <w:tabs>
                <w:tab w:val="left" w:pos="993"/>
              </w:tabs>
            </w:pPr>
            <w:r w:rsidRPr="00FF3C0C">
              <w:t>Les montants forfaitaires uniques peuvent être déterminés sur la base du budget prévisionnel, qui doit respecter les principes d’économie, d’efficience et d’efficacité. Le respect de ces principes est vérifié ex ante au moment de l’évaluation de la demande de subvention.</w:t>
            </w:r>
          </w:p>
          <w:p w14:paraId="6B944499" w14:textId="77777777" w:rsidR="00946650" w:rsidRPr="00FF3C0C" w:rsidRDefault="00946650" w:rsidP="000C4276">
            <w:pPr>
              <w:tabs>
                <w:tab w:val="left" w:pos="993"/>
              </w:tabs>
            </w:pPr>
            <w:r w:rsidRPr="00FF3C0C">
              <w:t xml:space="preserve">Lorsqu’il autorise des montants forfaitaires uniques, l’ordonnateur compétent se conforme aux conditions applicables aux OSC basées sur les produits ou sur les résultats. </w:t>
            </w:r>
          </w:p>
          <w:p w14:paraId="32189892" w14:textId="77777777" w:rsidR="00946650" w:rsidRPr="00FF3C0C" w:rsidRDefault="00946650" w:rsidP="000C4276">
            <w:pPr>
              <w:tabs>
                <w:tab w:val="left" w:pos="993"/>
              </w:tabs>
              <w:rPr>
                <w:b/>
                <w:highlight w:val="lightGray"/>
              </w:rPr>
            </w:pPr>
            <w:r w:rsidRPr="00FF3C0C">
              <w:t xml:space="preserve">Lorsque cette forme de financement est utilisée, la description de l’action comporte des informations détaillées sur les conditions essentielles qui déclenchent le paiement, y compris, s’il y a lieu, les produits et/ou les résultats obtenus. </w:t>
            </w:r>
          </w:p>
        </w:tc>
      </w:tr>
    </w:tbl>
    <w:p w14:paraId="00BF1825" w14:textId="77777777" w:rsidR="00946650" w:rsidRPr="00FF3C0C" w:rsidRDefault="00946650" w:rsidP="00946650">
      <w:pPr>
        <w:rPr>
          <w:highlight w:val="lightGray"/>
          <w:u w:val="single"/>
        </w:rPr>
      </w:pPr>
    </w:p>
    <w:p w14:paraId="3E0DE3BC" w14:textId="77777777" w:rsidR="0007408E" w:rsidRPr="00FF3C0C" w:rsidRDefault="0007408E" w:rsidP="0068216F">
      <w:pPr>
        <w:rPr>
          <w:u w:val="single"/>
        </w:rPr>
      </w:pPr>
      <w:r w:rsidRPr="00FF3C0C">
        <w:rPr>
          <w:u w:val="single"/>
        </w:rPr>
        <w:t>Coûts directs éligibles</w:t>
      </w:r>
    </w:p>
    <w:p w14:paraId="35E68827" w14:textId="77777777" w:rsidR="002346EC" w:rsidRPr="00FF3C0C" w:rsidRDefault="0007408E" w:rsidP="0068216F">
      <w:r w:rsidRPr="00FF3C0C">
        <w:t>Pour être éligibles au titre du présent appel à propositions, les coûts doivent respecter les dispositions de l’article 14 des conditions générales du contrat type de subvention (voir l’annexe G des lignes directrices).</w:t>
      </w:r>
    </w:p>
    <w:p w14:paraId="680211D6" w14:textId="77777777" w:rsidR="00622E2A" w:rsidRPr="00FF3C0C" w:rsidRDefault="002346EC">
      <w:r w:rsidRPr="00FF3C0C" w:rsidDel="002346EC">
        <w:t xml:space="preserve"> </w:t>
      </w:r>
      <w:r w:rsidR="00E04B98" w:rsidRPr="00FF3C0C">
        <w:t>Les rémunérations du personnel des administrations nationales peuvent être éligibles, dans la mesure où elles correspondent au coût d’activités que l’autorité publique concernée ne réaliserait pas si l’action n’était pas entreprise.</w:t>
      </w:r>
    </w:p>
    <w:p w14:paraId="32733E7F" w14:textId="77777777" w:rsidR="007034C6" w:rsidRPr="00FF3C0C" w:rsidRDefault="007034C6" w:rsidP="0068216F">
      <w:pPr>
        <w:rPr>
          <w:u w:val="single"/>
        </w:rPr>
      </w:pPr>
      <w:r w:rsidRPr="00FF3C0C">
        <w:rPr>
          <w:u w:val="single"/>
        </w:rPr>
        <w:t>Réserve pour imprévus</w:t>
      </w:r>
    </w:p>
    <w:p w14:paraId="0A315C5E" w14:textId="77777777" w:rsidR="007034C6" w:rsidRPr="00FF3C0C" w:rsidRDefault="000B1032" w:rsidP="0068216F">
      <w:r w:rsidRPr="00FF3C0C">
        <w:t>Le budget peut inclure une réserve pour imprévus ne dépassant pas 5 % des coûts directs éligibles estimés. Celle-ci ne peut être utilisée qu’avec l’</w:t>
      </w:r>
      <w:r w:rsidRPr="00FF3C0C">
        <w:rPr>
          <w:b/>
        </w:rPr>
        <w:t>autorisation écrite préalable</w:t>
      </w:r>
      <w:r w:rsidRPr="00FF3C0C">
        <w:t xml:space="preserve"> de l’administration contractante.</w:t>
      </w:r>
    </w:p>
    <w:p w14:paraId="22B1278A" w14:textId="77777777" w:rsidR="0007408E" w:rsidRPr="00FF3C0C" w:rsidRDefault="0007408E" w:rsidP="0068216F">
      <w:pPr>
        <w:rPr>
          <w:u w:val="single"/>
        </w:rPr>
      </w:pPr>
      <w:r w:rsidRPr="00FF3C0C">
        <w:rPr>
          <w:u w:val="single"/>
        </w:rPr>
        <w:t>Coûts indirects éligibles</w:t>
      </w:r>
    </w:p>
    <w:p w14:paraId="0146A51D" w14:textId="77777777" w:rsidR="00460729" w:rsidRPr="00FF3C0C" w:rsidRDefault="00460729" w:rsidP="0068216F">
      <w:pPr>
        <w:rPr>
          <w:snapToGrid/>
        </w:rPr>
      </w:pPr>
      <w:r w:rsidRPr="00FF3C0C">
        <w:rPr>
          <w:snapToGrid/>
        </w:rPr>
        <w:t>Les coûts indirects supportés pendant la mise en œuvre de l’action peuvent être éligibles à un financement à taux forfaitaire, à hauteur de 7 % au maximum du total estimé des coûts directs éligibles</w:t>
      </w:r>
      <w:r w:rsidRPr="00FF3C0C">
        <w:rPr>
          <w:snapToGrid/>
          <w:sz w:val="20"/>
        </w:rPr>
        <w:t xml:space="preserve">. </w:t>
      </w:r>
      <w:r w:rsidRPr="00FF3C0C">
        <w:rPr>
          <w:snapToGrid/>
        </w:rPr>
        <w:t xml:space="preserve">Ils sont éligibles pour autant qu’ils n’incluent pas de frais portés en compte sur une autre rubrique du budget dans le contrat type de subvention. Le demandeur chef de file peut être invité à justifier le pourcentage demandé avant la signature du </w:t>
      </w:r>
      <w:r w:rsidRPr="00FF3C0C">
        <w:rPr>
          <w:snapToGrid/>
        </w:rPr>
        <w:lastRenderedPageBreak/>
        <w:t>contrat de subvention. Néanmoins, une fois le taux forfaitaire fixé dans les conditions particulières du contrat de subvention, aucune pièce justificative ne doit être fournie.</w:t>
      </w:r>
    </w:p>
    <w:p w14:paraId="0E39040F" w14:textId="77777777" w:rsidR="00460729" w:rsidRPr="00FF3C0C" w:rsidRDefault="00460729" w:rsidP="0068216F">
      <w:pPr>
        <w:rPr>
          <w:snapToGrid/>
        </w:rPr>
      </w:pPr>
      <w:r w:rsidRPr="00FF3C0C">
        <w:rPr>
          <w:snapToGrid/>
        </w:rPr>
        <w:t>Si un des demandeurs ou une des entités affiliées bénéficie d’une subvention de fonctionnement financée par l’UE, il/elle ne peut inscrire des coûts indirects sur les coûts qu’il/elle supporte au budget proposé pour l’action.</w:t>
      </w:r>
    </w:p>
    <w:p w14:paraId="3C5D619B" w14:textId="77777777" w:rsidR="0007408E" w:rsidRPr="00FF3C0C" w:rsidRDefault="0007408E" w:rsidP="0068216F">
      <w:pPr>
        <w:rPr>
          <w:u w:val="single"/>
        </w:rPr>
      </w:pPr>
      <w:r w:rsidRPr="00FF3C0C">
        <w:rPr>
          <w:u w:val="single"/>
        </w:rPr>
        <w:t>Contributions en nature</w:t>
      </w:r>
    </w:p>
    <w:p w14:paraId="65765873" w14:textId="281DB1BC" w:rsidR="00C7546F" w:rsidRPr="00FF3C0C" w:rsidRDefault="008A62F6" w:rsidP="0068216F">
      <w:r w:rsidRPr="00FF3C0C">
        <w:t>Par</w:t>
      </w:r>
      <w:r w:rsidR="00DE3F41" w:rsidRPr="00FF3C0C">
        <w:t xml:space="preserve"> « contributions</w:t>
      </w:r>
      <w:r w:rsidRPr="00FF3C0C">
        <w:t xml:space="preserve"> en </w:t>
      </w:r>
      <w:r w:rsidR="00A60AFA" w:rsidRPr="00FF3C0C">
        <w:t>nature »</w:t>
      </w:r>
      <w:r w:rsidRPr="00FF3C0C">
        <w:t xml:space="preserve">, il faut entendre les biens ou services mis gracieusement à la disposition des bénéficiaires ou des </w:t>
      </w:r>
      <w:r w:rsidRPr="00FF3C0C">
        <w:rPr>
          <w:snapToGrid/>
        </w:rPr>
        <w:t>entités affiliées</w:t>
      </w:r>
      <w:r w:rsidRPr="00FF3C0C">
        <w:t xml:space="preserve"> par un tiers. Étant donné que les contributions en nature n’impliquent aucune dépense pour les bénéficiaires </w:t>
      </w:r>
      <w:r w:rsidRPr="00FF3C0C">
        <w:rPr>
          <w:snapToGrid/>
        </w:rPr>
        <w:t>ou les entités affiliées</w:t>
      </w:r>
      <w:r w:rsidRPr="00FF3C0C">
        <w:t xml:space="preserve">, elles ne constituent pas des coûts éligibles (à l’exception des coûts de personnel pour les travaux effectués par des bénévoles dans le cadre d’une action ou d’une subvention de fonctionnement, si cela est autorisé). </w:t>
      </w:r>
    </w:p>
    <w:p w14:paraId="16383E15" w14:textId="707889D2" w:rsidR="00E57085" w:rsidRPr="00FF3C0C" w:rsidRDefault="00E57085" w:rsidP="0068216F">
      <w:r w:rsidRPr="00FF3C0C">
        <w:t>Les contributions en nature ne peuvent être considérés comme un cofinancement. Toutefois, si la description de l’action proposée contient des contributions en nature, celles-ci doivent être fournies.</w:t>
      </w:r>
    </w:p>
    <w:p w14:paraId="082C33E9" w14:textId="77777777" w:rsidR="007212E9" w:rsidRPr="00FF3C0C" w:rsidRDefault="007212E9">
      <w:pPr>
        <w:rPr>
          <w:u w:val="single"/>
        </w:rPr>
      </w:pPr>
      <w:r w:rsidRPr="00FF3C0C">
        <w:t>Les autres cofinancements sont basés sur des estimations fournies par le demandeur.</w:t>
      </w:r>
    </w:p>
    <w:p w14:paraId="22D015FD" w14:textId="77777777" w:rsidR="00511112" w:rsidRPr="00FF3C0C" w:rsidRDefault="00511112" w:rsidP="0068216F">
      <w:pPr>
        <w:rPr>
          <w:b/>
          <w:u w:val="single"/>
        </w:rPr>
      </w:pPr>
      <w:r w:rsidRPr="00FF3C0C">
        <w:rPr>
          <w:b/>
          <w:u w:val="single"/>
        </w:rPr>
        <w:t>Coûts non éligibles</w:t>
      </w:r>
    </w:p>
    <w:p w14:paraId="23E8420F" w14:textId="77777777" w:rsidR="00511112" w:rsidRPr="00FF3C0C" w:rsidRDefault="00511112" w:rsidP="0068216F">
      <w:r w:rsidRPr="00FF3C0C">
        <w:t>Les coûts suivants ne sont pas éligibles:</w:t>
      </w:r>
    </w:p>
    <w:p w14:paraId="203B074D" w14:textId="77777777" w:rsidR="00AC1803" w:rsidRPr="00FF3C0C" w:rsidRDefault="00511112" w:rsidP="00056377">
      <w:pPr>
        <w:numPr>
          <w:ilvl w:val="0"/>
          <w:numId w:val="25"/>
        </w:numPr>
      </w:pPr>
      <w:r w:rsidRPr="00FF3C0C">
        <w:t>les dettes et la charge de la dette (intérêts);</w:t>
      </w:r>
    </w:p>
    <w:p w14:paraId="1393E440" w14:textId="77777777" w:rsidR="00511112" w:rsidRPr="00FF3C0C" w:rsidRDefault="00AC1803" w:rsidP="00056377">
      <w:pPr>
        <w:numPr>
          <w:ilvl w:val="0"/>
          <w:numId w:val="25"/>
        </w:numPr>
      </w:pPr>
      <w:r w:rsidRPr="00FF3C0C">
        <w:t>les provisions pour pertes ou dettes futures éventuelles;</w:t>
      </w:r>
    </w:p>
    <w:p w14:paraId="2BA82579" w14:textId="77777777" w:rsidR="00511112" w:rsidRPr="00FF3C0C" w:rsidRDefault="00AC1803" w:rsidP="00056377">
      <w:pPr>
        <w:numPr>
          <w:ilvl w:val="0"/>
          <w:numId w:val="25"/>
        </w:numPr>
      </w:pPr>
      <w:r w:rsidRPr="00FF3C0C">
        <w:t>les coûts déclarés par le ou les bénéficiaires et financés par une autre action ou un autre programme de travail bénéficiant d’une subvention de l’Union européenne (y compris au titre du FED);</w:t>
      </w:r>
    </w:p>
    <w:p w14:paraId="6CB24B9A" w14:textId="77777777" w:rsidR="00511112" w:rsidRPr="00FF3C0C" w:rsidRDefault="00511112" w:rsidP="00056377">
      <w:pPr>
        <w:numPr>
          <w:ilvl w:val="0"/>
          <w:numId w:val="25"/>
        </w:numPr>
      </w:pPr>
      <w:r w:rsidRPr="00FF3C0C">
        <w:t>les achats de terrains ou d’immeubles, sauf si ces achats sont indispensables à la mise en œuvre directe de l’action, auquel cas leur propriété doit être transférée conformément au point 7.5 des conditions générales du contrat type de subvention, au plus tard à la fin de l’action;</w:t>
      </w:r>
    </w:p>
    <w:p w14:paraId="0F0B3913" w14:textId="77777777" w:rsidR="00511112" w:rsidRPr="00FF3C0C" w:rsidRDefault="00511112" w:rsidP="00056377">
      <w:pPr>
        <w:numPr>
          <w:ilvl w:val="0"/>
          <w:numId w:val="25"/>
        </w:numPr>
      </w:pPr>
      <w:r w:rsidRPr="00FF3C0C">
        <w:t>les pertes de change;</w:t>
      </w:r>
    </w:p>
    <w:p w14:paraId="3C99578F" w14:textId="77777777" w:rsidR="0061511C" w:rsidRPr="00FF3C0C" w:rsidRDefault="00C9081A" w:rsidP="00876E0B">
      <w:pPr>
        <w:numPr>
          <w:ilvl w:val="0"/>
          <w:numId w:val="25"/>
        </w:numPr>
      </w:pPr>
      <w:r w:rsidRPr="00FF3C0C">
        <w:t>les crédits à des tiers;</w:t>
      </w:r>
    </w:p>
    <w:p w14:paraId="61C0D1A1" w14:textId="77777777" w:rsidR="00622E2A" w:rsidRPr="00FF3C0C" w:rsidRDefault="0061511C" w:rsidP="00056377">
      <w:pPr>
        <w:numPr>
          <w:ilvl w:val="0"/>
          <w:numId w:val="25"/>
        </w:numPr>
      </w:pPr>
      <w:r w:rsidRPr="00FF3C0C">
        <w:t xml:space="preserve">le coût des rémunérations du personnel des administrations nationales. </w:t>
      </w:r>
    </w:p>
    <w:p w14:paraId="3D36EEAC" w14:textId="77777777" w:rsidR="00A80223" w:rsidRPr="00FF3C0C" w:rsidRDefault="00A80223" w:rsidP="00BF158E"/>
    <w:p w14:paraId="7F6F0683" w14:textId="7D895CD6" w:rsidR="0075070A" w:rsidRPr="00FF3C0C" w:rsidRDefault="0075070A" w:rsidP="00904791">
      <w:pPr>
        <w:pStyle w:val="Guidelines3"/>
      </w:pPr>
      <w:r w:rsidRPr="00FF3C0C">
        <w:t xml:space="preserve">Clauses déontologiques et code de conduite </w:t>
      </w:r>
    </w:p>
    <w:p w14:paraId="6159BB1C" w14:textId="77777777" w:rsidR="00A80223" w:rsidRPr="00FF3C0C" w:rsidRDefault="00A80223" w:rsidP="000C4276">
      <w:pPr>
        <w:keepNext/>
        <w:spacing w:before="120" w:after="120"/>
        <w:rPr>
          <w:b/>
          <w:sz w:val="24"/>
          <w:szCs w:val="24"/>
        </w:rPr>
      </w:pPr>
    </w:p>
    <w:p w14:paraId="4A6C1430" w14:textId="77777777" w:rsidR="00A80223" w:rsidRPr="00FF3C0C" w:rsidRDefault="00A80223" w:rsidP="00A80223">
      <w:pPr>
        <w:keepNext/>
        <w:spacing w:before="120" w:after="120"/>
        <w:ind w:left="420"/>
        <w:rPr>
          <w:szCs w:val="22"/>
          <w:u w:val="single"/>
        </w:rPr>
      </w:pPr>
      <w:r w:rsidRPr="00FF3C0C">
        <w:t>a)</w:t>
      </w:r>
      <w:r w:rsidRPr="00FF3C0C">
        <w:rPr>
          <w:szCs w:val="22"/>
          <w:u w:val="single"/>
        </w:rPr>
        <w:t xml:space="preserve"> Absence de conflit d’intérêts</w:t>
      </w:r>
    </w:p>
    <w:p w14:paraId="2F4F484F" w14:textId="77777777" w:rsidR="00A80223" w:rsidRPr="00FF3C0C" w:rsidRDefault="00A80223" w:rsidP="00A80223">
      <w:pPr>
        <w:keepNext/>
        <w:spacing w:before="120" w:after="120"/>
        <w:ind w:left="420"/>
        <w:rPr>
          <w:szCs w:val="22"/>
        </w:rPr>
      </w:pPr>
      <w:r w:rsidRPr="00FF3C0C">
        <w:t xml:space="preserve">Le demandeur ne peut se trouver dans aucune situation de conflit d’intérêts ni avoir aucun lien de type équivalent avec d’autres demandeurs ou d’autres parties au projet. Toute tentative d’un demandeur visant à se procurer des informations confidentielles, à conclure des ententes illicites avec ses concurrents ou à influencer le comité d’évaluation ou l’administration contractante au cours de la procédure d’examen, de clarification, d’évaluation et de comparaison des demandes entraînera le rejet de sa demande et l’expose à des sanctions administratives conformément au règlement financier en vigueur. </w:t>
      </w:r>
    </w:p>
    <w:p w14:paraId="0F95D47F" w14:textId="77777777" w:rsidR="00A80223" w:rsidRPr="00FF3C0C" w:rsidRDefault="00A80223" w:rsidP="00A80223">
      <w:pPr>
        <w:keepNext/>
        <w:spacing w:before="120" w:after="120"/>
        <w:ind w:left="420"/>
        <w:rPr>
          <w:szCs w:val="22"/>
        </w:rPr>
      </w:pPr>
      <w:r w:rsidRPr="00FF3C0C">
        <w:t xml:space="preserve">b) </w:t>
      </w:r>
      <w:r w:rsidRPr="00FF3C0C">
        <w:rPr>
          <w:szCs w:val="22"/>
          <w:u w:val="single"/>
        </w:rPr>
        <w:t>Respect des droits de l’homme ainsi que de la législation environnementale et des normes fondamentales en matière de travail</w:t>
      </w:r>
      <w:r w:rsidRPr="00FF3C0C">
        <w:t xml:space="preserve"> </w:t>
      </w:r>
    </w:p>
    <w:p w14:paraId="0205BECB" w14:textId="77777777" w:rsidR="00A80223" w:rsidRPr="00FF3C0C" w:rsidRDefault="00A80223" w:rsidP="00A80223">
      <w:pPr>
        <w:keepNext/>
        <w:spacing w:before="120" w:after="120"/>
        <w:ind w:left="420"/>
        <w:rPr>
          <w:szCs w:val="22"/>
        </w:rPr>
      </w:pPr>
      <w:r w:rsidRPr="00FF3C0C">
        <w:t xml:space="preserve">Le demandeur et son personnel doivent respecter les droits de l’homme. En particulier, et conformément à la loi applicable, les demandeurs qui se voient attribuer un marché ou une subvention respectent la législation environnementale, notamment les accords multilatéraux en matière environnementale, ainsi </w:t>
      </w:r>
      <w:r w:rsidRPr="00FF3C0C">
        <w:lastRenderedPageBreak/>
        <w:t>que les normes fondamentales en matière de travail applicables, telles que définies dans les conventions pertinentes de l’Organisation internationale du travail (notamment les conventions sur la liberté syndicale et la négociation collective, sur l’élimination du travail forcé ou obligatoire et sur l’abolition du travail des enfants).</w:t>
      </w:r>
    </w:p>
    <w:p w14:paraId="31751D21" w14:textId="77777777" w:rsidR="00A80223" w:rsidRPr="00FF3C0C"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b/>
          <w:szCs w:val="22"/>
        </w:rPr>
      </w:pPr>
      <w:r w:rsidRPr="00FF3C0C">
        <w:rPr>
          <w:b/>
          <w:szCs w:val="22"/>
        </w:rPr>
        <w:t>Tolérance zéro pour l’exploitation, les abus et le harcèlement sexuels</w:t>
      </w:r>
    </w:p>
    <w:p w14:paraId="74EB5B58" w14:textId="5695DC24" w:rsidR="00A80223" w:rsidRPr="00FF3C0C"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FF3C0C">
        <w:t>La Commission européenne applique une politique de</w:t>
      </w:r>
      <w:r w:rsidR="00AF7F49" w:rsidRPr="00FF3C0C">
        <w:t xml:space="preserve"> « tolérance</w:t>
      </w:r>
      <w:r w:rsidRPr="00FF3C0C">
        <w:t xml:space="preserve"> </w:t>
      </w:r>
      <w:r w:rsidR="00A60AFA" w:rsidRPr="00FF3C0C">
        <w:t>zéro »</w:t>
      </w:r>
      <w:r w:rsidRPr="00FF3C0C">
        <w:t xml:space="preserve"> en ce qui concerne l’ensemble des comportements fautifs ayant une incidence sur la crédibilité professionnelle du demandeur.  </w:t>
      </w:r>
    </w:p>
    <w:p w14:paraId="041C4671" w14:textId="77777777" w:rsidR="00A80223" w:rsidRPr="00FF3C0C" w:rsidRDefault="00A80223"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FF3C0C">
        <w:t xml:space="preserve">Sont interdits les châtiments corporels ou violences physiques, les menaces de violences physiques, les abus, l’exploitation et le harcèlement sexuels, les violences verbales, ainsi que toutes les autres formes d’intimidation. </w:t>
      </w:r>
    </w:p>
    <w:p w14:paraId="4BC7201C" w14:textId="77777777" w:rsidR="001C6B80" w:rsidRPr="00FF3C0C" w:rsidRDefault="00CC1AFE"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r w:rsidRPr="00FF3C0C">
        <w:t>Les demandeurs (et les entités affiliées) autres que i) les personnes physiques, ii) les entités ayant fait l’objet d’une évaluation des piliers et iii) les gouvernements et autres organismes publics dont la demande a été provisoirement sélectionnée ou qui sont inscrits sur une liste de réserve évaluent leur politique interne de lutte contre l’exploitation, les abus et le harcèlement sexuels (EAHS) au moyen d’un questionnaire d’autoévaluation (annexe L). Pour les subventions inférieures ou égales à 60 000 EUR, aucune autoévaluation n’est requise. Ce questionnaire d’autoévaluation n’est pas pris en considération dans l’évaluation de la demande complète par l’administration contractante, mais constitue une exigence administrative. Voir section 2.5.6 du PRAG.</w:t>
      </w:r>
    </w:p>
    <w:p w14:paraId="3127C1D1" w14:textId="77777777" w:rsidR="006F2E35" w:rsidRPr="00FF3C0C" w:rsidRDefault="006F2E35" w:rsidP="00A80223">
      <w:pPr>
        <w:keepNext/>
        <w:pBdr>
          <w:top w:val="single" w:sz="4" w:space="0" w:color="auto"/>
          <w:left w:val="single" w:sz="4" w:space="0" w:color="auto"/>
          <w:bottom w:val="single" w:sz="4" w:space="1" w:color="auto"/>
          <w:right w:val="single" w:sz="4" w:space="4" w:color="auto"/>
        </w:pBdr>
        <w:spacing w:before="120" w:after="120"/>
        <w:ind w:left="420"/>
        <w:rPr>
          <w:szCs w:val="22"/>
        </w:rPr>
      </w:pPr>
    </w:p>
    <w:p w14:paraId="5D433B20" w14:textId="77777777" w:rsidR="00A80223" w:rsidRPr="00FF3C0C" w:rsidRDefault="00A80223" w:rsidP="00A80223">
      <w:pPr>
        <w:ind w:left="420"/>
        <w:rPr>
          <w:szCs w:val="22"/>
        </w:rPr>
      </w:pPr>
      <w:r w:rsidRPr="00FF3C0C">
        <w:t xml:space="preserve">c) </w:t>
      </w:r>
      <w:r w:rsidRPr="00FF3C0C">
        <w:rPr>
          <w:szCs w:val="22"/>
          <w:u w:val="single"/>
        </w:rPr>
        <w:t>Lutte contre la corruption</w:t>
      </w:r>
      <w:r w:rsidRPr="00FF3C0C">
        <w:t xml:space="preserve"> </w:t>
      </w:r>
    </w:p>
    <w:p w14:paraId="77403069" w14:textId="5526AD64" w:rsidR="00A80223" w:rsidRPr="00FF3C0C" w:rsidRDefault="00A80223" w:rsidP="00A80223">
      <w:pPr>
        <w:ind w:left="420"/>
        <w:rPr>
          <w:szCs w:val="22"/>
        </w:rPr>
      </w:pPr>
      <w:r w:rsidRPr="00FF3C0C">
        <w:t>Le demandeur doit respecter les lois, règlements et codes de conduite applicables en matière de lutte contre la corruption. L’administration contractante se réserve le droit de suspendre ou d’annuler le financement d’un projet si des pratiques de corruption, de quelque nature qu’elles soient, sont découvertes à n’importe quel stade de la procédure d’attribution ou pendant l’exécution d’un contrat et si l’administration contractante ne prend pas toutes les mesures appropriées pour remédier à la situation. Aux fins de la présente disposition, on entend par</w:t>
      </w:r>
      <w:r w:rsidR="00B51541" w:rsidRPr="00FF3C0C">
        <w:t xml:space="preserve"> « pratique</w:t>
      </w:r>
      <w:r w:rsidRPr="00FF3C0C">
        <w:t xml:space="preserve"> de </w:t>
      </w:r>
      <w:r w:rsidR="009A72EF" w:rsidRPr="00FF3C0C">
        <w:t>corruption »</w:t>
      </w:r>
      <w:r w:rsidRPr="00FF3C0C">
        <w:t xml:space="preserve"> toute offre de paiement illicite, de présent, de gratification ou de commission à quelque personne que ce soit à titre d’incitation ou de récompense pour qu’elle accomplisse ou s’abstienne d’accomplir des actes ayant trait à l’attribution d’une subvention ou à l’exécution d’un contrat déjà conclu avec l’administration contractante.</w:t>
      </w:r>
    </w:p>
    <w:p w14:paraId="748E1AA9" w14:textId="77777777" w:rsidR="00A80223" w:rsidRPr="00FF3C0C" w:rsidRDefault="00A80223" w:rsidP="00A80223">
      <w:pPr>
        <w:spacing w:before="120" w:after="120"/>
        <w:ind w:left="567" w:hanging="567"/>
        <w:rPr>
          <w:szCs w:val="22"/>
        </w:rPr>
      </w:pPr>
      <w:r w:rsidRPr="00FF3C0C">
        <w:t xml:space="preserve">      d) </w:t>
      </w:r>
      <w:r w:rsidRPr="00FF3C0C">
        <w:rPr>
          <w:szCs w:val="22"/>
          <w:u w:val="single"/>
        </w:rPr>
        <w:t>Frais commerciaux extraordinaires</w:t>
      </w:r>
      <w:r w:rsidRPr="00FF3C0C">
        <w:t xml:space="preserve"> </w:t>
      </w:r>
    </w:p>
    <w:p w14:paraId="0AA1C29A" w14:textId="77777777" w:rsidR="00A80223" w:rsidRPr="00FF3C0C" w:rsidRDefault="00A80223" w:rsidP="00A80223">
      <w:pPr>
        <w:spacing w:before="120" w:after="120"/>
        <w:ind w:left="397"/>
        <w:rPr>
          <w:szCs w:val="22"/>
        </w:rPr>
      </w:pPr>
      <w:r w:rsidRPr="00FF3C0C">
        <w:t>Toute demande est rejetée ou tout contrat est résilié dès lors qu’il est constaté que l’attribution de la subvention ou l’exécution du marché a donné lieu à des frais commerciaux extraordinaires. Les frais commerciaux extraordinaires sont des commissions qui ne sont pas mentionnées dans le marché principal ou qui ne résultent pas d’un marché passé en bonne et due forme faisant référence au marché principal, des commissions qui ne sont pas versées en échange d’un service légitime effectif, des commissions versées dans un paradis fiscal, des commissions versées à un bénéficiaire non clairement identifié ou à une entreprise qui a toutes les apparences d’une société-écran.</w:t>
      </w:r>
    </w:p>
    <w:p w14:paraId="7AB35580" w14:textId="77777777" w:rsidR="00A80223" w:rsidRPr="00FF3C0C" w:rsidRDefault="00876E0B" w:rsidP="00A80223">
      <w:pPr>
        <w:spacing w:before="120" w:after="120"/>
        <w:ind w:left="397"/>
        <w:rPr>
          <w:szCs w:val="22"/>
        </w:rPr>
      </w:pPr>
      <w:r w:rsidRPr="00FF3C0C">
        <w:t>Les bénéficiaires d’une subvention convaincus d’avoir payé des frais commerciaux extraordinaires dans le cadre de projets financés par l’Union européenne s’exposent, en fonction de la gravité des faits constatés, à la résiliation de leur contrat, voire à une exclusion définitive du bénéfice des financements de l’UE/du FED.</w:t>
      </w:r>
    </w:p>
    <w:p w14:paraId="4CE3FB3F" w14:textId="77777777" w:rsidR="00A80223" w:rsidRPr="00FF3C0C" w:rsidRDefault="00876E0B" w:rsidP="00A80223">
      <w:pPr>
        <w:spacing w:before="120" w:after="120"/>
        <w:ind w:left="397"/>
        <w:rPr>
          <w:szCs w:val="22"/>
          <w:u w:val="single"/>
        </w:rPr>
      </w:pPr>
      <w:r w:rsidRPr="00FF3C0C">
        <w:t xml:space="preserve">e) </w:t>
      </w:r>
      <w:r w:rsidRPr="00FF3C0C">
        <w:rPr>
          <w:szCs w:val="22"/>
          <w:u w:val="single"/>
        </w:rPr>
        <w:t>Manquement aux obligations, irrégularités ou fraude</w:t>
      </w:r>
    </w:p>
    <w:p w14:paraId="612A8184" w14:textId="77777777" w:rsidR="00A80223" w:rsidRPr="00FF3C0C" w:rsidRDefault="00A80223" w:rsidP="00A80223">
      <w:pPr>
        <w:spacing w:before="120" w:after="120"/>
        <w:ind w:left="397"/>
        <w:rPr>
          <w:szCs w:val="22"/>
        </w:rPr>
      </w:pPr>
      <w:r w:rsidRPr="00FF3C0C">
        <w:t>L’administration contractante se réserve le droit de suspendre ou d’annuler la procédure lorsqu’il s’avère que la procédure d’attribution a été entachée d’un manquement aux obligations, d’irrégularités ou de fraude. Lorsqu’un manquement aux obligations, des irrégularités ou des comportements frauduleux sont découverts après l’attribution du marché, l’administration contractante peut s’abstenir de conclure le contrat.</w:t>
      </w:r>
    </w:p>
    <w:p w14:paraId="36B798CB" w14:textId="77777777" w:rsidR="00357CC0" w:rsidRPr="00FF3C0C" w:rsidRDefault="0009588C" w:rsidP="004741A1">
      <w:pPr>
        <w:pStyle w:val="Guidelines2"/>
      </w:pPr>
      <w:bookmarkStart w:id="11" w:name="_Toc75362979"/>
      <w:bookmarkStart w:id="12" w:name="_Toc75363202"/>
      <w:bookmarkStart w:id="13" w:name="_Toc75362980"/>
      <w:bookmarkStart w:id="14" w:name="_Toc75363203"/>
      <w:bookmarkStart w:id="15" w:name="_Toc75362981"/>
      <w:bookmarkStart w:id="16" w:name="_Toc75363204"/>
      <w:bookmarkStart w:id="17" w:name="_Toc104797765"/>
      <w:bookmarkEnd w:id="11"/>
      <w:bookmarkEnd w:id="12"/>
      <w:bookmarkEnd w:id="13"/>
      <w:bookmarkEnd w:id="14"/>
      <w:bookmarkEnd w:id="15"/>
      <w:bookmarkEnd w:id="16"/>
      <w:r w:rsidRPr="00FF3C0C">
        <w:lastRenderedPageBreak/>
        <w:t>Présentation de la demande et procédures à suivre</w:t>
      </w:r>
      <w:bookmarkEnd w:id="17"/>
    </w:p>
    <w:p w14:paraId="20D8F6BB" w14:textId="77777777" w:rsidR="00A177A6" w:rsidRPr="00FF3C0C" w:rsidRDefault="00A177A6" w:rsidP="00A177A6">
      <w:pPr>
        <w:rPr>
          <w:lang w:val="fr-BE"/>
        </w:rPr>
      </w:pPr>
      <w:r w:rsidRPr="00FF3C0C">
        <w:rPr>
          <w:lang w:val="fr-BE"/>
        </w:rPr>
        <w:t>Les informations dans PADOR seront utilisées dans le cadre du présent appel à manifestation d’intérêt. Dans le formulaire de demande de subvention, le demandeur, le codemandeur et l’entité affiliée devront préciser leur référence PADOR et s’assurer que les données soient actualisées.</w:t>
      </w:r>
    </w:p>
    <w:p w14:paraId="3E7E2DF7" w14:textId="1163E424" w:rsidR="00A177A6" w:rsidRPr="006D3C1C" w:rsidRDefault="006D3C1C" w:rsidP="00D65686">
      <w:pPr>
        <w:pStyle w:val="Guidelines3"/>
      </w:pPr>
      <w:bookmarkStart w:id="18" w:name="_Toc88143710"/>
      <w:r>
        <w:t>Formulaire</w:t>
      </w:r>
      <w:r w:rsidR="00A177A6" w:rsidRPr="006D3C1C">
        <w:t xml:space="preserve"> de demande</w:t>
      </w:r>
      <w:bookmarkEnd w:id="18"/>
      <w:r w:rsidR="00A177A6" w:rsidRPr="006D3C1C">
        <w:t xml:space="preserve">  </w:t>
      </w:r>
    </w:p>
    <w:p w14:paraId="09B621E5" w14:textId="77777777" w:rsidR="00A177A6" w:rsidRPr="00FF3C0C" w:rsidRDefault="00A177A6" w:rsidP="00A177A6">
      <w:pPr>
        <w:spacing w:before="120" w:after="120"/>
      </w:pPr>
      <w:r w:rsidRPr="00FF3C0C">
        <w:t xml:space="preserve">Les demandes doivent être soumises conformément aux instructions sur la </w:t>
      </w:r>
      <w:r w:rsidRPr="00FF3C0C">
        <w:rPr>
          <w:b/>
          <w:u w:val="single"/>
        </w:rPr>
        <w:t>demande complète</w:t>
      </w:r>
      <w:r w:rsidRPr="00FF3C0C">
        <w:t xml:space="preserve"> contenues dans le formulaire de demande de subvention joint aux présentes lignes directrices (annexe A). </w:t>
      </w:r>
    </w:p>
    <w:p w14:paraId="2B3EF468" w14:textId="77777777" w:rsidR="00A177A6" w:rsidRPr="00FF3C0C" w:rsidRDefault="00A177A6" w:rsidP="00A177A6">
      <w:pPr>
        <w:spacing w:after="120"/>
      </w:pPr>
      <w:r w:rsidRPr="00FF3C0C">
        <w:t>Les demandeurs doivent respecter scrupuleusement le format du formulaire de demande de subvention et compléter les paragraphes et les pages dans l’ordre.</w:t>
      </w:r>
    </w:p>
    <w:p w14:paraId="293305AF" w14:textId="77777777" w:rsidR="00A177A6" w:rsidRPr="00FF3C0C" w:rsidRDefault="00A177A6" w:rsidP="00A177A6">
      <w:pPr>
        <w:spacing w:after="120"/>
      </w:pPr>
      <w:r w:rsidRPr="00FF3C0C">
        <w:t>Les demandeurs doivent soumettre leur demande en français.</w:t>
      </w:r>
    </w:p>
    <w:p w14:paraId="256DE47D" w14:textId="77777777" w:rsidR="00A177A6" w:rsidRPr="00FF3C0C" w:rsidRDefault="00A177A6" w:rsidP="00A177A6">
      <w:pPr>
        <w:spacing w:after="120"/>
      </w:pPr>
      <w:r w:rsidRPr="00FF3C0C">
        <w:t xml:space="preserve">Veuillez remplir le formulaire de demande complète aussi soigneusement et clairement que possible afin de faciliter son évaluation. </w:t>
      </w:r>
    </w:p>
    <w:p w14:paraId="03E3680E" w14:textId="715D5477" w:rsidR="00A177A6" w:rsidRPr="00FF3C0C" w:rsidRDefault="00A177A6" w:rsidP="00A177A6">
      <w:pPr>
        <w:spacing w:after="120"/>
      </w:pPr>
      <w:r w:rsidRPr="00FF3C0C">
        <w:t xml:space="preserve">Toute erreur ou incohérence majeure relative aux points mentionnés dans les instructions pour l’élaboration de la demande </w:t>
      </w:r>
      <w:r w:rsidR="002F40EB" w:rsidRPr="00FF3C0C">
        <w:t>complète</w:t>
      </w:r>
      <w:r w:rsidRPr="00FF3C0C">
        <w:t xml:space="preserve"> (par exemple si les montants mentionnés dans les feuilles de calcul du budget ne correspondent pas) peut conduire au rejet de la demande.</w:t>
      </w:r>
    </w:p>
    <w:p w14:paraId="461B8FFE" w14:textId="77777777" w:rsidR="00A177A6" w:rsidRPr="00FF3C0C" w:rsidRDefault="00A177A6" w:rsidP="00A177A6">
      <w:pPr>
        <w:spacing w:after="120"/>
      </w:pPr>
      <w:r w:rsidRPr="00FF3C0C">
        <w:t>Des éclaircissements ne seront demandés que lorsque les informations fournies ne sont pas claires et empêchent donc l’administration contractante de réaliser une évaluation objective.</w:t>
      </w:r>
    </w:p>
    <w:p w14:paraId="2A6FD1E0" w14:textId="71C40B37" w:rsidR="00A177A6" w:rsidRPr="00FF3C0C" w:rsidRDefault="002F40EB" w:rsidP="00A177A6">
      <w:pPr>
        <w:spacing w:after="120"/>
        <w:rPr>
          <w:b/>
          <w:snapToGrid/>
        </w:rPr>
      </w:pPr>
      <w:r w:rsidRPr="00FF3C0C">
        <w:rPr>
          <w:snapToGrid/>
        </w:rPr>
        <w:t>Il est à noter que seul</w:t>
      </w:r>
      <w:r w:rsidR="00A177A6" w:rsidRPr="00FF3C0C">
        <w:rPr>
          <w:snapToGrid/>
        </w:rPr>
        <w:t xml:space="preserve"> le formulaire de demande de subvention et les annexes publiées qui doivent être complétées (budget, cadre logique) seront évalués. Il est par conséquent très important que ces documents contiennent TOUTES les informations pertinentes concernant l’action.</w:t>
      </w:r>
      <w:r w:rsidR="00A177A6" w:rsidRPr="00FF3C0C">
        <w:rPr>
          <w:b/>
          <w:snapToGrid/>
        </w:rPr>
        <w:t xml:space="preserve"> </w:t>
      </w:r>
    </w:p>
    <w:p w14:paraId="1ED3469C" w14:textId="77777777" w:rsidR="00A177A6" w:rsidRPr="00FF3C0C" w:rsidRDefault="00A177A6" w:rsidP="00A177A6">
      <w:pPr>
        <w:spacing w:after="120"/>
        <w:rPr>
          <w:b/>
          <w:snapToGrid/>
          <w:szCs w:val="22"/>
        </w:rPr>
      </w:pPr>
      <w:r w:rsidRPr="00FF3C0C">
        <w:rPr>
          <w:b/>
          <w:snapToGrid/>
          <w:szCs w:val="22"/>
        </w:rPr>
        <w:t>Le demandeur chef de file doit également joindre à sa demande le formulaire d’enregistrement PADOR (annexe F) complété pour lui-même, pour chaque codemandeur (le cas échéant) et pour chaque entité affiliée (le cas échéant)</w:t>
      </w:r>
      <w:r w:rsidRPr="00FF3C0C">
        <w:rPr>
          <w:b/>
          <w:szCs w:val="22"/>
        </w:rPr>
        <w:t>.</w:t>
      </w:r>
    </w:p>
    <w:p w14:paraId="2A48860C" w14:textId="77777777" w:rsidR="00A177A6" w:rsidRPr="00FF3C0C" w:rsidRDefault="00A177A6" w:rsidP="00A177A6">
      <w:pPr>
        <w:spacing w:after="120"/>
      </w:pPr>
      <w:r w:rsidRPr="00FF3C0C">
        <w:t>Veuillez noter que les documents suivants doivent être joints au formulaire d’enregistrement PADOR et au formulaire de demande:</w:t>
      </w:r>
    </w:p>
    <w:p w14:paraId="3B4B36C1" w14:textId="77777777" w:rsidR="00A177A6" w:rsidRPr="00FF3C0C" w:rsidRDefault="00A177A6" w:rsidP="00A177A6">
      <w:pPr>
        <w:numPr>
          <w:ilvl w:val="0"/>
          <w:numId w:val="62"/>
        </w:numPr>
        <w:spacing w:after="120"/>
        <w:ind w:left="426"/>
      </w:pPr>
      <w:r w:rsidRPr="00FF3C0C">
        <w:t xml:space="preserve">les statuts ou l’acte constitutif du demandeur chef de file, de chaque codemandeur (le cas échéant) et de chaque entité affiliée (le cas échéant). Lorsqu’au cours des deux années précédant la date limite de réception des demandes, l’administration contractante a reconnu l’éligibilité du demandeur chef de file, des codemandeurs ou des entités affiliées pour un autre appel à propositions relevant de </w:t>
      </w:r>
      <w:r w:rsidRPr="00FF3C0C">
        <w:rPr>
          <w:b/>
          <w:u w:val="single"/>
        </w:rPr>
        <w:t>la même ligne budgétaire</w:t>
      </w:r>
      <w:r w:rsidRPr="00FF3C0C">
        <w:t>, ceux-ci peuvent soumettre, au lieu des statuts ou de l’acte constitutif, une copie du document prouvant leur éligibilité lors d’un appel précédent (par exemple, une copie des conditions particulières d’un contrat de subvention conclu pendant la période de référence), à moins que leur statut juridique ait changé entre-temps.  Cette obligation ne s’applique pas aux organisations internationales ayant signé un accord-cadre avec la Commission européenne;</w:t>
      </w:r>
    </w:p>
    <w:p w14:paraId="4F804D06" w14:textId="77777777" w:rsidR="00A177A6" w:rsidRPr="00FF3C0C" w:rsidRDefault="00A177A6" w:rsidP="00A177A6">
      <w:pPr>
        <w:numPr>
          <w:ilvl w:val="0"/>
          <w:numId w:val="62"/>
        </w:numPr>
        <w:spacing w:after="120"/>
        <w:ind w:left="426"/>
        <w:rPr>
          <w:szCs w:val="22"/>
        </w:rPr>
      </w:pPr>
      <w:r w:rsidRPr="00FF3C0C">
        <w:t>le formulaire «entité légale» (annexe D des présentes lignes directrices) dûment rempli et signé par chacun des demandeurs (c’est-à-dire le demandeur chef de file et chacun des éventuels codemandeurs), accompagné des pièces justificatives qui y sont demandées. Si les demandeurs ont déjà signé un contrat avec l’administration contractante, ils peuvent fournir leur numéro d’entité légale au lieu du formulaire «entité légale» et des pièces justificatives, à moins que leur statut juridique ait changé entre-temps;</w:t>
      </w:r>
    </w:p>
    <w:p w14:paraId="0817C0E4" w14:textId="6B66135D" w:rsidR="00A177A6" w:rsidRPr="00FF3C0C" w:rsidRDefault="00A177A6" w:rsidP="00A177A6">
      <w:pPr>
        <w:numPr>
          <w:ilvl w:val="0"/>
          <w:numId w:val="62"/>
        </w:numPr>
        <w:spacing w:after="120"/>
        <w:ind w:left="426"/>
        <w:rPr>
          <w:szCs w:val="22"/>
        </w:rPr>
      </w:pPr>
      <w:r w:rsidRPr="00FF3C0C">
        <w:t>un formulaire «signalétique financier» du demandeur chef de file (pas du ou des codemandeurs), conforme au modèle joint dans l’annexe E des présentes lignes directrices, certifié par la banque à laquelle le paiement doit être fait. Cette banque devrait être située dans le pays dans lequel le demandeur chef de file est établi. Si le demandeur chef de file a déjà fourni, dans le passé, un formulaire « signalétique financier » pour un contrat dans le cadre duquel la Commission européenne était chargée des paiements et s’il entend utiliser le même compte bancaire, il peut se contenter de fournir une copie du formulaire qu’il a soumis à cette occasion.</w:t>
      </w:r>
    </w:p>
    <w:p w14:paraId="124F98EA" w14:textId="77777777" w:rsidR="00A177A6" w:rsidRPr="00FF3C0C" w:rsidRDefault="00A177A6" w:rsidP="00A177A6">
      <w:pPr>
        <w:spacing w:before="120" w:after="120"/>
        <w:rPr>
          <w:szCs w:val="22"/>
        </w:rPr>
      </w:pPr>
      <w:r w:rsidRPr="00FF3C0C">
        <w:lastRenderedPageBreak/>
        <w:t>En outre, aux fins de l’évaluation de la capacité financière, les documents suivants doivent être soumis</w:t>
      </w:r>
      <w:r w:rsidRPr="00FF3C0C">
        <w:rPr>
          <w:sz w:val="24"/>
          <w:vertAlign w:val="superscript"/>
        </w:rPr>
        <w:footnoteReference w:id="10"/>
      </w:r>
      <w:r w:rsidRPr="00FF3C0C">
        <w:t xml:space="preserve">: </w:t>
      </w:r>
    </w:p>
    <w:p w14:paraId="12A9F153" w14:textId="77777777" w:rsidR="00A177A6" w:rsidRPr="00FF3C0C" w:rsidRDefault="00A177A6" w:rsidP="00A177A6">
      <w:pPr>
        <w:spacing w:after="120"/>
        <w:rPr>
          <w:snapToGrid/>
          <w:szCs w:val="22"/>
        </w:rPr>
      </w:pPr>
      <w:r w:rsidRPr="00FF3C0C">
        <w:rPr>
          <w:snapToGrid/>
          <w:szCs w:val="22"/>
        </w:rPr>
        <w:t>Pour les subventions à l’action d’un montant supérieur à 750 000 EUR ou toute subvention de fonctionnement d’un montant supérieur à 100 000 EUR, le demandeur chef de file doit fournir un rapport d’audit produit par un auditeur externe agréé s’il est disponible, et dans tous les cas si un contrôle légal est exigé par le droit de l’Union ou le droit national. Ce rapport certifie les comptes des trois derniers exercices disponibles au maximum. Dans tous les autres cas, le demandeur fournit une déclaration sur l’honneur signée par son représentant autorisé, qui certifie la validité de ses comptes pour les trois derniers exercices disponibles au maximum. Cette déclaration sur l’honneur doit être datée et signée, soit à la main, soit au moyen d’une signature électronique qualifiée</w:t>
      </w:r>
      <w:r w:rsidRPr="00FF3C0C">
        <w:rPr>
          <w:snapToGrid/>
          <w:sz w:val="24"/>
          <w:szCs w:val="22"/>
          <w:vertAlign w:val="superscript"/>
          <w:lang w:eastAsia="en-GB"/>
        </w:rPr>
        <w:footnoteReference w:id="11"/>
      </w:r>
      <w:r w:rsidRPr="00FF3C0C">
        <w:rPr>
          <w:snapToGrid/>
          <w:szCs w:val="22"/>
        </w:rPr>
        <w:t>, par un représentant autorisé du signataire.</w:t>
      </w:r>
    </w:p>
    <w:p w14:paraId="1C9BA5FE" w14:textId="77777777" w:rsidR="00A177A6" w:rsidRPr="00FF3C0C" w:rsidRDefault="00A177A6" w:rsidP="00A177A6">
      <w:pPr>
        <w:spacing w:after="120"/>
        <w:rPr>
          <w:snapToGrid/>
          <w:szCs w:val="22"/>
        </w:rPr>
      </w:pPr>
      <w:r w:rsidRPr="00FF3C0C">
        <w:rPr>
          <w:snapToGrid/>
          <w:szCs w:val="22"/>
        </w:rPr>
        <w:t>Cette exigence ne s’applique qu’à la première demande introduite par un bénéficiaire auprès d’une même administration contractante lors d’un même exercice.</w:t>
      </w:r>
    </w:p>
    <w:p w14:paraId="1A3BB487" w14:textId="77777777" w:rsidR="00A177A6" w:rsidRPr="00FF3C0C" w:rsidRDefault="00A177A6" w:rsidP="00A177A6">
      <w:pPr>
        <w:spacing w:after="120"/>
        <w:rPr>
          <w:snapToGrid/>
          <w:szCs w:val="22"/>
        </w:rPr>
      </w:pPr>
      <w:r w:rsidRPr="00FF3C0C">
        <w:rPr>
          <w:snapToGrid/>
          <w:szCs w:val="22"/>
        </w:rPr>
        <w:t>Les éventuels codemandeurs ou entités affiliées ne sont pas tenus de fournir un rapport d’audit externe.</w:t>
      </w:r>
    </w:p>
    <w:p w14:paraId="7F895BCE" w14:textId="77777777" w:rsidR="00A177A6" w:rsidRPr="00FF3C0C" w:rsidRDefault="00A177A6" w:rsidP="00A177A6">
      <w:pPr>
        <w:spacing w:after="240"/>
        <w:rPr>
          <w:b/>
          <w:snapToGrid/>
          <w:szCs w:val="22"/>
        </w:rPr>
      </w:pPr>
      <w:r w:rsidRPr="00FF3C0C">
        <w:rPr>
          <w:b/>
          <w:snapToGrid/>
          <w:szCs w:val="22"/>
        </w:rPr>
        <w:t>Aucune annexe supplémentaire ne doit être envoyée.</w:t>
      </w:r>
    </w:p>
    <w:p w14:paraId="5393F9F3" w14:textId="4D5DC24B" w:rsidR="00A177A6" w:rsidRPr="006D3C1C" w:rsidRDefault="00A177A6" w:rsidP="00D65686">
      <w:pPr>
        <w:pStyle w:val="Guidelines3"/>
      </w:pPr>
      <w:bookmarkStart w:id="19" w:name="_Toc88143711"/>
      <w:r w:rsidRPr="006D3C1C">
        <w:t>Où et comment envoyer les demandes?</w:t>
      </w:r>
      <w:bookmarkEnd w:id="19"/>
    </w:p>
    <w:p w14:paraId="6EE8D2E4" w14:textId="77777777" w:rsidR="00A177A6" w:rsidRPr="00FF3C0C" w:rsidRDefault="00A177A6" w:rsidP="00A177A6">
      <w:pPr>
        <w:spacing w:before="120" w:after="120"/>
        <w:rPr>
          <w:szCs w:val="24"/>
          <w:lang w:val="fr-BE"/>
        </w:rPr>
      </w:pPr>
      <w:r w:rsidRPr="00FF3C0C">
        <w:rPr>
          <w:snapToGrid/>
        </w:rPr>
        <w:t>Les demandes doivent être soumises (avec tous leurs documents et annexes</w:t>
      </w:r>
      <w:r w:rsidRPr="00FF3C0C">
        <w:rPr>
          <w:snapToGrid/>
          <w:vertAlign w:val="superscript"/>
        </w:rPr>
        <w:footnoteReference w:id="12"/>
      </w:r>
      <w:r w:rsidRPr="00FF3C0C">
        <w:rPr>
          <w:snapToGrid/>
        </w:rPr>
        <w:t xml:space="preserve">) </w:t>
      </w:r>
      <w:r w:rsidRPr="00FF3C0C">
        <w:rPr>
          <w:szCs w:val="24"/>
        </w:rPr>
        <w:t xml:space="preserve">par courriel électronique à l’adresse suivante : </w:t>
      </w:r>
      <w:hyperlink r:id="rId15" w:history="1">
        <w:r w:rsidRPr="00FF3C0C">
          <w:rPr>
            <w:color w:val="00B0F0"/>
            <w:szCs w:val="24"/>
            <w:u w:val="single"/>
            <w:lang w:val="fr-BE"/>
          </w:rPr>
          <w:t>delegation-burundi-appels-a-propositions@eeas.europa.eu</w:t>
        </w:r>
      </w:hyperlink>
      <w:r w:rsidRPr="00FF3C0C">
        <w:rPr>
          <w:color w:val="00B0F0"/>
          <w:szCs w:val="24"/>
          <w:lang w:val="fr-BE"/>
        </w:rPr>
        <w:t>.</w:t>
      </w:r>
    </w:p>
    <w:p w14:paraId="74EF5914" w14:textId="77777777" w:rsidR="00A177A6" w:rsidRPr="00FF3C0C" w:rsidRDefault="00A177A6" w:rsidP="00A177A6">
      <w:pPr>
        <w:spacing w:after="120"/>
        <w:rPr>
          <w:szCs w:val="22"/>
          <w:lang w:val="fr-BE"/>
        </w:rPr>
      </w:pPr>
      <w:r w:rsidRPr="00FF3C0C">
        <w:rPr>
          <w:szCs w:val="22"/>
          <w:lang w:val="fr-BE"/>
        </w:rPr>
        <w:t xml:space="preserve">L’objet du mail doit porter </w:t>
      </w:r>
      <w:r w:rsidRPr="00FF3C0C">
        <w:rPr>
          <w:b/>
          <w:szCs w:val="22"/>
          <w:u w:val="single"/>
          <w:lang w:val="fr-BE"/>
        </w:rPr>
        <w:t>le numéro de référence et l’intitulé de l’appel, ainsi comme le nom du demandeur chef de file.</w:t>
      </w:r>
      <w:r w:rsidRPr="00FF3C0C">
        <w:rPr>
          <w:szCs w:val="22"/>
          <w:lang w:val="fr-BE"/>
        </w:rPr>
        <w:t xml:space="preserve"> </w:t>
      </w:r>
    </w:p>
    <w:p w14:paraId="1D3955F8" w14:textId="77777777" w:rsidR="00A177A6" w:rsidRPr="00FF3C0C" w:rsidRDefault="00A177A6" w:rsidP="00A177A6">
      <w:pPr>
        <w:spacing w:after="120"/>
        <w:rPr>
          <w:szCs w:val="22"/>
          <w:lang w:val="fr-BE"/>
        </w:rPr>
      </w:pPr>
      <w:r w:rsidRPr="00FF3C0C">
        <w:rPr>
          <w:szCs w:val="22"/>
          <w:lang w:val="fr-BE"/>
        </w:rPr>
        <w:t xml:space="preserve">Le courriel doit préciser la dénomination complète et l’adresse du demandeur chef de file. </w:t>
      </w:r>
    </w:p>
    <w:p w14:paraId="3BA3CEC1" w14:textId="77777777" w:rsidR="00A177A6" w:rsidRPr="00FF3C0C" w:rsidRDefault="00A177A6" w:rsidP="00A177A6">
      <w:pPr>
        <w:spacing w:after="120"/>
        <w:rPr>
          <w:szCs w:val="22"/>
          <w:lang w:val="fr-BE"/>
        </w:rPr>
      </w:pPr>
      <w:r w:rsidRPr="00FF3C0C">
        <w:rPr>
          <w:szCs w:val="22"/>
          <w:lang w:val="fr-BE"/>
        </w:rPr>
        <w:t xml:space="preserve">Les </w:t>
      </w:r>
      <w:r w:rsidRPr="00FF3C0C">
        <w:rPr>
          <w:snapToGrid/>
        </w:rPr>
        <w:t xml:space="preserve">demandes complètes </w:t>
      </w:r>
      <w:r w:rsidRPr="00FF3C0C">
        <w:rPr>
          <w:szCs w:val="22"/>
          <w:lang w:val="fr-BE"/>
        </w:rPr>
        <w:t xml:space="preserve">envoyées par d’autres moyens ou remises à d’autres adresses e-mail seront rejetées. </w:t>
      </w:r>
    </w:p>
    <w:p w14:paraId="163F9CC8" w14:textId="77777777" w:rsidR="00A177A6" w:rsidRPr="00FF3C0C" w:rsidRDefault="00A177A6" w:rsidP="00A177A6">
      <w:pPr>
        <w:rPr>
          <w:b/>
          <w:u w:val="single"/>
        </w:rPr>
      </w:pPr>
      <w:r w:rsidRPr="00FF3C0C">
        <w:rPr>
          <w:b/>
        </w:rPr>
        <w:t xml:space="preserve">Veuillez noter que les demandes incomplètes peuvent être rejetées. Il est conseillé aux demandeurs chefs de file de s’assurer que leur demande est complète en utilisant la liste de contrôle (partie B, section 7, du formulaire de demande de subvention). </w:t>
      </w:r>
    </w:p>
    <w:p w14:paraId="216E4FE4" w14:textId="77777777" w:rsidR="00A177A6" w:rsidRPr="00FF3C0C" w:rsidRDefault="00A177A6" w:rsidP="006D3C1C">
      <w:pPr>
        <w:pStyle w:val="Guidelines3"/>
        <w:rPr>
          <w:b w:val="0"/>
          <w:i w:val="0"/>
        </w:rPr>
      </w:pPr>
      <w:bookmarkStart w:id="20" w:name="_Toc88143712"/>
      <w:r w:rsidRPr="00FF3C0C">
        <w:rPr>
          <w:b w:val="0"/>
          <w:i w:val="0"/>
        </w:rPr>
        <w:t>Date limite de soumission des demandes</w:t>
      </w:r>
      <w:bookmarkEnd w:id="20"/>
    </w:p>
    <w:p w14:paraId="1FFBB040" w14:textId="719968BD" w:rsidR="00A177A6" w:rsidRPr="00FF3C0C" w:rsidRDefault="00A177A6" w:rsidP="00A177A6">
      <w:pPr>
        <w:spacing w:before="120" w:after="120"/>
      </w:pPr>
      <w:r w:rsidRPr="00FF3C0C">
        <w:t xml:space="preserve">La date limite de soumission des demandes complètes est fixée au </w:t>
      </w:r>
      <w:r w:rsidR="00BE1B2B" w:rsidRPr="00FF3C0C">
        <w:rPr>
          <w:b/>
        </w:rPr>
        <w:t>22/08/2022</w:t>
      </w:r>
      <w:r w:rsidRPr="00FF3C0C">
        <w:rPr>
          <w:b/>
          <w:szCs w:val="24"/>
          <w:lang w:val="fr-BE"/>
        </w:rPr>
        <w:t xml:space="preserve"> à 23h59 (date et heure de Bujumbura) </w:t>
      </w:r>
      <w:r w:rsidRPr="00FF3C0C">
        <w:rPr>
          <w:szCs w:val="24"/>
          <w:lang w:val="fr-BE"/>
        </w:rPr>
        <w:t>telle que prouvé par l’heure et la date d’envoi dans le courriel de transmission</w:t>
      </w:r>
      <w:r w:rsidRPr="00FF3C0C">
        <w:t>. Toute demande soumise après la date limite sera automatiquement rejetée.</w:t>
      </w:r>
    </w:p>
    <w:p w14:paraId="15A55999" w14:textId="77777777" w:rsidR="00A177A6" w:rsidRPr="00FF3C0C" w:rsidRDefault="00A177A6" w:rsidP="00A177A6">
      <w:pPr>
        <w:spacing w:after="240"/>
        <w:rPr>
          <w:rFonts w:eastAsia="Calibri"/>
          <w:sz w:val="24"/>
          <w:szCs w:val="24"/>
        </w:rPr>
      </w:pPr>
      <w:r w:rsidRPr="00FF3C0C">
        <w:t xml:space="preserve">L’administration contractante peut, pour des raisons d’efficience administrative, rejeter toute demande remise à temps mais reçue, pour des raisons échappant au contrôle de l’administration contractante, après la date limite précisée ci-dessus, si le fait d’accepter des demandes postées à temps mais arrivées tardivement risque de retarder exagérément la procédure d’attribution ou de remettre en cause des décisions déjà prises et communiquées (voir le calendrier indicatif figurant à la section 2.5.4). </w:t>
      </w:r>
    </w:p>
    <w:p w14:paraId="036B0DF7" w14:textId="77777777" w:rsidR="00A177A6" w:rsidRPr="00FF3C0C" w:rsidRDefault="00A177A6" w:rsidP="006D3C1C">
      <w:pPr>
        <w:pStyle w:val="Guidelines3"/>
        <w:rPr>
          <w:b w:val="0"/>
          <w:i w:val="0"/>
          <w:szCs w:val="22"/>
        </w:rPr>
      </w:pPr>
      <w:bookmarkStart w:id="21" w:name="_Toc88143713"/>
      <w:r w:rsidRPr="00FF3C0C">
        <w:rPr>
          <w:b w:val="0"/>
          <w:i w:val="0"/>
        </w:rPr>
        <w:t>Autres informations sur les demandes</w:t>
      </w:r>
      <w:bookmarkEnd w:id="21"/>
      <w:r w:rsidRPr="00FF3C0C">
        <w:rPr>
          <w:b w:val="0"/>
          <w:i w:val="0"/>
        </w:rPr>
        <w:t xml:space="preserve"> </w:t>
      </w:r>
    </w:p>
    <w:p w14:paraId="76123DCE" w14:textId="77777777" w:rsidR="00BE1B2B" w:rsidRPr="00FF3C0C" w:rsidRDefault="00BE1B2B" w:rsidP="00A177A6">
      <w:pPr>
        <w:spacing w:after="120"/>
      </w:pPr>
    </w:p>
    <w:p w14:paraId="4667C4C6" w14:textId="610833CE" w:rsidR="00A177A6" w:rsidRPr="00FF3C0C" w:rsidRDefault="00A177A6" w:rsidP="00A177A6">
      <w:pPr>
        <w:spacing w:after="120"/>
      </w:pPr>
      <w:r w:rsidRPr="00FF3C0C">
        <w:t xml:space="preserve">Les demandeurs peuvent envoyer leurs questions par </w:t>
      </w:r>
      <w:r w:rsidRPr="00FF3C0C">
        <w:rPr>
          <w:b/>
        </w:rPr>
        <w:t>courrier électronique,</w:t>
      </w:r>
      <w:r w:rsidRPr="00FF3C0C">
        <w:t xml:space="preserve"> au plus tard 21 jours avant la date limite de soumission des demandes </w:t>
      </w:r>
      <w:r w:rsidRPr="00FF3C0C">
        <w:rPr>
          <w:b/>
        </w:rPr>
        <w:t xml:space="preserve">(à savoir le </w:t>
      </w:r>
      <w:r w:rsidR="006D572D" w:rsidRPr="00FF3C0C">
        <w:rPr>
          <w:b/>
        </w:rPr>
        <w:t>01</w:t>
      </w:r>
      <w:r w:rsidRPr="00FF3C0C">
        <w:rPr>
          <w:b/>
        </w:rPr>
        <w:t>/0</w:t>
      </w:r>
      <w:r w:rsidR="00BE1B2B" w:rsidRPr="00FF3C0C">
        <w:rPr>
          <w:b/>
        </w:rPr>
        <w:t>8</w:t>
      </w:r>
      <w:r w:rsidRPr="00FF3C0C">
        <w:rPr>
          <w:b/>
        </w:rPr>
        <w:t>/2022), à l’adresse</w:t>
      </w:r>
      <w:r w:rsidRPr="00FF3C0C">
        <w:t xml:space="preserve"> figurant ci-après, en indiquant clairement la référence de l’appel à manifestation d’intérêt :</w:t>
      </w:r>
    </w:p>
    <w:p w14:paraId="15F4B294" w14:textId="77777777" w:rsidR="00A177A6" w:rsidRPr="00FF3C0C" w:rsidRDefault="00A177A6" w:rsidP="00A177A6">
      <w:pPr>
        <w:spacing w:after="120"/>
      </w:pPr>
      <w:r w:rsidRPr="00FF3C0C">
        <w:t xml:space="preserve">Adresse électronique: </w:t>
      </w:r>
      <w:hyperlink r:id="rId16" w:history="1">
        <w:r w:rsidRPr="00FF3C0C">
          <w:rPr>
            <w:color w:val="00B0F0"/>
            <w:szCs w:val="24"/>
            <w:u w:val="single"/>
            <w:lang w:val="fr-BE"/>
          </w:rPr>
          <w:t>delegation-burundi-appels-a-propositions@eeas.europa.eu</w:t>
        </w:r>
      </w:hyperlink>
    </w:p>
    <w:p w14:paraId="677398A7" w14:textId="77777777" w:rsidR="00A177A6" w:rsidRPr="00FF3C0C" w:rsidRDefault="00A177A6" w:rsidP="00A177A6">
      <w:pPr>
        <w:spacing w:after="120"/>
      </w:pPr>
      <w:r w:rsidRPr="00FF3C0C">
        <w:lastRenderedPageBreak/>
        <w:t>L’administration contractante n’est pas tenue de fournir des éclaircissements sur des questions reçues après cette date.</w:t>
      </w:r>
    </w:p>
    <w:p w14:paraId="58B4240B" w14:textId="5917ADB0" w:rsidR="00A177A6" w:rsidRPr="00FF3C0C" w:rsidRDefault="00A177A6" w:rsidP="00A177A6">
      <w:pPr>
        <w:spacing w:after="120"/>
      </w:pPr>
      <w:r w:rsidRPr="00FF3C0C">
        <w:t xml:space="preserve">Les réponses seront communiquées au plus tard 11 jours avant la date limite de soumission des demandes (à savoir le </w:t>
      </w:r>
      <w:r w:rsidRPr="00FF3C0C">
        <w:rPr>
          <w:b/>
        </w:rPr>
        <w:t>1</w:t>
      </w:r>
      <w:r w:rsidR="006D572D" w:rsidRPr="00FF3C0C">
        <w:rPr>
          <w:b/>
        </w:rPr>
        <w:t>1/08</w:t>
      </w:r>
      <w:r w:rsidRPr="00FF3C0C">
        <w:rPr>
          <w:b/>
        </w:rPr>
        <w:t>/2022).</w:t>
      </w:r>
    </w:p>
    <w:p w14:paraId="11D7B0FC" w14:textId="77777777" w:rsidR="00A177A6" w:rsidRPr="00FF3C0C" w:rsidRDefault="00A177A6" w:rsidP="00A177A6">
      <w:pPr>
        <w:spacing w:after="120"/>
        <w:rPr>
          <w:szCs w:val="22"/>
        </w:rPr>
      </w:pPr>
      <w:r w:rsidRPr="00FF3C0C">
        <w:t xml:space="preserve">Afin de garantir l’égalité de traitement des demandeurs, </w:t>
      </w:r>
      <w:r w:rsidRPr="00FF3C0C">
        <w:rPr>
          <w:b/>
          <w:u w:val="single"/>
        </w:rPr>
        <w:t>l’administration contractante ne peut pas donner d’avis préalable sur l’éligibilité</w:t>
      </w:r>
      <w:r w:rsidRPr="00FF3C0C">
        <w:t xml:space="preserve"> des demandeurs chefs de file, des codemandeurs, d’une/d’entité(s) affiliée(s), d’une action ou d’activités spécifiques.</w:t>
      </w:r>
    </w:p>
    <w:p w14:paraId="1AAD781C" w14:textId="77777777" w:rsidR="00A177A6" w:rsidRPr="00FF3C0C" w:rsidRDefault="00A177A6" w:rsidP="00A177A6">
      <w:pPr>
        <w:spacing w:after="120"/>
      </w:pPr>
      <w:r w:rsidRPr="00FF3C0C">
        <w:t xml:space="preserve">Les questions susceptibles d’intéresser d’autres demandeurs, ainsi que leurs réponses, seront publiées sur le site internet où l’appel a été publié : le site internet de </w:t>
      </w:r>
      <w:r w:rsidRPr="00FF3C0C">
        <w:rPr>
          <w:szCs w:val="24"/>
          <w:lang w:val="fr-BE"/>
        </w:rPr>
        <w:t>la Délégation de l’UE</w:t>
      </w:r>
      <w:r w:rsidRPr="00FF3C0C">
        <w:t xml:space="preserve"> au Burundi, à l’adresse suivante </w:t>
      </w:r>
      <w:hyperlink r:id="rId17" w:history="1">
        <w:r w:rsidRPr="00FF3C0C">
          <w:rPr>
            <w:szCs w:val="24"/>
            <w:u w:val="single"/>
            <w:lang w:val="fr-BE"/>
          </w:rPr>
          <w:t>https://eeas.europa.eu/delegations/burundi_fr</w:t>
        </w:r>
      </w:hyperlink>
      <w:r w:rsidRPr="00FF3C0C">
        <w:t>. Il est donc recommandé de consulter régulièrement le site internet dont l’adresse figure ci-dessus pour être informé des questions et des réponses publiées.</w:t>
      </w:r>
    </w:p>
    <w:p w14:paraId="0BE5855E" w14:textId="77777777" w:rsidR="00A177A6" w:rsidRPr="00FF3C0C" w:rsidRDefault="00A177A6" w:rsidP="00A177A6">
      <w:pPr>
        <w:spacing w:after="120"/>
      </w:pPr>
      <w:r w:rsidRPr="00FF3C0C">
        <w:t xml:space="preserve">Veuillez noter que l’administration contractante peut décider d’annuler la procédure d’appel à manifestation d’intérêt à tout stade de cette procédure, conformément aux conditions énoncées à la section 6.5.9 du PRAG. </w:t>
      </w:r>
    </w:p>
    <w:p w14:paraId="75F65CF2" w14:textId="0E15A0F3" w:rsidR="00A177A6" w:rsidRPr="00FF3C0C" w:rsidRDefault="00A177A6" w:rsidP="006D3C1C">
      <w:pPr>
        <w:pStyle w:val="Guidelines2"/>
        <w:rPr>
          <w:b w:val="0"/>
          <w:i/>
          <w:smallCaps w:val="0"/>
        </w:rPr>
      </w:pPr>
      <w:bookmarkStart w:id="22" w:name="_Toc88143714"/>
      <w:bookmarkStart w:id="23" w:name="_Toc104797766"/>
      <w:r w:rsidRPr="00FF3C0C">
        <w:rPr>
          <w:b w:val="0"/>
          <w:smallCaps w:val="0"/>
        </w:rPr>
        <w:t>É</w:t>
      </w:r>
      <w:r w:rsidR="00D65686">
        <w:rPr>
          <w:b w:val="0"/>
          <w:smallCaps w:val="0"/>
        </w:rPr>
        <w:t>VALUATION ET SELECTION DES DEMANDES</w:t>
      </w:r>
      <w:bookmarkEnd w:id="22"/>
      <w:bookmarkEnd w:id="23"/>
    </w:p>
    <w:p w14:paraId="0758A4BB" w14:textId="77777777" w:rsidR="00A177A6" w:rsidRPr="00FF3C0C" w:rsidRDefault="00A177A6" w:rsidP="00A177A6">
      <w:pPr>
        <w:spacing w:after="120"/>
      </w:pPr>
      <w:r w:rsidRPr="00FF3C0C">
        <w:t>Les demandes seront examinées et évaluées par l’administration contractante avec l’aide possible d’assesseurs externes. Toutes les demandes seront évaluées selon les étapes et critères décrits ci-après.</w:t>
      </w:r>
    </w:p>
    <w:p w14:paraId="6EB4544D" w14:textId="77777777" w:rsidR="00A177A6" w:rsidRPr="00FF3C0C" w:rsidRDefault="00A177A6" w:rsidP="00A177A6">
      <w:pPr>
        <w:spacing w:after="240"/>
      </w:pPr>
      <w:r w:rsidRPr="00FF3C0C">
        <w:t xml:space="preserve">Si l’examen de la demande révèle que l’action proposée ne satisfait pas aux </w:t>
      </w:r>
      <w:r w:rsidRPr="00FF3C0C">
        <w:rPr>
          <w:u w:val="single"/>
        </w:rPr>
        <w:t>critères d’éligibilité</w:t>
      </w:r>
      <w:r w:rsidRPr="00FF3C0C">
        <w:t xml:space="preserve"> énoncés à la section 2.1, la demande sera rejetée pour ce seul motif. </w:t>
      </w:r>
    </w:p>
    <w:p w14:paraId="1712FAEC" w14:textId="77777777" w:rsidR="00A177A6" w:rsidRPr="00FF3C0C" w:rsidRDefault="00A177A6" w:rsidP="00A177A6">
      <w:pPr>
        <w:numPr>
          <w:ilvl w:val="0"/>
          <w:numId w:val="29"/>
        </w:numPr>
        <w:tabs>
          <w:tab w:val="left" w:pos="426"/>
          <w:tab w:val="left" w:pos="1701"/>
        </w:tabs>
        <w:spacing w:after="240"/>
        <w:ind w:left="1701" w:hanging="1701"/>
        <w:jc w:val="left"/>
        <w:rPr>
          <w:b/>
          <w:sz w:val="24"/>
          <w:szCs w:val="24"/>
        </w:rPr>
      </w:pPr>
      <w:r w:rsidRPr="00FF3C0C">
        <w:rPr>
          <w:b/>
          <w:sz w:val="24"/>
          <w:szCs w:val="24"/>
        </w:rPr>
        <w:t>ÉTAPE 1:</w:t>
      </w:r>
      <w:r w:rsidRPr="00FF3C0C">
        <w:rPr>
          <w:b/>
          <w:sz w:val="24"/>
          <w:szCs w:val="24"/>
        </w:rPr>
        <w:tab/>
        <w:t xml:space="preserve">OUVERTURE, VÉRIFICATION ADMINISTRATIVE ET ÉVALUATION DES </w:t>
      </w:r>
      <w:r w:rsidRPr="00FF3C0C">
        <w:rPr>
          <w:b/>
          <w:sz w:val="24"/>
        </w:rPr>
        <w:t>DEMANDES COMPLÈTES</w:t>
      </w:r>
    </w:p>
    <w:p w14:paraId="4E30E768" w14:textId="77777777" w:rsidR="00A177A6" w:rsidRPr="00FF3C0C" w:rsidRDefault="00A177A6" w:rsidP="00A177A6">
      <w:pPr>
        <w:spacing w:after="120"/>
      </w:pPr>
      <w:r w:rsidRPr="00FF3C0C">
        <w:t>Au stade de l’ouverture et de la vérification administrative, les éléments suivants seront évalués:</w:t>
      </w:r>
    </w:p>
    <w:p w14:paraId="452A590C" w14:textId="77777777" w:rsidR="00A177A6" w:rsidRPr="00FF3C0C" w:rsidRDefault="00A177A6" w:rsidP="00A177A6">
      <w:pPr>
        <w:numPr>
          <w:ilvl w:val="2"/>
          <w:numId w:val="30"/>
        </w:numPr>
        <w:spacing w:after="120"/>
        <w:ind w:left="709"/>
      </w:pPr>
      <w:r w:rsidRPr="00FF3C0C">
        <w:t>respect de la date limite, faute de quoi la demande sera automatiquement rejetée;</w:t>
      </w:r>
    </w:p>
    <w:p w14:paraId="04A6FA27" w14:textId="77777777" w:rsidR="00A177A6" w:rsidRPr="00FF3C0C" w:rsidRDefault="00A177A6" w:rsidP="00A177A6">
      <w:pPr>
        <w:numPr>
          <w:ilvl w:val="0"/>
          <w:numId w:val="30"/>
        </w:numPr>
        <w:spacing w:after="120"/>
      </w:pPr>
      <w:r w:rsidRPr="00FF3C0C">
        <w:t xml:space="preserve">respect, par la demande complète, de tous les critères de la liste de contrôle figurant dans la partie B, section 7, du formulaire de demande de subvention. Cette évaluation comprend également une appréciation de l’éligibilité de l’action. Si l’une des informations demandées manque ou est incorrecte, la demande peut être rejetée pour ce </w:t>
      </w:r>
      <w:r w:rsidRPr="00FF3C0C">
        <w:rPr>
          <w:b/>
          <w:u w:val="single"/>
        </w:rPr>
        <w:t>seul</w:t>
      </w:r>
      <w:r w:rsidRPr="00FF3C0C">
        <w:t xml:space="preserve"> motif et elle ne sera pas évaluée plus avant.</w:t>
      </w:r>
    </w:p>
    <w:p w14:paraId="14D76703" w14:textId="77777777" w:rsidR="00A177A6" w:rsidRPr="00FF3C0C" w:rsidRDefault="00A177A6" w:rsidP="00A177A6">
      <w:pPr>
        <w:spacing w:after="120"/>
      </w:pPr>
      <w:r w:rsidRPr="00FF3C0C">
        <w:t>Les demandes complètes qui passent avec succès l’étape de l’ouverture et de la vérification administrative conformément aux instructions ci-dessus sont ensuite évaluées au regard de leur qualité, y compris en ce qui concerne le budget proposé et la capacité des demandeurs et de l’entité ou des entités affiliées, sur la base des critères d’évaluation de la grille d’évaluation reproduite ci-après. Il existe deux types de critères d’évaluation : les critères de sélection et les critères d’attribution.</w:t>
      </w:r>
    </w:p>
    <w:p w14:paraId="2697A473" w14:textId="77777777" w:rsidR="00A177A6" w:rsidRPr="00FF3C0C" w:rsidRDefault="00A177A6" w:rsidP="00A177A6">
      <w:pPr>
        <w:spacing w:after="120"/>
      </w:pPr>
      <w:r w:rsidRPr="00FF3C0C">
        <w:rPr>
          <w:b/>
          <w:u w:val="single"/>
        </w:rPr>
        <w:t>Les critères de sélection</w:t>
      </w:r>
      <w:r w:rsidRPr="00FF3C0C">
        <w:t xml:space="preserve"> permettent d’évaluer la capacité opérationnelle du ou des demandeurs et de l’entité ou des entités affiliées et la capacité financière du demandeur chef de file; ils servent à vérifier que ceux-ci :</w:t>
      </w:r>
    </w:p>
    <w:p w14:paraId="228C98C2" w14:textId="77777777" w:rsidR="00A177A6" w:rsidRPr="00FF3C0C" w:rsidRDefault="00A177A6" w:rsidP="00A177A6">
      <w:pPr>
        <w:numPr>
          <w:ilvl w:val="0"/>
          <w:numId w:val="32"/>
        </w:numPr>
        <w:spacing w:after="120"/>
      </w:pPr>
      <w:r w:rsidRPr="00FF3C0C">
        <w:t>disposent de sources de financement stables et suffisantes pour garantir leur activité tout au long de l’action proposée et, si nécessaire, pour participer à son financement (ce point concerne uniquement les demandeurs chefs de file);</w:t>
      </w:r>
    </w:p>
    <w:p w14:paraId="06CD212C" w14:textId="77777777" w:rsidR="00A177A6" w:rsidRPr="00FF3C0C" w:rsidRDefault="00A177A6" w:rsidP="00A177A6">
      <w:pPr>
        <w:numPr>
          <w:ilvl w:val="0"/>
          <w:numId w:val="32"/>
        </w:numPr>
        <w:spacing w:after="240"/>
      </w:pPr>
      <w:r w:rsidRPr="00FF3C0C">
        <w:t>disposent de la capacité de gestion et des compétences et qualifications professionnelles requises pour mener à bien l’action proposée. Ce point concerne les demandeurs et toute entité affiliée.</w:t>
      </w:r>
    </w:p>
    <w:p w14:paraId="36977E11" w14:textId="77777777" w:rsidR="00A177A6" w:rsidRPr="00FF3C0C" w:rsidRDefault="00A177A6" w:rsidP="00A177A6">
      <w:r w:rsidRPr="00FF3C0C">
        <w:rPr>
          <w:b/>
          <w:u w:val="single"/>
        </w:rPr>
        <w:t>Les critères d’attribution</w:t>
      </w:r>
      <w:r w:rsidRPr="00FF3C0C">
        <w:t xml:space="preserve"> permettent d’évaluer la qualité des demandes au regard des objectifs et des priorités fixées dans les lignes directrices et d’octroyer des subventions aux projets qui maximisent l’efficacité globale de l’appel à manifestation d’intérêt. Ils aident à sélectionner les demandes dont l’administration contractante peut être sûre qu’elles respecteront ses objectifs et priorités. Ils concernent la pertinence de l’action et sa cohérence avec les objectifs de l’appel à manifestation d’intérêt, la qualité, l’impact escompté, la durabilité de l’action ainsi que son efficacité par rapport aux coûts.</w:t>
      </w:r>
    </w:p>
    <w:p w14:paraId="6CCC10AA" w14:textId="77777777" w:rsidR="00A177A6" w:rsidRPr="00FF3C0C" w:rsidRDefault="00A177A6" w:rsidP="00A177A6">
      <w:pPr>
        <w:spacing w:after="0"/>
        <w:rPr>
          <w:i/>
        </w:rPr>
      </w:pPr>
      <w:r w:rsidRPr="00FF3C0C">
        <w:rPr>
          <w:i/>
        </w:rPr>
        <w:t>Notation:</w:t>
      </w:r>
    </w:p>
    <w:p w14:paraId="6BA83654" w14:textId="77777777" w:rsidR="00A177A6" w:rsidRPr="00FF3C0C" w:rsidRDefault="00A177A6" w:rsidP="00A177A6">
      <w:pPr>
        <w:spacing w:after="240"/>
      </w:pPr>
      <w:r w:rsidRPr="00FF3C0C">
        <w:lastRenderedPageBreak/>
        <w:t xml:space="preserve">Les critères d’évaluation sont classés en rubriques et sous-rubriques. Chaque sous-rubrique se voit attribuer une note comprise entre 1 et 5 comme suit: 1 = très insuffisant; 2 = insuffisant; 3 = satisfaisant; 4 = bon; 5 = très bon. </w:t>
      </w:r>
    </w:p>
    <w:p w14:paraId="2F391600" w14:textId="77777777" w:rsidR="00A177A6" w:rsidRPr="00FF3C0C" w:rsidRDefault="00A177A6" w:rsidP="00A177A6">
      <w:pPr>
        <w:spacing w:after="120"/>
        <w:rPr>
          <w:b/>
        </w:rPr>
      </w:pPr>
      <w:r w:rsidRPr="00FF3C0C">
        <w:rPr>
          <w:b/>
        </w:rPr>
        <w:t>Grille d’évaluation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A177A6" w:rsidRPr="00FF3C0C" w14:paraId="2D30F9F4" w14:textId="77777777" w:rsidTr="002F40EB">
        <w:tc>
          <w:tcPr>
            <w:tcW w:w="8472" w:type="dxa"/>
            <w:vAlign w:val="center"/>
          </w:tcPr>
          <w:p w14:paraId="3C0DBD9D" w14:textId="77777777" w:rsidR="00A177A6" w:rsidRPr="00FF3C0C" w:rsidRDefault="00A177A6" w:rsidP="00A177A6">
            <w:pPr>
              <w:spacing w:before="120"/>
              <w:rPr>
                <w:b/>
                <w:szCs w:val="22"/>
              </w:rPr>
            </w:pPr>
            <w:r w:rsidRPr="00FF3C0C">
              <w:rPr>
                <w:b/>
                <w:szCs w:val="22"/>
              </w:rPr>
              <w:t>Rubrique</w:t>
            </w:r>
          </w:p>
        </w:tc>
        <w:tc>
          <w:tcPr>
            <w:tcW w:w="1275" w:type="dxa"/>
            <w:vAlign w:val="center"/>
          </w:tcPr>
          <w:p w14:paraId="7630120A" w14:textId="77777777" w:rsidR="00A177A6" w:rsidRPr="00FF3C0C" w:rsidRDefault="00A177A6" w:rsidP="00A177A6">
            <w:pPr>
              <w:spacing w:before="120"/>
              <w:jc w:val="center"/>
              <w:rPr>
                <w:b/>
                <w:szCs w:val="22"/>
              </w:rPr>
            </w:pPr>
            <w:r w:rsidRPr="00FF3C0C">
              <w:rPr>
                <w:b/>
                <w:szCs w:val="22"/>
              </w:rPr>
              <w:t>Note maximale</w:t>
            </w:r>
          </w:p>
        </w:tc>
      </w:tr>
      <w:tr w:rsidR="00A177A6" w:rsidRPr="00FF3C0C" w14:paraId="5E479BAF" w14:textId="77777777" w:rsidTr="002F40EB">
        <w:tc>
          <w:tcPr>
            <w:tcW w:w="8472" w:type="dxa"/>
            <w:shd w:val="pct10" w:color="auto" w:fill="FFFFFF"/>
            <w:vAlign w:val="center"/>
          </w:tcPr>
          <w:p w14:paraId="4AF1C3E8" w14:textId="77777777" w:rsidR="00A177A6" w:rsidRPr="00FF3C0C" w:rsidRDefault="00A177A6" w:rsidP="00A177A6">
            <w:pPr>
              <w:spacing w:before="120"/>
              <w:rPr>
                <w:szCs w:val="22"/>
              </w:rPr>
            </w:pPr>
            <w:r w:rsidRPr="00FF3C0C">
              <w:rPr>
                <w:b/>
                <w:szCs w:val="22"/>
              </w:rPr>
              <w:t>1. Capacité financière et opérationnelle</w:t>
            </w:r>
          </w:p>
        </w:tc>
        <w:tc>
          <w:tcPr>
            <w:tcW w:w="1275" w:type="dxa"/>
            <w:shd w:val="pct10" w:color="auto" w:fill="FFFFFF"/>
            <w:vAlign w:val="center"/>
          </w:tcPr>
          <w:p w14:paraId="37F572F3" w14:textId="77777777" w:rsidR="00A177A6" w:rsidRPr="00FF3C0C" w:rsidRDefault="00A177A6" w:rsidP="00A177A6">
            <w:pPr>
              <w:spacing w:before="120"/>
              <w:jc w:val="center"/>
              <w:rPr>
                <w:b/>
                <w:szCs w:val="22"/>
              </w:rPr>
            </w:pPr>
            <w:r w:rsidRPr="00FF3C0C">
              <w:rPr>
                <w:b/>
                <w:szCs w:val="22"/>
              </w:rPr>
              <w:t>20</w:t>
            </w:r>
          </w:p>
        </w:tc>
      </w:tr>
      <w:tr w:rsidR="00A177A6" w:rsidRPr="00FF3C0C" w14:paraId="6D000061" w14:textId="77777777" w:rsidTr="002F40EB">
        <w:tc>
          <w:tcPr>
            <w:tcW w:w="8472" w:type="dxa"/>
          </w:tcPr>
          <w:p w14:paraId="7C2C6662" w14:textId="77777777" w:rsidR="00A177A6" w:rsidRPr="00FF3C0C" w:rsidRDefault="00A177A6" w:rsidP="00A177A6">
            <w:pPr>
              <w:spacing w:before="120"/>
              <w:ind w:left="425" w:hanging="425"/>
              <w:rPr>
                <w:szCs w:val="22"/>
              </w:rPr>
            </w:pPr>
            <w:r w:rsidRPr="00FF3C0C">
              <w:t>1.1</w:t>
            </w:r>
            <w:r w:rsidRPr="00FF3C0C">
              <w:tab/>
              <w:t xml:space="preserve">Les demandeurs et, s’il y a lieu, leur(s) entité(s) affiliée(s) possèdent-ils en interne une expérience suffisante en matière de gestion de projet? </w:t>
            </w:r>
          </w:p>
        </w:tc>
        <w:tc>
          <w:tcPr>
            <w:tcW w:w="1275" w:type="dxa"/>
          </w:tcPr>
          <w:p w14:paraId="4E60A753" w14:textId="77777777" w:rsidR="00A177A6" w:rsidRPr="00FF3C0C" w:rsidRDefault="00A177A6" w:rsidP="00A177A6">
            <w:pPr>
              <w:spacing w:before="120"/>
              <w:jc w:val="center"/>
              <w:rPr>
                <w:szCs w:val="22"/>
              </w:rPr>
            </w:pPr>
            <w:r w:rsidRPr="00FF3C0C">
              <w:t>5</w:t>
            </w:r>
          </w:p>
        </w:tc>
      </w:tr>
      <w:tr w:rsidR="00A177A6" w:rsidRPr="00FF3C0C" w14:paraId="3942D320" w14:textId="77777777" w:rsidTr="002F40EB">
        <w:tc>
          <w:tcPr>
            <w:tcW w:w="8472" w:type="dxa"/>
          </w:tcPr>
          <w:p w14:paraId="341B724A" w14:textId="77777777" w:rsidR="00A177A6" w:rsidRPr="00FF3C0C" w:rsidRDefault="00A177A6" w:rsidP="00A177A6">
            <w:pPr>
              <w:spacing w:before="120"/>
              <w:ind w:left="425" w:hanging="425"/>
              <w:rPr>
                <w:szCs w:val="22"/>
              </w:rPr>
            </w:pPr>
            <w:r w:rsidRPr="00FF3C0C">
              <w:t>1.2</w:t>
            </w:r>
            <w:r w:rsidRPr="00FF3C0C">
              <w:tab/>
              <w:t>Les demandeurs et, s’il y a lieu, leur(s) entité(s) affiliée(s) possèdent-ils en interne une expertise technique suffisante? (en particulier, une connaissance des questions à traiter)</w:t>
            </w:r>
          </w:p>
        </w:tc>
        <w:tc>
          <w:tcPr>
            <w:tcW w:w="1275" w:type="dxa"/>
          </w:tcPr>
          <w:p w14:paraId="1BFC4DD6" w14:textId="77777777" w:rsidR="00A177A6" w:rsidRPr="00FF3C0C" w:rsidRDefault="00A177A6" w:rsidP="00A177A6">
            <w:pPr>
              <w:spacing w:before="120"/>
              <w:jc w:val="center"/>
              <w:rPr>
                <w:szCs w:val="22"/>
              </w:rPr>
            </w:pPr>
            <w:r w:rsidRPr="00FF3C0C">
              <w:t>5</w:t>
            </w:r>
          </w:p>
        </w:tc>
      </w:tr>
      <w:tr w:rsidR="00A177A6" w:rsidRPr="00FF3C0C" w14:paraId="196A1B45" w14:textId="77777777" w:rsidTr="002F40EB">
        <w:tc>
          <w:tcPr>
            <w:tcW w:w="8472" w:type="dxa"/>
            <w:tcBorders>
              <w:bottom w:val="nil"/>
            </w:tcBorders>
          </w:tcPr>
          <w:p w14:paraId="53AA37EF" w14:textId="77777777" w:rsidR="00A177A6" w:rsidRPr="00FF3C0C" w:rsidRDefault="00A177A6" w:rsidP="00A177A6">
            <w:pPr>
              <w:spacing w:before="120"/>
              <w:ind w:left="425" w:hanging="425"/>
              <w:jc w:val="left"/>
              <w:rPr>
                <w:szCs w:val="22"/>
              </w:rPr>
            </w:pPr>
            <w:r w:rsidRPr="00FF3C0C">
              <w:t>1.3</w:t>
            </w:r>
            <w:r w:rsidRPr="00FF3C0C">
              <w:tab/>
              <w:t>Les demandeurs et, s’il y a lieu, leur(s) entité(s) affiliée(s) possèdent-ils en interne une capacité de gestion suffisante? (notamment en ce qui concerne le personnel, les équipements et la capacité à gérer le budget de l’action)</w:t>
            </w:r>
          </w:p>
        </w:tc>
        <w:tc>
          <w:tcPr>
            <w:tcW w:w="1275" w:type="dxa"/>
            <w:tcBorders>
              <w:bottom w:val="nil"/>
            </w:tcBorders>
          </w:tcPr>
          <w:p w14:paraId="4430A656" w14:textId="77777777" w:rsidR="00A177A6" w:rsidRPr="00FF3C0C" w:rsidRDefault="00A177A6" w:rsidP="00A177A6">
            <w:pPr>
              <w:spacing w:before="120"/>
              <w:jc w:val="center"/>
              <w:rPr>
                <w:szCs w:val="22"/>
              </w:rPr>
            </w:pPr>
            <w:r w:rsidRPr="00FF3C0C">
              <w:t>5</w:t>
            </w:r>
          </w:p>
        </w:tc>
      </w:tr>
      <w:tr w:rsidR="00A177A6" w:rsidRPr="00FF3C0C" w14:paraId="149A86D0" w14:textId="77777777" w:rsidTr="002F40EB">
        <w:tc>
          <w:tcPr>
            <w:tcW w:w="8472" w:type="dxa"/>
            <w:tcBorders>
              <w:bottom w:val="single" w:sz="4" w:space="0" w:color="auto"/>
            </w:tcBorders>
          </w:tcPr>
          <w:p w14:paraId="16A4DA5F" w14:textId="77777777" w:rsidR="00A177A6" w:rsidRPr="00FF3C0C" w:rsidRDefault="00A177A6" w:rsidP="00A177A6">
            <w:pPr>
              <w:spacing w:before="120"/>
              <w:ind w:left="425" w:hanging="425"/>
              <w:rPr>
                <w:szCs w:val="22"/>
              </w:rPr>
            </w:pPr>
            <w:r w:rsidRPr="00FF3C0C">
              <w:t>1.4</w:t>
            </w:r>
            <w:r w:rsidRPr="00FF3C0C">
              <w:tab/>
              <w:t>Le demandeur chef de file dispose-t-il de sources de financement stables et suffisantes?</w:t>
            </w:r>
          </w:p>
        </w:tc>
        <w:tc>
          <w:tcPr>
            <w:tcW w:w="1275" w:type="dxa"/>
            <w:tcBorders>
              <w:bottom w:val="single" w:sz="4" w:space="0" w:color="auto"/>
            </w:tcBorders>
          </w:tcPr>
          <w:p w14:paraId="4D5A19BF" w14:textId="77777777" w:rsidR="00A177A6" w:rsidRPr="00FF3C0C" w:rsidRDefault="00A177A6" w:rsidP="00A177A6">
            <w:pPr>
              <w:spacing w:before="120"/>
              <w:jc w:val="center"/>
              <w:rPr>
                <w:szCs w:val="22"/>
              </w:rPr>
            </w:pPr>
            <w:r w:rsidRPr="00FF3C0C">
              <w:t>5</w:t>
            </w:r>
          </w:p>
        </w:tc>
      </w:tr>
      <w:tr w:rsidR="00A177A6" w:rsidRPr="00FF3C0C" w14:paraId="279A4EA9" w14:textId="77777777" w:rsidTr="002F40EB">
        <w:tc>
          <w:tcPr>
            <w:tcW w:w="8472" w:type="dxa"/>
            <w:tcBorders>
              <w:bottom w:val="single" w:sz="4" w:space="0" w:color="auto"/>
            </w:tcBorders>
            <w:shd w:val="pct10" w:color="auto" w:fill="FFFFFF"/>
          </w:tcPr>
          <w:p w14:paraId="0732858D" w14:textId="77777777" w:rsidR="00A177A6" w:rsidRPr="00FF3C0C" w:rsidRDefault="00A177A6" w:rsidP="00A177A6">
            <w:pPr>
              <w:spacing w:before="120"/>
              <w:rPr>
                <w:szCs w:val="22"/>
              </w:rPr>
            </w:pPr>
            <w:r w:rsidRPr="00FF3C0C">
              <w:rPr>
                <w:b/>
                <w:szCs w:val="22"/>
              </w:rPr>
              <w:t>2. Pertinence</w:t>
            </w:r>
          </w:p>
        </w:tc>
        <w:tc>
          <w:tcPr>
            <w:tcW w:w="1275" w:type="dxa"/>
            <w:tcBorders>
              <w:bottom w:val="single" w:sz="4" w:space="0" w:color="auto"/>
            </w:tcBorders>
            <w:shd w:val="pct10" w:color="auto" w:fill="FFFFFF"/>
            <w:vAlign w:val="center"/>
          </w:tcPr>
          <w:p w14:paraId="383A173D" w14:textId="77777777" w:rsidR="00A177A6" w:rsidRPr="00FF3C0C" w:rsidRDefault="00A177A6" w:rsidP="00A177A6">
            <w:pPr>
              <w:spacing w:before="120"/>
              <w:jc w:val="center"/>
              <w:rPr>
                <w:b/>
                <w:szCs w:val="22"/>
              </w:rPr>
            </w:pPr>
            <w:r w:rsidRPr="00FF3C0C">
              <w:rPr>
                <w:b/>
                <w:szCs w:val="22"/>
              </w:rPr>
              <w:t>20</w:t>
            </w:r>
          </w:p>
        </w:tc>
      </w:tr>
      <w:tr w:rsidR="00A177A6" w:rsidRPr="00FF3C0C" w14:paraId="4595BC9E" w14:textId="77777777" w:rsidTr="002F40EB">
        <w:tc>
          <w:tcPr>
            <w:tcW w:w="8472" w:type="dxa"/>
            <w:shd w:val="clear" w:color="auto" w:fill="FFFFFF"/>
          </w:tcPr>
          <w:p w14:paraId="65C87884" w14:textId="77777777" w:rsidR="00A177A6" w:rsidRPr="00FF3C0C" w:rsidRDefault="00A177A6" w:rsidP="00A177A6">
            <w:pPr>
              <w:spacing w:before="120"/>
              <w:ind w:left="340" w:hanging="340"/>
              <w:rPr>
                <w:szCs w:val="22"/>
              </w:rPr>
            </w:pPr>
            <w:r w:rsidRPr="00FF3C0C">
              <w:t>2.1</w:t>
            </w:r>
            <w:r w:rsidRPr="00FF3C0C">
              <w:tab/>
              <w:t>Dans quelle mesure la proposition est-elle pertinente par rapport aux objectifs et priorités de l’appel à manifestation d’intérêt, aux thèmes/secteurs/domaines spécifiques ou à toute autre exigence particulière mentionnée dans les lignes directrices à l’intention des demandeurs? Les résultats attendus de l’action respectent-ils les priorités établies dans les lignes directrices à l’intention des demandeurs (section 1.2)?</w:t>
            </w:r>
          </w:p>
        </w:tc>
        <w:tc>
          <w:tcPr>
            <w:tcW w:w="1275" w:type="dxa"/>
            <w:shd w:val="clear" w:color="auto" w:fill="FFFFFF"/>
            <w:vAlign w:val="center"/>
          </w:tcPr>
          <w:p w14:paraId="56C458F6" w14:textId="77777777" w:rsidR="00A177A6" w:rsidRPr="00FF3C0C" w:rsidRDefault="00A177A6" w:rsidP="00A177A6">
            <w:pPr>
              <w:spacing w:before="120"/>
              <w:jc w:val="center"/>
              <w:rPr>
                <w:szCs w:val="22"/>
              </w:rPr>
            </w:pPr>
            <w:r w:rsidRPr="00FF3C0C">
              <w:rPr>
                <w:szCs w:val="22"/>
              </w:rPr>
              <w:t>5</w:t>
            </w:r>
          </w:p>
        </w:tc>
      </w:tr>
      <w:tr w:rsidR="00A177A6" w:rsidRPr="00FF3C0C" w14:paraId="560623EE" w14:textId="77777777" w:rsidTr="002F40EB">
        <w:tc>
          <w:tcPr>
            <w:tcW w:w="8472" w:type="dxa"/>
            <w:shd w:val="clear" w:color="auto" w:fill="FFFFFF"/>
          </w:tcPr>
          <w:p w14:paraId="1C71DEC7" w14:textId="77777777" w:rsidR="00A177A6" w:rsidRPr="00FF3C0C" w:rsidRDefault="00A177A6" w:rsidP="00A177A6">
            <w:pPr>
              <w:spacing w:before="120"/>
              <w:ind w:left="425" w:hanging="425"/>
              <w:rPr>
                <w:szCs w:val="22"/>
              </w:rPr>
            </w:pPr>
            <w:r w:rsidRPr="00FF3C0C">
              <w:t>2.2</w:t>
            </w:r>
            <w:r w:rsidRPr="00FF3C0C">
              <w:tab/>
              <w:t>Dans quelle mesure la proposition est-elle pertinente par rapport aux besoins particuliers et aux contraintes du/des pays ou de la/des région(s) cible(s) (en tenant compte de la synergie avec d’autres initiatives en matière de développement et de l’absence de double emploi)?</w:t>
            </w:r>
          </w:p>
        </w:tc>
        <w:tc>
          <w:tcPr>
            <w:tcW w:w="1275" w:type="dxa"/>
            <w:shd w:val="clear" w:color="auto" w:fill="FFFFFF"/>
            <w:vAlign w:val="center"/>
          </w:tcPr>
          <w:p w14:paraId="577C48EA" w14:textId="77777777" w:rsidR="00A177A6" w:rsidRPr="00FF3C0C" w:rsidRDefault="00A177A6" w:rsidP="00A177A6">
            <w:pPr>
              <w:spacing w:before="120"/>
              <w:jc w:val="center"/>
              <w:rPr>
                <w:szCs w:val="22"/>
              </w:rPr>
            </w:pPr>
            <w:r w:rsidRPr="00FF3C0C">
              <w:rPr>
                <w:szCs w:val="22"/>
              </w:rPr>
              <w:t>5</w:t>
            </w:r>
          </w:p>
        </w:tc>
      </w:tr>
      <w:tr w:rsidR="00A177A6" w:rsidRPr="00FF3C0C" w14:paraId="67D79011" w14:textId="77777777" w:rsidTr="002F40EB">
        <w:tc>
          <w:tcPr>
            <w:tcW w:w="8472" w:type="dxa"/>
            <w:shd w:val="clear" w:color="auto" w:fill="FFFFFF"/>
          </w:tcPr>
          <w:p w14:paraId="449D4305" w14:textId="77777777" w:rsidR="00A177A6" w:rsidRPr="00FF3C0C" w:rsidRDefault="00A177A6" w:rsidP="00A177A6">
            <w:pPr>
              <w:spacing w:before="120"/>
              <w:ind w:left="425" w:hanging="425"/>
              <w:rPr>
                <w:szCs w:val="22"/>
              </w:rPr>
            </w:pPr>
            <w:r w:rsidRPr="00FF3C0C">
              <w:t>2.3</w:t>
            </w:r>
            <w:r w:rsidRPr="00FF3C0C">
              <w:tab/>
              <w:t>Les participants (bénéficiaires finaux, groupes cibles) sont-ils clairement définis et leur choix est-il pertinent d’un point de vue stratégique? Leurs besoins (en tant que détenteurs de droits et/ou de devoirs) et leurs contraintes ont-ils été clairement définis et sont-ils convenablement abordés dans la proposition?</w:t>
            </w:r>
          </w:p>
        </w:tc>
        <w:tc>
          <w:tcPr>
            <w:tcW w:w="1275" w:type="dxa"/>
            <w:shd w:val="clear" w:color="auto" w:fill="FFFFFF"/>
            <w:vAlign w:val="center"/>
          </w:tcPr>
          <w:p w14:paraId="6020DD53" w14:textId="77777777" w:rsidR="00A177A6" w:rsidRPr="00FF3C0C" w:rsidRDefault="00A177A6" w:rsidP="00A177A6">
            <w:pPr>
              <w:spacing w:before="120"/>
              <w:jc w:val="center"/>
              <w:rPr>
                <w:szCs w:val="22"/>
              </w:rPr>
            </w:pPr>
            <w:r w:rsidRPr="00FF3C0C">
              <w:rPr>
                <w:szCs w:val="22"/>
              </w:rPr>
              <w:t>5</w:t>
            </w:r>
          </w:p>
        </w:tc>
      </w:tr>
      <w:tr w:rsidR="00A177A6" w:rsidRPr="00FF3C0C" w14:paraId="56F352A7" w14:textId="77777777" w:rsidTr="002F40EB">
        <w:tc>
          <w:tcPr>
            <w:tcW w:w="8472" w:type="dxa"/>
            <w:shd w:val="clear" w:color="auto" w:fill="FFFFFF"/>
          </w:tcPr>
          <w:p w14:paraId="53BED0FD" w14:textId="77777777" w:rsidR="00A177A6" w:rsidRPr="00FF3C0C" w:rsidRDefault="00A177A6" w:rsidP="00A177A6">
            <w:pPr>
              <w:spacing w:before="120"/>
              <w:ind w:left="425" w:hanging="425"/>
              <w:rPr>
                <w:szCs w:val="22"/>
              </w:rPr>
            </w:pPr>
            <w:r w:rsidRPr="00FF3C0C">
              <w:t>2.4</w:t>
            </w:r>
            <w:r w:rsidRPr="00FF3C0C">
              <w:tab/>
              <w:t>La proposition contient-elle des éléments apportant une valeur ajoutée particulière (par exemple, en matière d’innovation ou de bonnes pratiques)?</w:t>
            </w:r>
            <w:r w:rsidRPr="00FF3C0C">
              <w:rPr>
                <w:i/>
                <w:iCs/>
                <w:szCs w:val="22"/>
              </w:rPr>
              <w:t xml:space="preserve"> </w:t>
            </w:r>
          </w:p>
        </w:tc>
        <w:tc>
          <w:tcPr>
            <w:tcW w:w="1275" w:type="dxa"/>
            <w:shd w:val="clear" w:color="auto" w:fill="FFFFFF"/>
            <w:vAlign w:val="center"/>
          </w:tcPr>
          <w:p w14:paraId="5A645A91" w14:textId="77777777" w:rsidR="00A177A6" w:rsidRPr="00FF3C0C" w:rsidRDefault="00A177A6" w:rsidP="00A177A6">
            <w:pPr>
              <w:spacing w:before="120"/>
              <w:jc w:val="center"/>
              <w:rPr>
                <w:szCs w:val="22"/>
              </w:rPr>
            </w:pPr>
            <w:r w:rsidRPr="00FF3C0C">
              <w:rPr>
                <w:szCs w:val="22"/>
              </w:rPr>
              <w:t>5</w:t>
            </w:r>
          </w:p>
        </w:tc>
      </w:tr>
      <w:tr w:rsidR="00A177A6" w:rsidRPr="00FF3C0C" w14:paraId="7D1B7D06" w14:textId="77777777" w:rsidTr="002F40EB">
        <w:tc>
          <w:tcPr>
            <w:tcW w:w="8472" w:type="dxa"/>
            <w:shd w:val="pct10" w:color="auto" w:fill="FFFFFF"/>
            <w:vAlign w:val="center"/>
          </w:tcPr>
          <w:p w14:paraId="4FB6B2AC" w14:textId="77777777" w:rsidR="00A177A6" w:rsidRPr="00FF3C0C" w:rsidRDefault="00A177A6" w:rsidP="00A177A6">
            <w:pPr>
              <w:spacing w:before="120"/>
              <w:rPr>
                <w:szCs w:val="22"/>
              </w:rPr>
            </w:pPr>
            <w:r w:rsidRPr="00FF3C0C">
              <w:rPr>
                <w:b/>
                <w:szCs w:val="22"/>
              </w:rPr>
              <w:t>3. Conception de l’action</w:t>
            </w:r>
          </w:p>
        </w:tc>
        <w:tc>
          <w:tcPr>
            <w:tcW w:w="1275" w:type="dxa"/>
            <w:shd w:val="pct10" w:color="auto" w:fill="FFFFFF"/>
            <w:vAlign w:val="center"/>
          </w:tcPr>
          <w:p w14:paraId="2EF160CE" w14:textId="77777777" w:rsidR="00A177A6" w:rsidRPr="00FF3C0C" w:rsidRDefault="00A177A6" w:rsidP="00A177A6">
            <w:pPr>
              <w:spacing w:before="120"/>
              <w:jc w:val="center"/>
              <w:rPr>
                <w:b/>
                <w:szCs w:val="22"/>
              </w:rPr>
            </w:pPr>
            <w:r w:rsidRPr="00FF3C0C">
              <w:rPr>
                <w:b/>
                <w:szCs w:val="22"/>
              </w:rPr>
              <w:t>15</w:t>
            </w:r>
          </w:p>
        </w:tc>
      </w:tr>
      <w:tr w:rsidR="00A177A6" w:rsidRPr="00FF3C0C" w14:paraId="0898A408" w14:textId="77777777" w:rsidTr="002F40EB">
        <w:tc>
          <w:tcPr>
            <w:tcW w:w="8472" w:type="dxa"/>
          </w:tcPr>
          <w:p w14:paraId="2298463E" w14:textId="77777777" w:rsidR="00A177A6" w:rsidRPr="00FF3C0C" w:rsidRDefault="00A177A6" w:rsidP="00A177A6">
            <w:pPr>
              <w:spacing w:before="120"/>
              <w:ind w:left="425" w:hanging="425"/>
              <w:rPr>
                <w:szCs w:val="22"/>
              </w:rPr>
            </w:pPr>
            <w:r w:rsidRPr="00FF3C0C">
              <w:t>3.1</w:t>
            </w:r>
            <w:r w:rsidRPr="00FF3C0C">
              <w:tab/>
              <w:t>Dans quelle mesure la conception de l’action est-elle cohérente? La proposition indique-t-elle les résultats que l’action devrait permettre d’atteindre? La logique d’intervention explique-t-elle le bien-fondé des résultats attendus? Les activités proposées sont-elles appropriées, concrètes et cohérentes avec les produits et le ou les réalisations envisagés?</w:t>
            </w:r>
          </w:p>
        </w:tc>
        <w:tc>
          <w:tcPr>
            <w:tcW w:w="1275" w:type="dxa"/>
          </w:tcPr>
          <w:p w14:paraId="46CB8420" w14:textId="77777777" w:rsidR="00A177A6" w:rsidRPr="00FF3C0C" w:rsidRDefault="00A177A6" w:rsidP="00A177A6">
            <w:pPr>
              <w:spacing w:before="120"/>
              <w:jc w:val="center"/>
              <w:rPr>
                <w:szCs w:val="22"/>
              </w:rPr>
            </w:pPr>
            <w:r w:rsidRPr="00FF3C0C">
              <w:t>5</w:t>
            </w:r>
          </w:p>
        </w:tc>
      </w:tr>
      <w:tr w:rsidR="00A177A6" w:rsidRPr="00FF3C0C" w14:paraId="1B2A5F84" w14:textId="77777777" w:rsidTr="002F40EB">
        <w:tc>
          <w:tcPr>
            <w:tcW w:w="8472" w:type="dxa"/>
          </w:tcPr>
          <w:p w14:paraId="62D989AA" w14:textId="77777777" w:rsidR="00A177A6" w:rsidRPr="00FF3C0C" w:rsidRDefault="00A177A6" w:rsidP="00A177A6">
            <w:pPr>
              <w:spacing w:before="120"/>
              <w:ind w:left="425" w:hanging="425"/>
              <w:rPr>
                <w:szCs w:val="22"/>
              </w:rPr>
            </w:pPr>
            <w:r w:rsidRPr="00FF3C0C">
              <w:lastRenderedPageBreak/>
              <w:t>3.2</w:t>
            </w:r>
            <w:r w:rsidRPr="00FF3C0C">
              <w:tab/>
              <w:t>La proposition/le cadre logique inclut-elle/il un niveau de référence, des cibles et des sources de vérification crédibles? Si ce n’est pas le cas, une étude de référence est-elle prévue (et est-elle correctement inscrite au budget de la proposition)?</w:t>
            </w:r>
          </w:p>
        </w:tc>
        <w:tc>
          <w:tcPr>
            <w:tcW w:w="1275" w:type="dxa"/>
          </w:tcPr>
          <w:p w14:paraId="4E8338E4" w14:textId="77777777" w:rsidR="00A177A6" w:rsidRPr="00FF3C0C" w:rsidRDefault="00A177A6" w:rsidP="00A177A6">
            <w:pPr>
              <w:spacing w:before="120"/>
              <w:jc w:val="center"/>
              <w:rPr>
                <w:szCs w:val="22"/>
              </w:rPr>
            </w:pPr>
            <w:r w:rsidRPr="00FF3C0C">
              <w:t>5</w:t>
            </w:r>
          </w:p>
        </w:tc>
      </w:tr>
      <w:tr w:rsidR="00A177A6" w:rsidRPr="00FF3C0C" w14:paraId="58AB8AA5" w14:textId="77777777" w:rsidTr="002F40EB">
        <w:tc>
          <w:tcPr>
            <w:tcW w:w="8472" w:type="dxa"/>
          </w:tcPr>
          <w:p w14:paraId="439F18E1" w14:textId="77777777" w:rsidR="00A177A6" w:rsidRPr="00FF3C0C" w:rsidRDefault="00A177A6" w:rsidP="00A177A6">
            <w:pPr>
              <w:spacing w:before="120"/>
              <w:ind w:left="425" w:hanging="425"/>
              <w:rPr>
                <w:szCs w:val="22"/>
              </w:rPr>
            </w:pPr>
            <w:r w:rsidRPr="00FF3C0C">
              <w:t>3.3</w:t>
            </w:r>
            <w:r w:rsidRPr="00FF3C0C">
              <w:tab/>
              <w:t>La conception de l’action reflète-t-elle une analyse rigoureuse des problèmes posés ainsi que des capacités des parties prenantes concernées?</w:t>
            </w:r>
          </w:p>
        </w:tc>
        <w:tc>
          <w:tcPr>
            <w:tcW w:w="1275" w:type="dxa"/>
          </w:tcPr>
          <w:p w14:paraId="498A45FB" w14:textId="77777777" w:rsidR="00A177A6" w:rsidRPr="00FF3C0C" w:rsidRDefault="00A177A6" w:rsidP="00A177A6">
            <w:pPr>
              <w:spacing w:before="120"/>
              <w:jc w:val="center"/>
              <w:rPr>
                <w:szCs w:val="22"/>
              </w:rPr>
            </w:pPr>
            <w:r w:rsidRPr="00FF3C0C">
              <w:t>5</w:t>
            </w:r>
          </w:p>
        </w:tc>
      </w:tr>
      <w:tr w:rsidR="00A177A6" w:rsidRPr="00FF3C0C" w14:paraId="6C2C8AD0" w14:textId="77777777" w:rsidTr="002F40EB">
        <w:tc>
          <w:tcPr>
            <w:tcW w:w="8472" w:type="dxa"/>
            <w:shd w:val="pct10" w:color="auto" w:fill="FFFFFF"/>
            <w:vAlign w:val="center"/>
          </w:tcPr>
          <w:p w14:paraId="47F2BB53" w14:textId="77777777" w:rsidR="00A177A6" w:rsidRPr="00FF3C0C" w:rsidRDefault="00A177A6" w:rsidP="00A177A6">
            <w:pPr>
              <w:spacing w:before="120"/>
              <w:rPr>
                <w:szCs w:val="22"/>
              </w:rPr>
            </w:pPr>
            <w:r w:rsidRPr="00FF3C0C">
              <w:rPr>
                <w:b/>
                <w:szCs w:val="22"/>
              </w:rPr>
              <w:t>4. Approche de la mise en œuvre</w:t>
            </w:r>
          </w:p>
        </w:tc>
        <w:tc>
          <w:tcPr>
            <w:tcW w:w="1275" w:type="dxa"/>
            <w:shd w:val="pct10" w:color="auto" w:fill="FFFFFF"/>
            <w:vAlign w:val="center"/>
          </w:tcPr>
          <w:p w14:paraId="460941C2" w14:textId="77777777" w:rsidR="00A177A6" w:rsidRPr="00FF3C0C" w:rsidRDefault="00A177A6" w:rsidP="00A177A6">
            <w:pPr>
              <w:spacing w:before="120"/>
              <w:jc w:val="center"/>
              <w:rPr>
                <w:b/>
                <w:szCs w:val="22"/>
              </w:rPr>
            </w:pPr>
            <w:r w:rsidRPr="00FF3C0C">
              <w:rPr>
                <w:b/>
                <w:szCs w:val="22"/>
              </w:rPr>
              <w:t>15</w:t>
            </w:r>
          </w:p>
        </w:tc>
      </w:tr>
      <w:tr w:rsidR="00A177A6" w:rsidRPr="00FF3C0C" w14:paraId="7A1235FA" w14:textId="77777777" w:rsidTr="002F40EB">
        <w:tc>
          <w:tcPr>
            <w:tcW w:w="8472" w:type="dxa"/>
          </w:tcPr>
          <w:p w14:paraId="03D63784" w14:textId="77777777" w:rsidR="00A177A6" w:rsidRPr="00FF3C0C" w:rsidRDefault="00A177A6" w:rsidP="00A177A6">
            <w:pPr>
              <w:spacing w:before="120"/>
              <w:ind w:left="425" w:hanging="425"/>
              <w:rPr>
                <w:szCs w:val="22"/>
              </w:rPr>
            </w:pPr>
            <w:r w:rsidRPr="00FF3C0C">
              <w:t>4.1</w:t>
            </w:r>
            <w:r w:rsidRPr="00FF3C0C">
              <w:tab/>
              <w:t>Le plan d’action prévu pour la mise en œuvre de l’action est-il clair et réalisable? Le calendrier est-il réaliste?</w:t>
            </w:r>
          </w:p>
        </w:tc>
        <w:tc>
          <w:tcPr>
            <w:tcW w:w="1275" w:type="dxa"/>
          </w:tcPr>
          <w:p w14:paraId="4C1C706F" w14:textId="77777777" w:rsidR="00A177A6" w:rsidRPr="00FF3C0C" w:rsidRDefault="00A177A6" w:rsidP="00A177A6">
            <w:pPr>
              <w:spacing w:before="120"/>
              <w:jc w:val="center"/>
              <w:rPr>
                <w:szCs w:val="22"/>
              </w:rPr>
            </w:pPr>
            <w:r w:rsidRPr="00FF3C0C">
              <w:t>5</w:t>
            </w:r>
          </w:p>
        </w:tc>
      </w:tr>
      <w:tr w:rsidR="00A177A6" w:rsidRPr="00FF3C0C" w14:paraId="79B6D2DA" w14:textId="77777777" w:rsidTr="002F40EB">
        <w:tc>
          <w:tcPr>
            <w:tcW w:w="8472" w:type="dxa"/>
          </w:tcPr>
          <w:p w14:paraId="27ADA7FD" w14:textId="77777777" w:rsidR="00A177A6" w:rsidRPr="00FF3C0C" w:rsidRDefault="00A177A6" w:rsidP="00A177A6">
            <w:pPr>
              <w:spacing w:before="120"/>
              <w:ind w:left="425" w:hanging="425"/>
              <w:rPr>
                <w:szCs w:val="22"/>
              </w:rPr>
            </w:pPr>
            <w:r w:rsidRPr="00FF3C0C">
              <w:t>4.2</w:t>
            </w:r>
            <w:r w:rsidRPr="00FF3C0C">
              <w:tab/>
              <w:t>La proposition inclut-elle un système de suivi efficace et efficient? Une évaluation est-elle prévue (avant, pendant et/ou à la fin de la mise en œuvre)?</w:t>
            </w:r>
          </w:p>
        </w:tc>
        <w:tc>
          <w:tcPr>
            <w:tcW w:w="1275" w:type="dxa"/>
          </w:tcPr>
          <w:p w14:paraId="4C126B9A" w14:textId="77777777" w:rsidR="00A177A6" w:rsidRPr="00FF3C0C" w:rsidRDefault="00A177A6" w:rsidP="00A177A6">
            <w:pPr>
              <w:spacing w:before="120"/>
              <w:jc w:val="center"/>
              <w:rPr>
                <w:szCs w:val="22"/>
              </w:rPr>
            </w:pPr>
            <w:r w:rsidRPr="00FF3C0C">
              <w:t>5</w:t>
            </w:r>
          </w:p>
        </w:tc>
      </w:tr>
      <w:tr w:rsidR="00A177A6" w:rsidRPr="00FF3C0C" w14:paraId="478F83E5" w14:textId="77777777" w:rsidTr="002F40EB">
        <w:tc>
          <w:tcPr>
            <w:tcW w:w="8472" w:type="dxa"/>
            <w:tcBorders>
              <w:bottom w:val="nil"/>
            </w:tcBorders>
          </w:tcPr>
          <w:p w14:paraId="75C3E237" w14:textId="77777777" w:rsidR="00A177A6" w:rsidRPr="00FF3C0C" w:rsidRDefault="00A177A6" w:rsidP="00A177A6">
            <w:pPr>
              <w:spacing w:before="120"/>
              <w:ind w:left="425" w:hanging="425"/>
              <w:jc w:val="left"/>
              <w:rPr>
                <w:szCs w:val="22"/>
              </w:rPr>
            </w:pPr>
            <w:r w:rsidRPr="00FF3C0C">
              <w:t>4.3</w:t>
            </w:r>
            <w:r w:rsidRPr="00FF3C0C">
              <w:tab/>
              <w:t>Le niveau d’association et de participation à l’action du ou des codemandeurs et de l’entité ou des entités affiliées est-il satisfaisant?</w:t>
            </w:r>
          </w:p>
        </w:tc>
        <w:tc>
          <w:tcPr>
            <w:tcW w:w="1275" w:type="dxa"/>
            <w:tcBorders>
              <w:bottom w:val="nil"/>
            </w:tcBorders>
          </w:tcPr>
          <w:p w14:paraId="76CA3CE8" w14:textId="77777777" w:rsidR="00A177A6" w:rsidRPr="00FF3C0C" w:rsidRDefault="00A177A6" w:rsidP="00A177A6">
            <w:pPr>
              <w:spacing w:before="120"/>
              <w:jc w:val="center"/>
              <w:rPr>
                <w:szCs w:val="22"/>
              </w:rPr>
            </w:pPr>
            <w:r w:rsidRPr="00FF3C0C">
              <w:t>5</w:t>
            </w:r>
          </w:p>
        </w:tc>
      </w:tr>
      <w:tr w:rsidR="00A177A6" w:rsidRPr="00FF3C0C" w14:paraId="0F41B5DA" w14:textId="77777777" w:rsidTr="002F40EB">
        <w:tc>
          <w:tcPr>
            <w:tcW w:w="8472" w:type="dxa"/>
            <w:shd w:val="pct10" w:color="auto" w:fill="FFFFFF"/>
            <w:vAlign w:val="center"/>
          </w:tcPr>
          <w:p w14:paraId="67C3CC85" w14:textId="77777777" w:rsidR="00A177A6" w:rsidRPr="00FF3C0C" w:rsidRDefault="00A177A6" w:rsidP="00A177A6">
            <w:pPr>
              <w:spacing w:before="120"/>
              <w:rPr>
                <w:szCs w:val="22"/>
              </w:rPr>
            </w:pPr>
            <w:r w:rsidRPr="00FF3C0C">
              <w:br w:type="page"/>
            </w:r>
            <w:r w:rsidRPr="00FF3C0C">
              <w:rPr>
                <w:b/>
                <w:szCs w:val="22"/>
              </w:rPr>
              <w:t xml:space="preserve">5. Durabilité de l’action </w:t>
            </w:r>
          </w:p>
        </w:tc>
        <w:tc>
          <w:tcPr>
            <w:tcW w:w="1275" w:type="dxa"/>
            <w:shd w:val="pct10" w:color="auto" w:fill="FFFFFF"/>
            <w:vAlign w:val="center"/>
          </w:tcPr>
          <w:p w14:paraId="5D89EC79" w14:textId="77777777" w:rsidR="00A177A6" w:rsidRPr="00FF3C0C" w:rsidRDefault="00A177A6" w:rsidP="00A177A6">
            <w:pPr>
              <w:spacing w:before="120"/>
              <w:jc w:val="center"/>
              <w:rPr>
                <w:b/>
                <w:szCs w:val="22"/>
              </w:rPr>
            </w:pPr>
            <w:r w:rsidRPr="00FF3C0C">
              <w:rPr>
                <w:b/>
                <w:szCs w:val="22"/>
              </w:rPr>
              <w:t>15</w:t>
            </w:r>
          </w:p>
        </w:tc>
      </w:tr>
      <w:tr w:rsidR="00A177A6" w:rsidRPr="00FF3C0C" w14:paraId="31710D50" w14:textId="77777777" w:rsidTr="002F40EB">
        <w:tc>
          <w:tcPr>
            <w:tcW w:w="8472" w:type="dxa"/>
          </w:tcPr>
          <w:p w14:paraId="66EA2224" w14:textId="77777777" w:rsidR="00A177A6" w:rsidRPr="00FF3C0C" w:rsidRDefault="00A177A6" w:rsidP="00A177A6">
            <w:pPr>
              <w:spacing w:before="120"/>
              <w:ind w:left="425" w:hanging="425"/>
              <w:rPr>
                <w:szCs w:val="22"/>
              </w:rPr>
            </w:pPr>
            <w:r w:rsidRPr="00FF3C0C">
              <w:t>5.1</w:t>
            </w:r>
            <w:r w:rsidRPr="00FF3C0C">
              <w:tab/>
              <w:t>L’action est-elle susceptible d’avoir un impact tangible sur les groupes cibles?</w:t>
            </w:r>
          </w:p>
        </w:tc>
        <w:tc>
          <w:tcPr>
            <w:tcW w:w="1275" w:type="dxa"/>
          </w:tcPr>
          <w:p w14:paraId="3F2CB6E4" w14:textId="77777777" w:rsidR="00A177A6" w:rsidRPr="00FF3C0C" w:rsidRDefault="00A177A6" w:rsidP="00A177A6">
            <w:pPr>
              <w:spacing w:before="120"/>
              <w:jc w:val="center"/>
              <w:rPr>
                <w:szCs w:val="22"/>
              </w:rPr>
            </w:pPr>
            <w:r w:rsidRPr="00FF3C0C">
              <w:t>5</w:t>
            </w:r>
          </w:p>
        </w:tc>
      </w:tr>
      <w:tr w:rsidR="00A177A6" w:rsidRPr="00FF3C0C" w14:paraId="1B743727" w14:textId="77777777" w:rsidTr="002F40EB">
        <w:tc>
          <w:tcPr>
            <w:tcW w:w="8472" w:type="dxa"/>
          </w:tcPr>
          <w:p w14:paraId="591890A6" w14:textId="77777777" w:rsidR="00A177A6" w:rsidRPr="00FF3C0C" w:rsidRDefault="00A177A6" w:rsidP="00A177A6">
            <w:pPr>
              <w:spacing w:before="120"/>
              <w:ind w:left="425" w:hanging="425"/>
              <w:rPr>
                <w:szCs w:val="22"/>
              </w:rPr>
            </w:pPr>
            <w:r w:rsidRPr="00FF3C0C">
              <w:t>5.2</w:t>
            </w:r>
            <w:r w:rsidRPr="00FF3C0C">
              <w:tab/>
              <w:t>L’action est-elle susceptible d’avoir des effets multiplicateurs, y compris la possibilité de reproduction, d’extension, de mise à profit de l’expérience et de partage des connaissances?</w:t>
            </w:r>
          </w:p>
        </w:tc>
        <w:tc>
          <w:tcPr>
            <w:tcW w:w="1275" w:type="dxa"/>
          </w:tcPr>
          <w:p w14:paraId="1E72214D" w14:textId="77777777" w:rsidR="00A177A6" w:rsidRPr="00FF3C0C" w:rsidRDefault="00A177A6" w:rsidP="00A177A6">
            <w:pPr>
              <w:spacing w:before="120"/>
              <w:jc w:val="center"/>
              <w:rPr>
                <w:szCs w:val="22"/>
              </w:rPr>
            </w:pPr>
            <w:r w:rsidRPr="00FF3C0C">
              <w:t>5</w:t>
            </w:r>
          </w:p>
        </w:tc>
      </w:tr>
      <w:tr w:rsidR="00A177A6" w:rsidRPr="00FF3C0C" w14:paraId="36567CF7" w14:textId="77777777" w:rsidTr="002F40EB">
        <w:tc>
          <w:tcPr>
            <w:tcW w:w="8472" w:type="dxa"/>
          </w:tcPr>
          <w:p w14:paraId="5474A523" w14:textId="77777777" w:rsidR="00A177A6" w:rsidRPr="00FF3C0C" w:rsidRDefault="00A177A6" w:rsidP="00A177A6">
            <w:pPr>
              <w:spacing w:before="120" w:after="0"/>
              <w:ind w:left="425" w:hanging="425"/>
              <w:rPr>
                <w:szCs w:val="22"/>
              </w:rPr>
            </w:pPr>
            <w:r w:rsidRPr="00FF3C0C">
              <w:t>5.3</w:t>
            </w:r>
            <w:r w:rsidRPr="00FF3C0C">
              <w:tab/>
              <w:t>Les résultats attendus de l’action proposée sont-ils durables?</w:t>
            </w:r>
          </w:p>
          <w:p w14:paraId="19F024FB" w14:textId="77777777" w:rsidR="00A177A6" w:rsidRPr="00FF3C0C" w:rsidRDefault="00A177A6" w:rsidP="00A177A6">
            <w:pPr>
              <w:spacing w:before="120" w:after="0"/>
              <w:ind w:left="510" w:hanging="170"/>
              <w:rPr>
                <w:szCs w:val="22"/>
              </w:rPr>
            </w:pPr>
            <w:r w:rsidRPr="00FF3C0C">
              <w:t xml:space="preserve">- sur le plan financier </w:t>
            </w:r>
            <w:r w:rsidRPr="00FF3C0C">
              <w:rPr>
                <w:i/>
                <w:szCs w:val="22"/>
              </w:rPr>
              <w:t>(par exemple, financement d’activités de suivi, sources de revenu permettant de couvrir tous les frais de fonctionnement et de maintenance futurs)</w:t>
            </w:r>
          </w:p>
          <w:p w14:paraId="2CC76EED" w14:textId="77777777" w:rsidR="00A177A6" w:rsidRPr="00FF3C0C" w:rsidRDefault="00A177A6" w:rsidP="00A177A6">
            <w:pPr>
              <w:spacing w:before="120" w:after="0"/>
              <w:ind w:left="510" w:hanging="170"/>
              <w:rPr>
                <w:szCs w:val="22"/>
              </w:rPr>
            </w:pPr>
            <w:r w:rsidRPr="00FF3C0C">
              <w:t xml:space="preserve">- sur le plan institutionnel </w:t>
            </w:r>
            <w:r w:rsidRPr="00FF3C0C">
              <w:rPr>
                <w:i/>
                <w:szCs w:val="22"/>
              </w:rPr>
              <w:t>(les structures permettront-elles le maintien des résultats de l’action à la fin de celle-ci? Y aura-t-il «appropriation» locale des résultats de l’action?)</w:t>
            </w:r>
          </w:p>
          <w:p w14:paraId="79F74758" w14:textId="77777777" w:rsidR="00A177A6" w:rsidRPr="00FF3C0C" w:rsidRDefault="00A177A6" w:rsidP="00A177A6">
            <w:pPr>
              <w:spacing w:before="120" w:after="0"/>
              <w:ind w:left="510" w:hanging="170"/>
              <w:rPr>
                <w:iCs/>
                <w:szCs w:val="22"/>
              </w:rPr>
            </w:pPr>
            <w:r w:rsidRPr="00FF3C0C">
              <w:t xml:space="preserve">- sur le plan des politiques (s’il y a lieu) </w:t>
            </w:r>
            <w:r w:rsidRPr="00FF3C0C">
              <w:rPr>
                <w:i/>
                <w:szCs w:val="22"/>
              </w:rPr>
              <w:t>(quel sera l’impact structurel de l’action – par exemple, amélioration de la législation, des codes de conduite, des méthodes)</w:t>
            </w:r>
          </w:p>
          <w:p w14:paraId="1E790597" w14:textId="77777777" w:rsidR="00A177A6" w:rsidRPr="00FF3C0C" w:rsidRDefault="00A177A6" w:rsidP="00A177A6">
            <w:pPr>
              <w:spacing w:before="120"/>
              <w:ind w:left="510" w:hanging="170"/>
              <w:rPr>
                <w:szCs w:val="22"/>
              </w:rPr>
            </w:pPr>
            <w:r w:rsidRPr="00FF3C0C">
              <w:t xml:space="preserve">- sur le plan environnemental (s’il y a lieu) </w:t>
            </w:r>
            <w:r w:rsidRPr="00FF3C0C">
              <w:rPr>
                <w:i/>
                <w:szCs w:val="22"/>
              </w:rPr>
              <w:t>(l’action aura-t-elle un impact positif/négatif sur l’environnement?)</w:t>
            </w:r>
          </w:p>
        </w:tc>
        <w:tc>
          <w:tcPr>
            <w:tcW w:w="1275" w:type="dxa"/>
          </w:tcPr>
          <w:p w14:paraId="23D826D5" w14:textId="77777777" w:rsidR="00A177A6" w:rsidRPr="00FF3C0C" w:rsidRDefault="00A177A6" w:rsidP="00A177A6">
            <w:pPr>
              <w:spacing w:before="120"/>
              <w:jc w:val="center"/>
              <w:rPr>
                <w:szCs w:val="22"/>
              </w:rPr>
            </w:pPr>
            <w:r w:rsidRPr="00FF3C0C">
              <w:t>5</w:t>
            </w:r>
          </w:p>
        </w:tc>
      </w:tr>
      <w:tr w:rsidR="00A177A6" w:rsidRPr="00FF3C0C" w14:paraId="2C80CF79" w14:textId="77777777" w:rsidTr="002F40EB">
        <w:tc>
          <w:tcPr>
            <w:tcW w:w="8472" w:type="dxa"/>
            <w:shd w:val="pct10" w:color="auto" w:fill="FFFFFF"/>
            <w:vAlign w:val="center"/>
          </w:tcPr>
          <w:p w14:paraId="2F04E36D" w14:textId="77777777" w:rsidR="00A177A6" w:rsidRPr="00FF3C0C" w:rsidRDefault="00A177A6" w:rsidP="00A177A6">
            <w:pPr>
              <w:spacing w:before="120"/>
              <w:rPr>
                <w:szCs w:val="22"/>
              </w:rPr>
            </w:pPr>
            <w:r w:rsidRPr="00FF3C0C">
              <w:br w:type="page"/>
            </w:r>
            <w:r w:rsidRPr="00FF3C0C">
              <w:rPr>
                <w:b/>
                <w:szCs w:val="22"/>
              </w:rPr>
              <w:t>6. Budget et rapport coût-efficacité de l’action</w:t>
            </w:r>
          </w:p>
        </w:tc>
        <w:tc>
          <w:tcPr>
            <w:tcW w:w="1275" w:type="dxa"/>
            <w:shd w:val="pct10" w:color="auto" w:fill="FFFFFF"/>
            <w:vAlign w:val="center"/>
          </w:tcPr>
          <w:p w14:paraId="6995A250" w14:textId="77777777" w:rsidR="00A177A6" w:rsidRPr="00FF3C0C" w:rsidRDefault="00A177A6" w:rsidP="00A177A6">
            <w:pPr>
              <w:spacing w:before="120"/>
              <w:jc w:val="center"/>
              <w:rPr>
                <w:b/>
                <w:szCs w:val="22"/>
              </w:rPr>
            </w:pPr>
            <w:r w:rsidRPr="00FF3C0C">
              <w:rPr>
                <w:b/>
                <w:szCs w:val="22"/>
              </w:rPr>
              <w:t>15</w:t>
            </w:r>
          </w:p>
        </w:tc>
      </w:tr>
      <w:tr w:rsidR="00A177A6" w:rsidRPr="00FF3C0C" w14:paraId="22E9FAD8" w14:textId="77777777" w:rsidTr="002F40EB">
        <w:tc>
          <w:tcPr>
            <w:tcW w:w="8472" w:type="dxa"/>
          </w:tcPr>
          <w:p w14:paraId="64A42AD3" w14:textId="77777777" w:rsidR="00A177A6" w:rsidRPr="00FF3C0C" w:rsidRDefault="00A177A6" w:rsidP="00A177A6">
            <w:pPr>
              <w:spacing w:before="120"/>
              <w:ind w:left="425" w:hanging="425"/>
              <w:rPr>
                <w:szCs w:val="22"/>
              </w:rPr>
            </w:pPr>
            <w:r w:rsidRPr="00FF3C0C">
              <w:t>6.1</w:t>
            </w:r>
            <w:r w:rsidRPr="00FF3C0C">
              <w:tab/>
              <w:t>Les activités sont-elles convenablement reflétées dans le budget?</w:t>
            </w:r>
          </w:p>
        </w:tc>
        <w:tc>
          <w:tcPr>
            <w:tcW w:w="1275" w:type="dxa"/>
          </w:tcPr>
          <w:p w14:paraId="090BC0A4" w14:textId="77777777" w:rsidR="00A177A6" w:rsidRPr="00FF3C0C" w:rsidRDefault="00A177A6" w:rsidP="00A177A6">
            <w:pPr>
              <w:spacing w:before="120"/>
              <w:jc w:val="center"/>
              <w:rPr>
                <w:szCs w:val="22"/>
              </w:rPr>
            </w:pPr>
            <w:r w:rsidRPr="00FF3C0C">
              <w:t>5</w:t>
            </w:r>
          </w:p>
        </w:tc>
      </w:tr>
      <w:tr w:rsidR="00A177A6" w:rsidRPr="00FF3C0C" w14:paraId="39353DD3" w14:textId="77777777" w:rsidTr="002F40EB">
        <w:tc>
          <w:tcPr>
            <w:tcW w:w="8472" w:type="dxa"/>
          </w:tcPr>
          <w:p w14:paraId="0548EAD8" w14:textId="77777777" w:rsidR="00A177A6" w:rsidRPr="00FF3C0C" w:rsidRDefault="00A177A6" w:rsidP="00A177A6">
            <w:pPr>
              <w:spacing w:before="120"/>
              <w:ind w:left="425" w:hanging="425"/>
              <w:rPr>
                <w:szCs w:val="22"/>
              </w:rPr>
            </w:pPr>
            <w:r w:rsidRPr="00FF3C0C">
              <w:t>6.2</w:t>
            </w:r>
            <w:r w:rsidRPr="00FF3C0C">
              <w:tab/>
              <w:t>Le ratio entre les coûts estimés et les résultats est-il satisfaisant?</w:t>
            </w:r>
          </w:p>
        </w:tc>
        <w:tc>
          <w:tcPr>
            <w:tcW w:w="1275" w:type="dxa"/>
          </w:tcPr>
          <w:p w14:paraId="596600B0" w14:textId="77777777" w:rsidR="00A177A6" w:rsidRPr="00FF3C0C" w:rsidRDefault="00A177A6" w:rsidP="00A177A6">
            <w:pPr>
              <w:spacing w:before="120"/>
              <w:jc w:val="center"/>
              <w:rPr>
                <w:szCs w:val="22"/>
              </w:rPr>
            </w:pPr>
            <w:r w:rsidRPr="00FF3C0C">
              <w:t>10</w:t>
            </w:r>
          </w:p>
        </w:tc>
      </w:tr>
      <w:tr w:rsidR="00A177A6" w:rsidRPr="00FF3C0C" w14:paraId="2E78BF70" w14:textId="77777777" w:rsidTr="002F40EB">
        <w:tc>
          <w:tcPr>
            <w:tcW w:w="8472" w:type="dxa"/>
            <w:shd w:val="pct10" w:color="auto" w:fill="FFFFFF"/>
            <w:vAlign w:val="center"/>
          </w:tcPr>
          <w:p w14:paraId="4A9191FB" w14:textId="77777777" w:rsidR="00A177A6" w:rsidRPr="00FF3C0C" w:rsidRDefault="00A177A6" w:rsidP="00A177A6">
            <w:pPr>
              <w:spacing w:before="120"/>
              <w:rPr>
                <w:b/>
                <w:szCs w:val="22"/>
              </w:rPr>
            </w:pPr>
            <w:r w:rsidRPr="00FF3C0C">
              <w:rPr>
                <w:b/>
                <w:szCs w:val="22"/>
              </w:rPr>
              <w:t>Note totale maximale</w:t>
            </w:r>
          </w:p>
        </w:tc>
        <w:tc>
          <w:tcPr>
            <w:tcW w:w="1275" w:type="dxa"/>
            <w:shd w:val="pct10" w:color="auto" w:fill="FFFFFF"/>
            <w:vAlign w:val="center"/>
          </w:tcPr>
          <w:p w14:paraId="4D9A2B37" w14:textId="77777777" w:rsidR="00A177A6" w:rsidRPr="00FF3C0C" w:rsidRDefault="00A177A6" w:rsidP="00A177A6">
            <w:pPr>
              <w:spacing w:before="120"/>
              <w:jc w:val="center"/>
              <w:rPr>
                <w:b/>
                <w:szCs w:val="22"/>
              </w:rPr>
            </w:pPr>
            <w:r w:rsidRPr="00FF3C0C">
              <w:rPr>
                <w:b/>
                <w:szCs w:val="22"/>
              </w:rPr>
              <w:t>100</w:t>
            </w:r>
          </w:p>
        </w:tc>
      </w:tr>
    </w:tbl>
    <w:p w14:paraId="6954F916" w14:textId="77777777" w:rsidR="00A177A6" w:rsidRPr="00FF3C0C" w:rsidRDefault="00A177A6" w:rsidP="00A177A6">
      <w:pPr>
        <w:spacing w:after="120"/>
      </w:pPr>
    </w:p>
    <w:p w14:paraId="7BE4B32E" w14:textId="77777777" w:rsidR="00A177A6" w:rsidRPr="00FF3C0C" w:rsidRDefault="00A177A6" w:rsidP="00A177A6">
      <w:pPr>
        <w:spacing w:after="120"/>
      </w:pPr>
      <w:r w:rsidRPr="00FF3C0C">
        <w:t>Si la note totale pour la rubrique 1 (Capacité financière et opérationnelle) est inférieure à 12, la demande est rejetée. De même, la demande est rejetée si au moins une des sous-rubriques de la rubrique 1 reçoit la note de 1.</w:t>
      </w:r>
    </w:p>
    <w:p w14:paraId="0FBAE506" w14:textId="77777777" w:rsidR="00A177A6" w:rsidRPr="00FF3C0C" w:rsidRDefault="00A177A6" w:rsidP="00A177A6">
      <w:pPr>
        <w:spacing w:after="240"/>
      </w:pPr>
      <w:r w:rsidRPr="00FF3C0C">
        <w:t xml:space="preserve">Si le demandeur chef de file fait une demande sans codemandeurs ou entités affiliées, la note pour le point 4.3 sera de 5, sauf si la participation de codemandeurs ou d’entités affiliées est obligatoire en vertu des présentes lignes directrices à l’intention des demandeurs.  </w:t>
      </w:r>
    </w:p>
    <w:p w14:paraId="0FF0CDA8" w14:textId="77777777" w:rsidR="00A177A6" w:rsidRPr="00FF3C0C" w:rsidRDefault="00A177A6" w:rsidP="00A177A6">
      <w:pPr>
        <w:spacing w:after="120"/>
        <w:rPr>
          <w:i/>
          <w:u w:val="single"/>
        </w:rPr>
      </w:pPr>
      <w:r w:rsidRPr="00FF3C0C">
        <w:rPr>
          <w:i/>
          <w:u w:val="single"/>
        </w:rPr>
        <w:lastRenderedPageBreak/>
        <w:t>Sélection provisoire</w:t>
      </w:r>
    </w:p>
    <w:p w14:paraId="240E5B88" w14:textId="77777777" w:rsidR="00A177A6" w:rsidRPr="00FF3C0C" w:rsidRDefault="00A177A6" w:rsidP="00A177A6">
      <w:r w:rsidRPr="00FF3C0C">
        <w:t>Après l’évaluation, un tableau est établi, reprenant l’ensemble des demandes, classées suivant la note qu’elles ont obtenue. Les demandes ayant obtenu la meilleure note sont provisoirement sélectionnées jusqu’à épuisement du budget disponible pour le présent appel à manifestation d’intérêt. En outre, une liste de réserve est établie suivant les mêmes critères. Cette liste sera utilisée si d’autres fonds deviennent disponibles pendant sa période de validité.</w:t>
      </w:r>
    </w:p>
    <w:p w14:paraId="7795009C" w14:textId="77777777" w:rsidR="00A177A6" w:rsidRPr="00FF3C0C" w:rsidRDefault="00A177A6" w:rsidP="00A177A6">
      <w:pPr>
        <w:numPr>
          <w:ilvl w:val="0"/>
          <w:numId w:val="29"/>
        </w:numPr>
        <w:tabs>
          <w:tab w:val="left" w:pos="426"/>
        </w:tabs>
        <w:spacing w:before="240"/>
        <w:ind w:left="1843" w:hanging="1843"/>
        <w:jc w:val="left"/>
        <w:rPr>
          <w:b/>
          <w:sz w:val="24"/>
          <w:szCs w:val="24"/>
        </w:rPr>
      </w:pPr>
      <w:r w:rsidRPr="00FF3C0C">
        <w:rPr>
          <w:b/>
          <w:sz w:val="24"/>
          <w:szCs w:val="24"/>
        </w:rPr>
        <w:t>ÉTAPE 3:</w:t>
      </w:r>
      <w:r w:rsidRPr="00FF3C0C">
        <w:rPr>
          <w:b/>
          <w:sz w:val="24"/>
          <w:szCs w:val="24"/>
        </w:rPr>
        <w:tab/>
        <w:t>VÉRIFICATION DE L’ÉLIGIBILITÉ DES DEMANDEURS ET DES ENTITÉS AFFILIÉES</w:t>
      </w:r>
    </w:p>
    <w:p w14:paraId="2A4566CC" w14:textId="77777777" w:rsidR="00A177A6" w:rsidRPr="00FF3C0C" w:rsidRDefault="00A177A6" w:rsidP="00A177A6">
      <w:pPr>
        <w:spacing w:after="120"/>
      </w:pPr>
      <w:r w:rsidRPr="00FF3C0C">
        <w:t xml:space="preserve">Le contrôle d’éligibilité est effectué sur la base des pièces justificatives </w:t>
      </w:r>
      <w:r w:rsidRPr="00FF3C0C">
        <w:rPr>
          <w:szCs w:val="24"/>
          <w:lang w:val="fr-BE"/>
        </w:rPr>
        <w:t xml:space="preserve">actualisées et disponibles dans PADOR, ainsi que celles </w:t>
      </w:r>
      <w:r w:rsidRPr="00FF3C0C">
        <w:t xml:space="preserve">demandées par l'administration contractante (voir section 2.4). Elle est réalisée par défaut </w:t>
      </w:r>
      <w:r w:rsidRPr="00FF3C0C">
        <w:rPr>
          <w:u w:val="single"/>
        </w:rPr>
        <w:t>uniquement</w:t>
      </w:r>
      <w:r w:rsidRPr="00FF3C0C">
        <w:t xml:space="preserve"> pour les demandes qui ont été provisoirement sélectionnées sur la base de leur note et dans les limites du budget prévu pour le présent appel à manifestation d’intérêt. </w:t>
      </w:r>
    </w:p>
    <w:p w14:paraId="438558FB" w14:textId="77777777" w:rsidR="00A177A6" w:rsidRPr="00FF3C0C" w:rsidRDefault="00A177A6" w:rsidP="00A177A6">
      <w:pPr>
        <w:numPr>
          <w:ilvl w:val="0"/>
          <w:numId w:val="33"/>
        </w:numPr>
        <w:spacing w:after="120"/>
      </w:pPr>
      <w:r w:rsidRPr="00FF3C0C">
        <w:t xml:space="preserve">La déclaration du demandeur chef de file (partie B, section 8, du formulaire de demande de subvention) fait l’objet d’une vérification croisée avec les pièces justificatives fournies par ce dernier. Toute pièce justificative manquante ou toute incohérence entre la déclaration du demandeur chef de file et les pièces justificatives peut entraîner le rejet de la demande pour ce seul motif. </w:t>
      </w:r>
    </w:p>
    <w:p w14:paraId="6DB369DA" w14:textId="77777777" w:rsidR="00A177A6" w:rsidRPr="00FF3C0C" w:rsidRDefault="00A177A6" w:rsidP="00A177A6">
      <w:pPr>
        <w:numPr>
          <w:ilvl w:val="0"/>
          <w:numId w:val="33"/>
        </w:numPr>
        <w:spacing w:after="120"/>
      </w:pPr>
      <w:r w:rsidRPr="00FF3C0C">
        <w:t>L’éligibilité des demandeurs et des entités affiliées est vérifiée sur la base des critères établis à la section 2.1.1.</w:t>
      </w:r>
    </w:p>
    <w:p w14:paraId="16F0B3C7" w14:textId="77777777" w:rsidR="00A177A6" w:rsidRPr="00FF3C0C" w:rsidRDefault="00A177A6" w:rsidP="00A177A6">
      <w:pPr>
        <w:spacing w:after="0"/>
      </w:pPr>
      <w:r w:rsidRPr="00FF3C0C">
        <w:t>Toute demande rejetée est remplacée par la demande suivante la mieux placée sur la liste de réserve et qui entre dans les limites du budget disponible pour le présent appel à manifestation d’intérêt.</w:t>
      </w:r>
    </w:p>
    <w:p w14:paraId="2B2D9C35" w14:textId="77777777" w:rsidR="00A177A6" w:rsidRPr="00FF3C0C" w:rsidRDefault="00A177A6" w:rsidP="006D3C1C">
      <w:pPr>
        <w:pStyle w:val="Guidelines2"/>
        <w:rPr>
          <w:b w:val="0"/>
          <w:smallCaps w:val="0"/>
        </w:rPr>
      </w:pPr>
      <w:bookmarkStart w:id="24" w:name="_Toc88143715"/>
      <w:bookmarkStart w:id="25" w:name="_Toc104797767"/>
      <w:r w:rsidRPr="00FF3C0C">
        <w:rPr>
          <w:b w:val="0"/>
          <w:smallCaps w:val="0"/>
        </w:rPr>
        <w:t>Soumission des pièces justificatives</w:t>
      </w:r>
      <w:bookmarkEnd w:id="24"/>
      <w:bookmarkEnd w:id="25"/>
      <w:r w:rsidRPr="00FF3C0C">
        <w:rPr>
          <w:b w:val="0"/>
          <w:smallCaps w:val="0"/>
        </w:rPr>
        <w:t xml:space="preserve">  </w:t>
      </w:r>
    </w:p>
    <w:p w14:paraId="0FCE589A" w14:textId="77777777" w:rsidR="00A177A6" w:rsidRPr="00FF3C0C" w:rsidRDefault="00A177A6" w:rsidP="00A177A6">
      <w:pPr>
        <w:spacing w:after="120"/>
      </w:pPr>
      <w:r w:rsidRPr="00FF3C0C">
        <w:t>Le demandeur chef de file doit soumettre les documents énumérés à la section 2.2.1, ainsi que :</w:t>
      </w:r>
    </w:p>
    <w:p w14:paraId="7A29BA06" w14:textId="77777777" w:rsidR="00A177A6" w:rsidRPr="00FF3C0C" w:rsidRDefault="00A177A6" w:rsidP="00A177A6">
      <w:pPr>
        <w:numPr>
          <w:ilvl w:val="0"/>
          <w:numId w:val="66"/>
        </w:numPr>
        <w:spacing w:after="120"/>
      </w:pPr>
      <w:r w:rsidRPr="00FF3C0C">
        <w:t>la déclaration sur l’honneur: le demandeur chef de file ainsi que l’ensemble des codemandeurs et entités affiliées remplissent et signent la déclaration sur l’honneur attestant qu’ils ne se trouvent pas dans l’une des situations d’exclusion (voir section 2.6.10.1 du PRAG) lorsque le montant de la subvention excède 15 000 EUR. La déclaration sur l’honneur doit être datée et signée, soit à la main, soit au moyen d’une signature électronique qualifiée</w:t>
      </w:r>
      <w:r w:rsidRPr="00FF3C0C">
        <w:rPr>
          <w:sz w:val="24"/>
          <w:vertAlign w:val="superscript"/>
        </w:rPr>
        <w:footnoteReference w:id="13"/>
      </w:r>
      <w:r w:rsidRPr="00FF3C0C">
        <w:t xml:space="preserve">, par un représentant autorisé du signataire; </w:t>
      </w:r>
    </w:p>
    <w:p w14:paraId="2DD26D38" w14:textId="77777777" w:rsidR="00A177A6" w:rsidRPr="00FF3C0C" w:rsidRDefault="00A177A6" w:rsidP="00A177A6">
      <w:pPr>
        <w:numPr>
          <w:ilvl w:val="0"/>
          <w:numId w:val="66"/>
        </w:numPr>
        <w:spacing w:after="120"/>
      </w:pPr>
      <w:r w:rsidRPr="00FF3C0C">
        <w:t>le questionnaire d’autoévaluation sur l’EAHS: le demandeur chef de file ainsi que l’ensemble des codemandeurs et entités affiliées remplissent le questionnaire d’autoévaluation évaluant la politique et la procédure internes de l’organisation en matière de lutte contre l’exploitation, les abus et le harcèlement sexuels (EAHS) (annexe L) lorsque le montant de la subvention excède 60 000 EUR (voir section 2.5.6 du PRAG)</w:t>
      </w:r>
      <w:r w:rsidRPr="00FF3C0C">
        <w:rPr>
          <w:sz w:val="24"/>
          <w:vertAlign w:val="superscript"/>
        </w:rPr>
        <w:footnoteReference w:id="14"/>
      </w:r>
      <w:r w:rsidRPr="00FF3C0C">
        <w:t xml:space="preserve">. </w:t>
      </w:r>
    </w:p>
    <w:p w14:paraId="7CB4CCB0" w14:textId="77777777" w:rsidR="00A177A6" w:rsidRPr="00FF3C0C" w:rsidRDefault="00A177A6" w:rsidP="00A177A6">
      <w:pPr>
        <w:spacing w:after="120"/>
        <w:rPr>
          <w:szCs w:val="22"/>
        </w:rPr>
      </w:pPr>
      <w:r w:rsidRPr="00FF3C0C">
        <w:t>Après vérification des pièces justificatives, le comité d’évaluation fait une recommandation finale à l’administration contractante, qui décide de l’attribution des subventions.</w:t>
      </w:r>
    </w:p>
    <w:p w14:paraId="3F1D89DA" w14:textId="77777777" w:rsidR="00A177A6" w:rsidRPr="00FF3C0C" w:rsidRDefault="00A177A6" w:rsidP="00A177A6">
      <w:pPr>
        <w:spacing w:before="120" w:after="0"/>
        <w:ind w:left="567" w:hanging="567"/>
        <w:rPr>
          <w:i/>
          <w:u w:val="single"/>
        </w:rPr>
      </w:pPr>
      <w:r w:rsidRPr="00FF3C0C">
        <w:rPr>
          <w:i/>
          <w:u w:val="single"/>
        </w:rPr>
        <w:t>Remarque:</w:t>
      </w:r>
    </w:p>
    <w:p w14:paraId="6B3E4B3B" w14:textId="77777777" w:rsidR="00A177A6" w:rsidRPr="00FF3C0C" w:rsidRDefault="00A177A6" w:rsidP="00A177A6">
      <w:pPr>
        <w:spacing w:after="120"/>
      </w:pPr>
      <w:r w:rsidRPr="00FF3C0C">
        <w:t>Si l’administration contractante n’est pas convaincue par la force, la solidité et la garantie offertes par le lien structurel entre un demandeur et son entité affiliée, il peut exiger la présentation des documents manquants pour permettre de convertir cette dernière en codemandeur. Si tous les documents manquants requis pour les codemandeurs sont soumis, et sous réserve que tous les critères d’éligibilité soient satisfaits, l’entité devient codemandeur à toutes fins. Le demandeur chef de file doit soumettre le formulaire de demande modifié en conséquence.</w:t>
      </w:r>
    </w:p>
    <w:p w14:paraId="3E7178C3" w14:textId="77777777" w:rsidR="00A177A6" w:rsidRPr="00FF3C0C" w:rsidRDefault="00A177A6" w:rsidP="00A177A6">
      <w:pPr>
        <w:spacing w:after="120"/>
        <w:rPr>
          <w:szCs w:val="22"/>
        </w:rPr>
      </w:pPr>
    </w:p>
    <w:p w14:paraId="2232A8BC" w14:textId="77777777" w:rsidR="00A177A6" w:rsidRPr="00FF3C0C" w:rsidRDefault="00A177A6" w:rsidP="006D3C1C">
      <w:pPr>
        <w:pStyle w:val="Guidelines2"/>
        <w:rPr>
          <w:b w:val="0"/>
          <w:smallCaps w:val="0"/>
        </w:rPr>
      </w:pPr>
      <w:bookmarkStart w:id="26" w:name="_Toc94451412"/>
      <w:bookmarkStart w:id="27" w:name="_Toc94451466"/>
      <w:bookmarkStart w:id="28" w:name="_Toc104797768"/>
      <w:bookmarkStart w:id="29" w:name="_Toc88143717"/>
      <w:r w:rsidRPr="00FF3C0C">
        <w:rPr>
          <w:b w:val="0"/>
          <w:smallCaps w:val="0"/>
        </w:rPr>
        <w:t>Notification de la décision de présélection, négociation et notification d’attribution</w:t>
      </w:r>
      <w:bookmarkEnd w:id="26"/>
      <w:bookmarkEnd w:id="27"/>
      <w:bookmarkEnd w:id="28"/>
    </w:p>
    <w:p w14:paraId="0C7FEA40" w14:textId="77777777" w:rsidR="00A177A6" w:rsidRPr="00FF3C0C" w:rsidRDefault="00A177A6" w:rsidP="006D3C1C">
      <w:pPr>
        <w:pStyle w:val="Guidelines3"/>
        <w:rPr>
          <w:b w:val="0"/>
          <w:i w:val="0"/>
        </w:rPr>
      </w:pPr>
      <w:r w:rsidRPr="00FF3C0C">
        <w:rPr>
          <w:b w:val="0"/>
          <w:i w:val="0"/>
        </w:rPr>
        <w:t>Contenu de la décision</w:t>
      </w:r>
      <w:bookmarkEnd w:id="29"/>
      <w:r w:rsidRPr="00FF3C0C">
        <w:rPr>
          <w:b w:val="0"/>
          <w:i w:val="0"/>
        </w:rPr>
        <w:t xml:space="preserve"> de présélection</w:t>
      </w:r>
    </w:p>
    <w:p w14:paraId="224A4456" w14:textId="77777777" w:rsidR="00A177A6" w:rsidRPr="00FF3C0C" w:rsidRDefault="00A177A6" w:rsidP="00A177A6">
      <w:pPr>
        <w:spacing w:before="120" w:after="120"/>
      </w:pPr>
      <w:r w:rsidRPr="00FF3C0C">
        <w:t xml:space="preserve">Les demandeurs chefs de file sont informés par écrit de la décision de l’administration contractante concernant la présélection de leur demande et, en cas de rejet, des raisons de cette décision négative. Veuillez noter que le demandeur chef de file est l’intermédiaire pour toutes les communications entre les demandeurs et l’administration contractante au cours de la procédure. </w:t>
      </w:r>
    </w:p>
    <w:p w14:paraId="162C5BBB" w14:textId="557A55C9" w:rsidR="00A177A6" w:rsidRPr="00FF3C0C" w:rsidRDefault="00A177A6" w:rsidP="00A177A6">
      <w:pPr>
        <w:spacing w:after="120"/>
      </w:pPr>
      <w:r w:rsidRPr="00FF3C0C">
        <w:t xml:space="preserve">Si un demandeur s’estime </w:t>
      </w:r>
      <w:r w:rsidR="00DE1B49" w:rsidRPr="00FF3C0C">
        <w:t>lésé</w:t>
      </w:r>
      <w:r w:rsidRPr="00FF3C0C">
        <w:t xml:space="preserve"> par une erreur ou irrégularité commise au cours de la procédure d’attribution, il peut introduire une réclamation. Voir section 2.12 du PRAG. </w:t>
      </w:r>
    </w:p>
    <w:p w14:paraId="3EC7C929" w14:textId="77777777" w:rsidR="00A177A6" w:rsidRPr="00FF3C0C" w:rsidRDefault="00A177A6" w:rsidP="00A177A6">
      <w:pPr>
        <w:spacing w:after="120"/>
        <w:rPr>
          <w:szCs w:val="22"/>
        </w:rPr>
      </w:pPr>
      <w:r w:rsidRPr="00FF3C0C">
        <w:t>Les demandeurs et, s’il s’agit de personnes morales, les personnes ayant sur eux un pouvoir de représentation, de décision ou de contrôle sont informés du fait que, s’ils se trouvent dans une des situations de détection rapide ou d’exclusion, leurs coordonnées (nom/dénomination, prénom si personne physique, adresse/siège social, forme juridique et nom et prénom des personnes ayant un pouvoir de représentation, de décision ou de contrôle, si personne morale) peuvent être enregistrées dans le système de détection rapide et d’exclusion et communiquées aux personnes et entités concernées dans le cadre de l’attribution ou de l’exécution d’un contrat de subvention.</w:t>
      </w:r>
    </w:p>
    <w:p w14:paraId="117CF487" w14:textId="77777777" w:rsidR="00A177A6" w:rsidRPr="00FF3C0C" w:rsidRDefault="00A177A6" w:rsidP="00A177A6">
      <w:pPr>
        <w:spacing w:after="240"/>
        <w:rPr>
          <w:szCs w:val="22"/>
        </w:rPr>
      </w:pPr>
      <w:r w:rsidRPr="00FF3C0C">
        <w:t xml:space="preserve">Pour de plus amples informations, vous pouvez consulter la déclaration de confidentialité disponible à l’adresse suivante: </w:t>
      </w:r>
      <w:hyperlink r:id="rId18" w:history="1">
        <w:r w:rsidRPr="00FF3C0C">
          <w:rPr>
            <w:u w:val="single"/>
          </w:rPr>
          <w:t>http://ec.europa.eu/budget/explained/management/protecting/protect_fr.cfm</w:t>
        </w:r>
      </w:hyperlink>
      <w:r w:rsidRPr="00FF3C0C">
        <w:t xml:space="preserve">. </w:t>
      </w:r>
    </w:p>
    <w:p w14:paraId="01BD8F3A" w14:textId="77777777" w:rsidR="00A177A6" w:rsidRPr="00FF3C0C" w:rsidRDefault="00A177A6" w:rsidP="006D3C1C">
      <w:pPr>
        <w:pStyle w:val="Guidelines3"/>
        <w:rPr>
          <w:b w:val="0"/>
          <w:i w:val="0"/>
        </w:rPr>
      </w:pPr>
      <w:r w:rsidRPr="00FF3C0C">
        <w:rPr>
          <w:b w:val="0"/>
          <w:i w:val="0"/>
        </w:rPr>
        <w:t>Négociation</w:t>
      </w:r>
    </w:p>
    <w:p w14:paraId="602C4FAD" w14:textId="77777777" w:rsidR="00A177A6" w:rsidRPr="00FF3C0C" w:rsidRDefault="00A177A6" w:rsidP="00A177A6">
      <w:pPr>
        <w:spacing w:before="120" w:after="120"/>
      </w:pPr>
      <w:r w:rsidRPr="00FF3C0C">
        <w:t>Suite à la notification aux demandeurs Chef de file du résultat de l’évaluation des propositions reçues, démarrera une phase de négociation avec le demandeur de la demande complète présélectionnée.</w:t>
      </w:r>
    </w:p>
    <w:p w14:paraId="1EF9951D" w14:textId="77777777" w:rsidR="00A177A6" w:rsidRPr="00FF3C0C" w:rsidRDefault="00A177A6" w:rsidP="00A177A6">
      <w:pPr>
        <w:spacing w:after="120"/>
      </w:pPr>
      <w:r w:rsidRPr="00FF3C0C">
        <w:t>Cette phase de négociation aura pour objectif d’affiner et d’améliorer la qualité de la demande complète (le cas échéant).</w:t>
      </w:r>
    </w:p>
    <w:p w14:paraId="67DA4E47" w14:textId="77777777" w:rsidR="00A177A6" w:rsidRPr="00FF3C0C" w:rsidRDefault="00A177A6" w:rsidP="006D3C1C">
      <w:pPr>
        <w:pStyle w:val="Guidelines3"/>
        <w:rPr>
          <w:b w:val="0"/>
          <w:i w:val="0"/>
        </w:rPr>
      </w:pPr>
      <w:r w:rsidRPr="00FF3C0C">
        <w:rPr>
          <w:b w:val="0"/>
          <w:i w:val="0"/>
        </w:rPr>
        <w:t>Notification d’attribution</w:t>
      </w:r>
    </w:p>
    <w:p w14:paraId="3CF9E457" w14:textId="77777777" w:rsidR="00A177A6" w:rsidRPr="00FF3C0C" w:rsidRDefault="00A177A6" w:rsidP="00A177A6">
      <w:pPr>
        <w:spacing w:before="120" w:after="120"/>
      </w:pPr>
      <w:r w:rsidRPr="00FF3C0C">
        <w:t>Suite à la phase de négociation, le demandeur retenu sera notifié de l’attribution de la subvention.</w:t>
      </w:r>
    </w:p>
    <w:p w14:paraId="59B9C2AF" w14:textId="77777777" w:rsidR="00A177A6" w:rsidRPr="00FF3C0C" w:rsidRDefault="00A177A6" w:rsidP="006D3C1C">
      <w:pPr>
        <w:pStyle w:val="Guidelines3"/>
        <w:rPr>
          <w:b w:val="0"/>
          <w:i w:val="0"/>
        </w:rPr>
      </w:pPr>
      <w:bookmarkStart w:id="30" w:name="_Toc88143718"/>
      <w:r w:rsidRPr="00FF3C0C">
        <w:rPr>
          <w:b w:val="0"/>
          <w:i w:val="0"/>
        </w:rPr>
        <w:t>Calendrier indicatif</w:t>
      </w:r>
      <w:bookmarkEnd w:id="30"/>
      <w:r w:rsidRPr="00FF3C0C">
        <w:rPr>
          <w:b w:val="0"/>
          <w:i w:val="0"/>
        </w:rPr>
        <w:t xml:space="preserve"> </w:t>
      </w:r>
    </w:p>
    <w:p w14:paraId="466E8EB0" w14:textId="77777777" w:rsidR="00A177A6" w:rsidRPr="00FF3C0C" w:rsidRDefault="00A177A6" w:rsidP="00A177A6">
      <w:pPr>
        <w:spacing w:after="12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A177A6" w:rsidRPr="00FF3C0C" w14:paraId="5E69B582" w14:textId="77777777" w:rsidTr="002F40EB">
        <w:tc>
          <w:tcPr>
            <w:tcW w:w="4678" w:type="dxa"/>
            <w:tcBorders>
              <w:top w:val="single" w:sz="4" w:space="0" w:color="auto"/>
              <w:left w:val="single" w:sz="4" w:space="0" w:color="auto"/>
              <w:bottom w:val="single" w:sz="4" w:space="0" w:color="auto"/>
              <w:right w:val="single" w:sz="4" w:space="0" w:color="auto"/>
            </w:tcBorders>
          </w:tcPr>
          <w:p w14:paraId="1A64CAFC" w14:textId="77777777" w:rsidR="00A177A6" w:rsidRPr="00FF3C0C" w:rsidRDefault="00A177A6" w:rsidP="00A177A6">
            <w:pPr>
              <w:spacing w:before="120"/>
              <w:rPr>
                <w:szCs w:val="22"/>
              </w:rPr>
            </w:pPr>
          </w:p>
        </w:tc>
        <w:tc>
          <w:tcPr>
            <w:tcW w:w="2552" w:type="dxa"/>
            <w:tcBorders>
              <w:top w:val="single" w:sz="4" w:space="0" w:color="auto"/>
              <w:left w:val="single" w:sz="4" w:space="0" w:color="auto"/>
              <w:bottom w:val="single" w:sz="4" w:space="0" w:color="auto"/>
              <w:right w:val="single" w:sz="4" w:space="0" w:color="auto"/>
            </w:tcBorders>
            <w:shd w:val="pct10" w:color="auto" w:fill="FFFFFF"/>
          </w:tcPr>
          <w:p w14:paraId="27CBDF3E" w14:textId="77777777" w:rsidR="00A177A6" w:rsidRPr="00FF3C0C" w:rsidRDefault="00A177A6" w:rsidP="00A177A6">
            <w:pPr>
              <w:spacing w:before="120"/>
              <w:jc w:val="center"/>
              <w:rPr>
                <w:b/>
                <w:szCs w:val="22"/>
              </w:rPr>
            </w:pPr>
            <w:r w:rsidRPr="00FF3C0C">
              <w:rPr>
                <w:b/>
                <w:szCs w:val="22"/>
              </w:rPr>
              <w:t>DATE</w:t>
            </w:r>
          </w:p>
        </w:tc>
        <w:tc>
          <w:tcPr>
            <w:tcW w:w="2551" w:type="dxa"/>
            <w:tcBorders>
              <w:top w:val="single" w:sz="4" w:space="0" w:color="auto"/>
              <w:left w:val="single" w:sz="4" w:space="0" w:color="auto"/>
              <w:bottom w:val="single" w:sz="4" w:space="0" w:color="auto"/>
              <w:right w:val="single" w:sz="4" w:space="0" w:color="auto"/>
            </w:tcBorders>
            <w:shd w:val="pct10" w:color="auto" w:fill="FFFFFF"/>
          </w:tcPr>
          <w:p w14:paraId="5340221E" w14:textId="77777777" w:rsidR="00A177A6" w:rsidRPr="00FF3C0C" w:rsidRDefault="00A177A6" w:rsidP="00A177A6">
            <w:pPr>
              <w:spacing w:before="120"/>
              <w:jc w:val="center"/>
              <w:rPr>
                <w:b/>
                <w:szCs w:val="22"/>
              </w:rPr>
            </w:pPr>
            <w:r w:rsidRPr="00FF3C0C">
              <w:rPr>
                <w:b/>
                <w:szCs w:val="22"/>
              </w:rPr>
              <w:t>HEURE</w:t>
            </w:r>
          </w:p>
        </w:tc>
      </w:tr>
      <w:tr w:rsidR="00A177A6" w:rsidRPr="00FF3C0C" w14:paraId="1EE866BB" w14:textId="77777777" w:rsidTr="002F40EB">
        <w:tc>
          <w:tcPr>
            <w:tcW w:w="4678" w:type="dxa"/>
            <w:tcBorders>
              <w:top w:val="single" w:sz="4" w:space="0" w:color="auto"/>
            </w:tcBorders>
            <w:shd w:val="pct10" w:color="auto" w:fill="FFFFFF"/>
          </w:tcPr>
          <w:p w14:paraId="1865298D" w14:textId="77777777" w:rsidR="00A177A6" w:rsidRPr="00FF3C0C" w:rsidRDefault="00A177A6" w:rsidP="00A177A6">
            <w:pPr>
              <w:spacing w:before="120"/>
              <w:ind w:left="318" w:hanging="318"/>
              <w:jc w:val="left"/>
              <w:rPr>
                <w:b/>
                <w:szCs w:val="22"/>
              </w:rPr>
            </w:pPr>
            <w:r w:rsidRPr="00FF3C0C">
              <w:rPr>
                <w:b/>
                <w:szCs w:val="22"/>
              </w:rPr>
              <w:t>1.</w:t>
            </w:r>
            <w:r w:rsidRPr="00FF3C0C">
              <w:rPr>
                <w:b/>
                <w:szCs w:val="22"/>
              </w:rPr>
              <w:tab/>
              <w:t xml:space="preserve">Réunion d’information </w:t>
            </w:r>
          </w:p>
        </w:tc>
        <w:tc>
          <w:tcPr>
            <w:tcW w:w="2552" w:type="dxa"/>
            <w:tcBorders>
              <w:top w:val="single" w:sz="4" w:space="0" w:color="auto"/>
            </w:tcBorders>
          </w:tcPr>
          <w:p w14:paraId="7BF7BA38" w14:textId="2E702F56" w:rsidR="00A177A6" w:rsidRPr="00FF3C0C" w:rsidRDefault="00A177A6" w:rsidP="00A177A6">
            <w:pPr>
              <w:spacing w:before="120"/>
              <w:jc w:val="center"/>
              <w:rPr>
                <w:szCs w:val="22"/>
              </w:rPr>
            </w:pPr>
            <w:r w:rsidRPr="00FF3C0C">
              <w:t xml:space="preserve"> </w:t>
            </w:r>
          </w:p>
        </w:tc>
        <w:tc>
          <w:tcPr>
            <w:tcW w:w="2551" w:type="dxa"/>
            <w:tcBorders>
              <w:top w:val="single" w:sz="4" w:space="0" w:color="auto"/>
            </w:tcBorders>
          </w:tcPr>
          <w:p w14:paraId="69AFF8CB" w14:textId="77777777" w:rsidR="00A177A6" w:rsidRPr="00FF3C0C" w:rsidRDefault="00A177A6" w:rsidP="00A177A6">
            <w:pPr>
              <w:spacing w:before="120"/>
              <w:jc w:val="center"/>
              <w:rPr>
                <w:szCs w:val="22"/>
              </w:rPr>
            </w:pPr>
            <w:r w:rsidRPr="00FF3C0C">
              <w:rPr>
                <w:szCs w:val="22"/>
              </w:rPr>
              <w:t>09h00</w:t>
            </w:r>
            <w:r w:rsidRPr="00FF3C0C">
              <w:t xml:space="preserve"> </w:t>
            </w:r>
          </w:p>
        </w:tc>
      </w:tr>
      <w:tr w:rsidR="00A177A6" w:rsidRPr="00FF3C0C" w14:paraId="1016B354" w14:textId="77777777" w:rsidTr="002F40EB">
        <w:tc>
          <w:tcPr>
            <w:tcW w:w="4678" w:type="dxa"/>
            <w:shd w:val="pct10" w:color="auto" w:fill="FFFFFF"/>
          </w:tcPr>
          <w:p w14:paraId="54B9C563" w14:textId="77777777" w:rsidR="00A177A6" w:rsidRPr="00FF3C0C" w:rsidRDefault="00A177A6" w:rsidP="00A177A6">
            <w:pPr>
              <w:spacing w:before="120"/>
              <w:ind w:left="318" w:hanging="284"/>
              <w:jc w:val="left"/>
              <w:rPr>
                <w:b/>
                <w:szCs w:val="22"/>
              </w:rPr>
            </w:pPr>
            <w:r w:rsidRPr="00FF3C0C">
              <w:rPr>
                <w:b/>
                <w:szCs w:val="22"/>
              </w:rPr>
              <w:t>2.</w:t>
            </w:r>
            <w:r w:rsidRPr="00FF3C0C">
              <w:rPr>
                <w:b/>
                <w:szCs w:val="22"/>
              </w:rPr>
              <w:tab/>
              <w:t>Date limite à laquelle les éventuelles demandes de clarifications doivent être adressées à l’administration contractante</w:t>
            </w:r>
          </w:p>
        </w:tc>
        <w:tc>
          <w:tcPr>
            <w:tcW w:w="2552" w:type="dxa"/>
          </w:tcPr>
          <w:p w14:paraId="75D63C4E" w14:textId="7FBA068E" w:rsidR="00A177A6" w:rsidRPr="00FF3C0C" w:rsidRDefault="00BE1B2B" w:rsidP="00A177A6">
            <w:pPr>
              <w:spacing w:before="120"/>
              <w:jc w:val="center"/>
              <w:rPr>
                <w:szCs w:val="22"/>
              </w:rPr>
            </w:pPr>
            <w:r w:rsidRPr="00FF3C0C">
              <w:rPr>
                <w:szCs w:val="22"/>
              </w:rPr>
              <w:t>1/08/2022</w:t>
            </w:r>
          </w:p>
        </w:tc>
        <w:tc>
          <w:tcPr>
            <w:tcW w:w="2551" w:type="dxa"/>
          </w:tcPr>
          <w:p w14:paraId="36D47845" w14:textId="77777777" w:rsidR="00A177A6" w:rsidRPr="00FF3C0C" w:rsidRDefault="00A177A6" w:rsidP="00A177A6">
            <w:pPr>
              <w:spacing w:before="120"/>
              <w:jc w:val="center"/>
              <w:rPr>
                <w:szCs w:val="22"/>
              </w:rPr>
            </w:pPr>
            <w:r w:rsidRPr="00FF3C0C">
              <w:rPr>
                <w:szCs w:val="22"/>
              </w:rPr>
              <w:t>23h59</w:t>
            </w:r>
          </w:p>
        </w:tc>
      </w:tr>
      <w:tr w:rsidR="00FF3C0C" w:rsidRPr="00FF3C0C" w14:paraId="49D161D5" w14:textId="77777777" w:rsidTr="002F40EB">
        <w:tc>
          <w:tcPr>
            <w:tcW w:w="4678" w:type="dxa"/>
            <w:shd w:val="pct10" w:color="auto" w:fill="FFFFFF"/>
          </w:tcPr>
          <w:p w14:paraId="51EA6333" w14:textId="77777777" w:rsidR="00A177A6" w:rsidRPr="00FF3C0C" w:rsidRDefault="00A177A6" w:rsidP="00A177A6">
            <w:pPr>
              <w:spacing w:before="120"/>
              <w:ind w:left="318" w:hanging="284"/>
              <w:jc w:val="left"/>
              <w:rPr>
                <w:b/>
                <w:szCs w:val="22"/>
              </w:rPr>
            </w:pPr>
            <w:r w:rsidRPr="00FF3C0C">
              <w:rPr>
                <w:b/>
                <w:szCs w:val="22"/>
              </w:rPr>
              <w:t>3.</w:t>
            </w:r>
            <w:r w:rsidRPr="00FF3C0C">
              <w:rPr>
                <w:b/>
                <w:szCs w:val="22"/>
              </w:rPr>
              <w:tab/>
              <w:t>Date limite à laquelle l’administration contractante doit répondre aux demandes de clarifications</w:t>
            </w:r>
          </w:p>
        </w:tc>
        <w:tc>
          <w:tcPr>
            <w:tcW w:w="2552" w:type="dxa"/>
          </w:tcPr>
          <w:p w14:paraId="27EC7285" w14:textId="40E9C818" w:rsidR="00A177A6" w:rsidRPr="00FF3C0C" w:rsidRDefault="00BE1B2B" w:rsidP="00A177A6">
            <w:pPr>
              <w:spacing w:before="120"/>
              <w:jc w:val="center"/>
              <w:rPr>
                <w:szCs w:val="22"/>
              </w:rPr>
            </w:pPr>
            <w:r w:rsidRPr="00FF3C0C">
              <w:rPr>
                <w:szCs w:val="22"/>
              </w:rPr>
              <w:t>11/08/2022</w:t>
            </w:r>
          </w:p>
        </w:tc>
        <w:tc>
          <w:tcPr>
            <w:tcW w:w="2551" w:type="dxa"/>
          </w:tcPr>
          <w:p w14:paraId="34F22DBC" w14:textId="78CB1D14" w:rsidR="00A177A6" w:rsidRPr="00FF3C0C" w:rsidRDefault="00BE1B2B" w:rsidP="00BE1B2B">
            <w:pPr>
              <w:spacing w:before="120"/>
              <w:jc w:val="center"/>
              <w:rPr>
                <w:szCs w:val="22"/>
              </w:rPr>
            </w:pPr>
            <w:r w:rsidRPr="00FF3C0C">
              <w:t>23h59</w:t>
            </w:r>
          </w:p>
        </w:tc>
      </w:tr>
      <w:tr w:rsidR="00A177A6" w:rsidRPr="00FF3C0C" w14:paraId="4E08640F" w14:textId="77777777" w:rsidTr="002F40EB">
        <w:tc>
          <w:tcPr>
            <w:tcW w:w="4678" w:type="dxa"/>
            <w:shd w:val="pct10" w:color="auto" w:fill="FFFFFF"/>
          </w:tcPr>
          <w:p w14:paraId="00A30EBC" w14:textId="77777777" w:rsidR="00A177A6" w:rsidRPr="00FF3C0C" w:rsidRDefault="00A177A6" w:rsidP="00A177A6">
            <w:pPr>
              <w:spacing w:before="120"/>
              <w:ind w:left="318" w:hanging="284"/>
              <w:jc w:val="left"/>
              <w:rPr>
                <w:b/>
                <w:szCs w:val="22"/>
              </w:rPr>
            </w:pPr>
            <w:r w:rsidRPr="00FF3C0C">
              <w:rPr>
                <w:b/>
                <w:szCs w:val="22"/>
              </w:rPr>
              <w:t>4.</w:t>
            </w:r>
            <w:r w:rsidRPr="00FF3C0C">
              <w:rPr>
                <w:b/>
                <w:szCs w:val="22"/>
              </w:rPr>
              <w:tab/>
              <w:t>Date limite de soumission des demandes complètes</w:t>
            </w:r>
          </w:p>
        </w:tc>
        <w:tc>
          <w:tcPr>
            <w:tcW w:w="2552" w:type="dxa"/>
          </w:tcPr>
          <w:p w14:paraId="0A78FA6C" w14:textId="2DE19D9D" w:rsidR="00A177A6" w:rsidRPr="00FF3C0C" w:rsidRDefault="00BE1B2B" w:rsidP="00A177A6">
            <w:pPr>
              <w:spacing w:before="120"/>
              <w:jc w:val="center"/>
              <w:rPr>
                <w:szCs w:val="22"/>
              </w:rPr>
            </w:pPr>
            <w:r w:rsidRPr="00FF3C0C">
              <w:rPr>
                <w:szCs w:val="22"/>
              </w:rPr>
              <w:t>22/08/2022</w:t>
            </w:r>
          </w:p>
        </w:tc>
        <w:tc>
          <w:tcPr>
            <w:tcW w:w="2551" w:type="dxa"/>
          </w:tcPr>
          <w:p w14:paraId="5E2BB695" w14:textId="77777777" w:rsidR="00A177A6" w:rsidRPr="00FF3C0C" w:rsidRDefault="00A177A6" w:rsidP="00A177A6">
            <w:pPr>
              <w:spacing w:before="120"/>
              <w:jc w:val="center"/>
              <w:rPr>
                <w:szCs w:val="22"/>
              </w:rPr>
            </w:pPr>
            <w:r w:rsidRPr="00FF3C0C">
              <w:rPr>
                <w:szCs w:val="22"/>
              </w:rPr>
              <w:t>23h59</w:t>
            </w:r>
          </w:p>
        </w:tc>
      </w:tr>
      <w:tr w:rsidR="00A177A6" w:rsidRPr="00FF3C0C" w14:paraId="7B4FBD66" w14:textId="77777777" w:rsidTr="002F40EB">
        <w:tc>
          <w:tcPr>
            <w:tcW w:w="4678" w:type="dxa"/>
            <w:shd w:val="pct10" w:color="auto" w:fill="FFFFFF"/>
          </w:tcPr>
          <w:p w14:paraId="32F3613A" w14:textId="77777777" w:rsidR="00A177A6" w:rsidRPr="00FF3C0C" w:rsidRDefault="00A177A6" w:rsidP="00A177A6">
            <w:pPr>
              <w:spacing w:before="120"/>
              <w:ind w:left="318" w:hanging="284"/>
              <w:jc w:val="left"/>
              <w:rPr>
                <w:b/>
                <w:szCs w:val="22"/>
              </w:rPr>
            </w:pPr>
            <w:r w:rsidRPr="00FF3C0C">
              <w:rPr>
                <w:b/>
                <w:szCs w:val="22"/>
              </w:rPr>
              <w:t>5.</w:t>
            </w:r>
            <w:r w:rsidRPr="00FF3C0C">
              <w:rPr>
                <w:b/>
                <w:szCs w:val="22"/>
              </w:rPr>
              <w:tab/>
              <w:t>Notification des résultats de l’évaluation/ présélection</w:t>
            </w:r>
          </w:p>
        </w:tc>
        <w:tc>
          <w:tcPr>
            <w:tcW w:w="2552" w:type="dxa"/>
          </w:tcPr>
          <w:p w14:paraId="3DE5B660" w14:textId="77777777" w:rsidR="00A177A6" w:rsidRPr="00FF3C0C" w:rsidRDefault="00A177A6" w:rsidP="00A177A6">
            <w:pPr>
              <w:spacing w:before="120"/>
              <w:jc w:val="center"/>
              <w:rPr>
                <w:szCs w:val="22"/>
              </w:rPr>
            </w:pPr>
            <w:r w:rsidRPr="00FF3C0C">
              <w:rPr>
                <w:szCs w:val="22"/>
              </w:rPr>
              <w:t>Septembre 2022</w:t>
            </w:r>
          </w:p>
        </w:tc>
        <w:tc>
          <w:tcPr>
            <w:tcW w:w="2551" w:type="dxa"/>
          </w:tcPr>
          <w:p w14:paraId="30926594" w14:textId="77777777" w:rsidR="00A177A6" w:rsidRPr="00FF3C0C" w:rsidRDefault="00A177A6" w:rsidP="00A177A6">
            <w:pPr>
              <w:spacing w:before="120"/>
              <w:jc w:val="center"/>
              <w:rPr>
                <w:szCs w:val="22"/>
              </w:rPr>
            </w:pPr>
            <w:r w:rsidRPr="00FF3C0C">
              <w:t>-</w:t>
            </w:r>
          </w:p>
        </w:tc>
      </w:tr>
      <w:tr w:rsidR="00A177A6" w:rsidRPr="00FF3C0C" w14:paraId="4D530DA3" w14:textId="77777777" w:rsidTr="002F40EB">
        <w:tc>
          <w:tcPr>
            <w:tcW w:w="4678" w:type="dxa"/>
            <w:shd w:val="pct10" w:color="auto" w:fill="FFFFFF"/>
          </w:tcPr>
          <w:p w14:paraId="3D21DBB4" w14:textId="77777777" w:rsidR="00A177A6" w:rsidRPr="00FF3C0C" w:rsidRDefault="00A177A6" w:rsidP="00A177A6">
            <w:pPr>
              <w:spacing w:before="120"/>
              <w:ind w:left="318" w:hanging="284"/>
              <w:jc w:val="left"/>
              <w:rPr>
                <w:b/>
                <w:szCs w:val="22"/>
              </w:rPr>
            </w:pPr>
            <w:r w:rsidRPr="00FF3C0C">
              <w:rPr>
                <w:b/>
                <w:szCs w:val="22"/>
              </w:rPr>
              <w:lastRenderedPageBreak/>
              <w:t>6.</w:t>
            </w:r>
            <w:r w:rsidRPr="00FF3C0C">
              <w:rPr>
                <w:b/>
                <w:szCs w:val="22"/>
              </w:rPr>
              <w:tab/>
              <w:t>Négociation pour affinement et amélioration de la demande complète retenue</w:t>
            </w:r>
          </w:p>
        </w:tc>
        <w:tc>
          <w:tcPr>
            <w:tcW w:w="2552" w:type="dxa"/>
          </w:tcPr>
          <w:p w14:paraId="56F666B9" w14:textId="77777777" w:rsidR="00A177A6" w:rsidRPr="00FF3C0C" w:rsidRDefault="00A177A6" w:rsidP="00A177A6">
            <w:pPr>
              <w:spacing w:before="120"/>
              <w:jc w:val="center"/>
              <w:rPr>
                <w:szCs w:val="22"/>
              </w:rPr>
            </w:pPr>
            <w:r w:rsidRPr="00FF3C0C">
              <w:rPr>
                <w:szCs w:val="22"/>
              </w:rPr>
              <w:t>Septembre/ Octobre 2022</w:t>
            </w:r>
          </w:p>
        </w:tc>
        <w:tc>
          <w:tcPr>
            <w:tcW w:w="2551" w:type="dxa"/>
          </w:tcPr>
          <w:p w14:paraId="45CFBB59" w14:textId="77777777" w:rsidR="00A177A6" w:rsidRPr="00FF3C0C" w:rsidRDefault="00A177A6" w:rsidP="00A177A6">
            <w:pPr>
              <w:spacing w:before="120"/>
              <w:jc w:val="center"/>
              <w:rPr>
                <w:szCs w:val="22"/>
              </w:rPr>
            </w:pPr>
            <w:r w:rsidRPr="00FF3C0C">
              <w:t>-</w:t>
            </w:r>
          </w:p>
        </w:tc>
      </w:tr>
      <w:tr w:rsidR="00A177A6" w:rsidRPr="00FF3C0C" w14:paraId="3F369946" w14:textId="77777777" w:rsidTr="002F40EB">
        <w:tc>
          <w:tcPr>
            <w:tcW w:w="4678" w:type="dxa"/>
            <w:shd w:val="pct10" w:color="auto" w:fill="FFFFFF"/>
          </w:tcPr>
          <w:p w14:paraId="063F0AEC" w14:textId="77777777" w:rsidR="00A177A6" w:rsidRPr="00FF3C0C" w:rsidRDefault="00A177A6" w:rsidP="00A177A6">
            <w:pPr>
              <w:spacing w:before="120"/>
              <w:ind w:left="318" w:hanging="284"/>
              <w:jc w:val="left"/>
              <w:rPr>
                <w:b/>
                <w:szCs w:val="22"/>
              </w:rPr>
            </w:pPr>
            <w:r w:rsidRPr="00FF3C0C">
              <w:rPr>
                <w:b/>
                <w:szCs w:val="22"/>
              </w:rPr>
              <w:t>7.</w:t>
            </w:r>
            <w:r w:rsidRPr="00FF3C0C">
              <w:rPr>
                <w:b/>
                <w:szCs w:val="22"/>
              </w:rPr>
              <w:tab/>
              <w:t xml:space="preserve">Notification de l’attribution </w:t>
            </w:r>
          </w:p>
        </w:tc>
        <w:tc>
          <w:tcPr>
            <w:tcW w:w="2552" w:type="dxa"/>
          </w:tcPr>
          <w:p w14:paraId="3B92B802" w14:textId="77777777" w:rsidR="00A177A6" w:rsidRPr="00FF3C0C" w:rsidRDefault="00A177A6" w:rsidP="00A177A6">
            <w:pPr>
              <w:spacing w:before="120"/>
              <w:jc w:val="center"/>
              <w:rPr>
                <w:szCs w:val="22"/>
              </w:rPr>
            </w:pPr>
            <w:r w:rsidRPr="00FF3C0C">
              <w:rPr>
                <w:szCs w:val="22"/>
              </w:rPr>
              <w:t>Novembre 2022</w:t>
            </w:r>
          </w:p>
        </w:tc>
        <w:tc>
          <w:tcPr>
            <w:tcW w:w="2551" w:type="dxa"/>
          </w:tcPr>
          <w:p w14:paraId="06A9E804" w14:textId="77777777" w:rsidR="00A177A6" w:rsidRPr="00FF3C0C" w:rsidRDefault="00A177A6" w:rsidP="00A177A6">
            <w:pPr>
              <w:spacing w:before="120"/>
              <w:jc w:val="center"/>
              <w:rPr>
                <w:szCs w:val="22"/>
              </w:rPr>
            </w:pPr>
            <w:r w:rsidRPr="00FF3C0C">
              <w:t>-</w:t>
            </w:r>
          </w:p>
        </w:tc>
      </w:tr>
      <w:tr w:rsidR="00A177A6" w:rsidRPr="00FF3C0C" w14:paraId="17007269" w14:textId="77777777" w:rsidTr="002F40EB">
        <w:tc>
          <w:tcPr>
            <w:tcW w:w="4678" w:type="dxa"/>
            <w:shd w:val="pct10" w:color="auto" w:fill="FFFFFF"/>
          </w:tcPr>
          <w:p w14:paraId="2CA2F8A2" w14:textId="77777777" w:rsidR="00A177A6" w:rsidRPr="00FF3C0C" w:rsidRDefault="00A177A6" w:rsidP="00A177A6">
            <w:pPr>
              <w:spacing w:before="120"/>
              <w:ind w:left="318" w:hanging="284"/>
              <w:jc w:val="left"/>
              <w:rPr>
                <w:b/>
                <w:szCs w:val="22"/>
              </w:rPr>
            </w:pPr>
            <w:r w:rsidRPr="00FF3C0C">
              <w:rPr>
                <w:b/>
                <w:szCs w:val="22"/>
              </w:rPr>
              <w:t>8.</w:t>
            </w:r>
            <w:r w:rsidRPr="00FF3C0C">
              <w:rPr>
                <w:b/>
                <w:szCs w:val="22"/>
              </w:rPr>
              <w:tab/>
              <w:t>Signature du contrat</w:t>
            </w:r>
          </w:p>
        </w:tc>
        <w:tc>
          <w:tcPr>
            <w:tcW w:w="2552" w:type="dxa"/>
          </w:tcPr>
          <w:p w14:paraId="03292F67" w14:textId="77777777" w:rsidR="00A177A6" w:rsidRPr="00FF3C0C" w:rsidRDefault="00A177A6" w:rsidP="00A177A6">
            <w:pPr>
              <w:spacing w:before="120"/>
              <w:jc w:val="center"/>
              <w:rPr>
                <w:szCs w:val="22"/>
              </w:rPr>
            </w:pPr>
            <w:r w:rsidRPr="00FF3C0C">
              <w:rPr>
                <w:szCs w:val="22"/>
              </w:rPr>
              <w:t>Novembre 2022</w:t>
            </w:r>
          </w:p>
        </w:tc>
        <w:tc>
          <w:tcPr>
            <w:tcW w:w="2551" w:type="dxa"/>
          </w:tcPr>
          <w:p w14:paraId="5E0C4002" w14:textId="77777777" w:rsidR="00A177A6" w:rsidRPr="00FF3C0C" w:rsidRDefault="00A177A6" w:rsidP="00A177A6">
            <w:pPr>
              <w:spacing w:before="120"/>
              <w:jc w:val="center"/>
              <w:rPr>
                <w:szCs w:val="22"/>
              </w:rPr>
            </w:pPr>
            <w:r w:rsidRPr="00FF3C0C">
              <w:t>-</w:t>
            </w:r>
          </w:p>
        </w:tc>
      </w:tr>
    </w:tbl>
    <w:p w14:paraId="0731DCEC" w14:textId="77777777" w:rsidR="00A177A6" w:rsidRPr="00FF3C0C" w:rsidRDefault="00A177A6" w:rsidP="00A177A6">
      <w:pPr>
        <w:spacing w:before="120"/>
      </w:pPr>
      <w:r w:rsidRPr="00FF3C0C">
        <w:t>Toutes les heures sont celles qui correspondent au fuseau horaire du pays de l’administration contractante.</w:t>
      </w:r>
    </w:p>
    <w:p w14:paraId="1EF4F4BF" w14:textId="77777777" w:rsidR="00A177A6" w:rsidRPr="00FF3C0C" w:rsidRDefault="00A177A6" w:rsidP="00A177A6">
      <w:pPr>
        <w:spacing w:after="120"/>
      </w:pPr>
      <w:r w:rsidRPr="00FF3C0C">
        <w:t xml:space="preserve">Ce calendrier indicatif renvoie à des dates provisoires (sauf pour les dates 2, 3 et 4) et peut être mis à jour par l’administration contractante au cours de la procédure. Dans ce cas, le calendrier mis à jour sera publié sur le site internet où l’appel a été publié : le site internet de la </w:t>
      </w:r>
      <w:r w:rsidRPr="00FF3C0C">
        <w:rPr>
          <w:snapToGrid/>
          <w:szCs w:val="22"/>
        </w:rPr>
        <w:t xml:space="preserve">Délégation de l’UE au Burundi : </w:t>
      </w:r>
      <w:hyperlink r:id="rId19" w:history="1">
        <w:r w:rsidRPr="00FF3C0C">
          <w:rPr>
            <w:szCs w:val="22"/>
            <w:u w:val="single"/>
            <w:lang w:val="fr-BE"/>
          </w:rPr>
          <w:t>https://eeas.europa.eu/delegations/burundi_fr</w:t>
        </w:r>
      </w:hyperlink>
    </w:p>
    <w:p w14:paraId="365E00E7" w14:textId="77777777" w:rsidR="00A177A6" w:rsidRPr="00FF3C0C" w:rsidRDefault="00A177A6" w:rsidP="006D3C1C">
      <w:pPr>
        <w:pStyle w:val="Guidelines2"/>
        <w:rPr>
          <w:b w:val="0"/>
          <w:smallCaps w:val="0"/>
        </w:rPr>
      </w:pPr>
      <w:bookmarkStart w:id="31" w:name="_Toc88143719"/>
      <w:bookmarkStart w:id="32" w:name="_Toc104797769"/>
      <w:r w:rsidRPr="00FF3C0C">
        <w:rPr>
          <w:b w:val="0"/>
          <w:smallCaps w:val="0"/>
        </w:rPr>
        <w:t>Conditions de la mise en œuvre après la décision de l’administration contractante d’attribuer une subvention</w:t>
      </w:r>
      <w:bookmarkEnd w:id="31"/>
      <w:bookmarkEnd w:id="32"/>
    </w:p>
    <w:p w14:paraId="4F557CA0" w14:textId="77777777" w:rsidR="00A177A6" w:rsidRPr="00FF3C0C" w:rsidRDefault="00A177A6" w:rsidP="00A177A6">
      <w:pPr>
        <w:spacing w:after="120"/>
      </w:pPr>
      <w:r w:rsidRPr="00FF3C0C">
        <w:t>Une fois que la décision a été prise d’attribuer une subvention, le ou les bénéficiaires se voient proposer un contrat basé sur le contrat type de subvention (annexe G des présentes lignes directrices). En signant le formulaire de demande (annexe A des présentes lignes directrices), les demandeurs acceptent, si la subvention leur est attribuée, les conditions contractuelles du contrat type de subvention. Si le coordonnateur est une organisation dont les piliers ont été évalués positivement, il signe une convention de contribution fondée sur le modèle de convention de contribution. Dans ce cas, les références aux dispositions du contrat type de subvention et de ses annexes ne s’appliquent pas. Les références, dans les présentes lignes directrices, au contrat de subvention s’entendent comme des références aux dispositions pertinentes de la convention de contribution.</w:t>
      </w:r>
    </w:p>
    <w:p w14:paraId="5CF8B116" w14:textId="77777777" w:rsidR="00A177A6" w:rsidRPr="00FF3C0C" w:rsidRDefault="00A177A6" w:rsidP="00A177A6">
      <w:pPr>
        <w:spacing w:before="240" w:after="120"/>
        <w:rPr>
          <w:u w:val="single"/>
        </w:rPr>
      </w:pPr>
      <w:r w:rsidRPr="00FF3C0C">
        <w:rPr>
          <w:u w:val="single"/>
        </w:rPr>
        <w:t>Marchés d’exécution</w:t>
      </w:r>
    </w:p>
    <w:p w14:paraId="4BAE7F92" w14:textId="77777777" w:rsidR="00A177A6" w:rsidRPr="00FF3C0C" w:rsidRDefault="00A177A6" w:rsidP="00A177A6">
      <w:pPr>
        <w:spacing w:after="120"/>
      </w:pPr>
      <w:r w:rsidRPr="00FF3C0C">
        <w:t>Lorsque la mise en œuvre d’une action nécessite la passation de marchés publics par le ou les bénéficiaires et les éventuelles entités affiliées, ces marchés doivent être attribués conformément à l’annexe IV du contrat type de subvention.</w:t>
      </w:r>
    </w:p>
    <w:p w14:paraId="0060D112" w14:textId="77777777" w:rsidR="00A177A6" w:rsidRPr="00FF3C0C" w:rsidRDefault="00A177A6" w:rsidP="00A177A6">
      <w:pPr>
        <w:spacing w:after="120"/>
      </w:pPr>
      <w:r w:rsidRPr="00FF3C0C">
        <w:t xml:space="preserve">Dans ce contexte, il convient d’opérer une distinction entre l’attribution de marchés d’exécution et la sous-traitance de parties de l’action décrite dans la proposition, à savoir dans la description de l’action jointe au contrat de subvention, la sous-traitance étant soumise à des restrictions supplémentaires (voir les conditions générales figurant dans le contrat type de subvention).  </w:t>
      </w:r>
    </w:p>
    <w:p w14:paraId="1D414887" w14:textId="77777777" w:rsidR="00A177A6" w:rsidRPr="00FF3C0C" w:rsidRDefault="00A177A6" w:rsidP="00A177A6">
      <w:pPr>
        <w:spacing w:after="120"/>
      </w:pPr>
      <w:r w:rsidRPr="00FF3C0C">
        <w:t xml:space="preserve">Attribution de marchés d’exécution: les marchés d’exécution concernent l’acquisition, par les bénéficiaires, de services courants et/ou de biens et d’équipements nécessaires dans le cadre de leur gestion de projet; ils ne couvrent pas l’externalisation de tâches qui font partie de l’action et qui sont décrites dans la proposition, à savoir dans la description de l’action jointe au contrat de subvention. </w:t>
      </w:r>
    </w:p>
    <w:p w14:paraId="6C88243B" w14:textId="77777777" w:rsidR="00A177A6" w:rsidRPr="00FF3C0C" w:rsidRDefault="00A177A6" w:rsidP="00A177A6">
      <w:r w:rsidRPr="00FF3C0C">
        <w:t xml:space="preserve">Sous-traitance: la sous-traitance est l’exécution, par un tiers auquel un ou plusieurs bénéficiaires ont attribué un marché public, de tâches spécifiques faisant partie de l’action telle que décrite dans l’annexe du contrat de subvention (voir également les modalités et conditions générales figurant dans le contrat type de subvention). </w:t>
      </w:r>
    </w:p>
    <w:p w14:paraId="3DE2D4B5" w14:textId="77777777" w:rsidR="00A177A6" w:rsidRPr="00FF3C0C" w:rsidRDefault="00A177A6" w:rsidP="00A177A6"/>
    <w:p w14:paraId="42070589" w14:textId="77777777" w:rsidR="00A177A6" w:rsidRPr="00643567" w:rsidRDefault="00A177A6" w:rsidP="00643567">
      <w:pPr>
        <w:pStyle w:val="Guidelines1"/>
      </w:pPr>
      <w:r w:rsidRPr="00FF3C0C">
        <w:br w:type="page"/>
      </w:r>
      <w:bookmarkStart w:id="33" w:name="_Toc88143720"/>
      <w:r w:rsidRPr="00643567">
        <w:lastRenderedPageBreak/>
        <w:t>LISTE DES ANNEXES</w:t>
      </w:r>
      <w:bookmarkEnd w:id="33"/>
    </w:p>
    <w:p w14:paraId="226C342F" w14:textId="77777777" w:rsidR="00A177A6" w:rsidRPr="00FF3C0C" w:rsidRDefault="00A177A6" w:rsidP="00A177A6">
      <w:pPr>
        <w:spacing w:before="120" w:after="120"/>
        <w:rPr>
          <w:b/>
          <w:smallCaps/>
        </w:rPr>
      </w:pPr>
      <w:r w:rsidRPr="00FF3C0C">
        <w:rPr>
          <w:b/>
          <w:smallCaps/>
        </w:rPr>
        <w:t>Documents à remplir</w:t>
      </w:r>
    </w:p>
    <w:p w14:paraId="2C1AB9A1" w14:textId="77777777" w:rsidR="00A177A6" w:rsidRPr="00FF3C0C" w:rsidRDefault="00A177A6" w:rsidP="00A177A6">
      <w:pPr>
        <w:spacing w:after="80"/>
        <w:ind w:left="1134" w:hanging="1134"/>
      </w:pPr>
      <w:r w:rsidRPr="00FF3C0C">
        <w:t>Annexe A:</w:t>
      </w:r>
      <w:r w:rsidRPr="00FF3C0C">
        <w:tab/>
        <w:t>Formulaire de demande de subvention (format Word)</w:t>
      </w:r>
    </w:p>
    <w:p w14:paraId="18502511" w14:textId="77777777" w:rsidR="00A177A6" w:rsidRPr="00FF3C0C" w:rsidRDefault="00A177A6" w:rsidP="00A177A6">
      <w:pPr>
        <w:spacing w:after="80"/>
        <w:ind w:left="1134" w:hanging="1134"/>
      </w:pPr>
      <w:r w:rsidRPr="00FF3C0C">
        <w:t>Annexe B:</w:t>
      </w:r>
      <w:r w:rsidRPr="00FF3C0C">
        <w:tab/>
        <w:t>Budget (format Excel)</w:t>
      </w:r>
    </w:p>
    <w:p w14:paraId="55AAACE7" w14:textId="77777777" w:rsidR="00A177A6" w:rsidRPr="00FF3C0C" w:rsidRDefault="00A177A6" w:rsidP="00A177A6">
      <w:pPr>
        <w:spacing w:after="80"/>
        <w:ind w:left="1134" w:hanging="1134"/>
      </w:pPr>
      <w:r w:rsidRPr="00FF3C0C">
        <w:t>Annexe C:</w:t>
      </w:r>
      <w:r w:rsidRPr="00FF3C0C">
        <w:tab/>
        <w:t>Cadre logique (format Excel)</w:t>
      </w:r>
    </w:p>
    <w:p w14:paraId="0FB80ECF" w14:textId="77777777" w:rsidR="00A177A6" w:rsidRPr="00FF3C0C" w:rsidRDefault="00A177A6" w:rsidP="00A177A6">
      <w:pPr>
        <w:spacing w:after="80"/>
        <w:ind w:left="1134" w:hanging="1134"/>
      </w:pPr>
      <w:r w:rsidRPr="00FF3C0C">
        <w:t>Annexe D:</w:t>
      </w:r>
      <w:r w:rsidRPr="00FF3C0C">
        <w:tab/>
        <w:t>Formulaire «entité légale»</w:t>
      </w:r>
    </w:p>
    <w:p w14:paraId="231CDC77" w14:textId="77777777" w:rsidR="00A177A6" w:rsidRPr="00FF3C0C" w:rsidRDefault="00A177A6" w:rsidP="00A177A6">
      <w:pPr>
        <w:tabs>
          <w:tab w:val="left" w:pos="1134"/>
        </w:tabs>
        <w:spacing w:after="80"/>
      </w:pPr>
      <w:r w:rsidRPr="00FF3C0C">
        <w:t>Annexe E:</w:t>
      </w:r>
      <w:r w:rsidRPr="00FF3C0C">
        <w:tab/>
        <w:t>Formulaire «signalétique financier»</w:t>
      </w:r>
    </w:p>
    <w:p w14:paraId="25427CBA" w14:textId="77777777" w:rsidR="00A177A6" w:rsidRPr="00FF3C0C" w:rsidRDefault="00A177A6" w:rsidP="00A177A6">
      <w:pPr>
        <w:spacing w:after="80"/>
        <w:ind w:left="1134" w:hanging="1134"/>
      </w:pPr>
      <w:r w:rsidRPr="00FF3C0C">
        <w:t xml:space="preserve">Annexe F: </w:t>
      </w:r>
      <w:r w:rsidRPr="00FF3C0C">
        <w:tab/>
        <w:t xml:space="preserve">Formulaire d’enregistrement PADOR </w:t>
      </w:r>
    </w:p>
    <w:p w14:paraId="02B7A798" w14:textId="77777777" w:rsidR="00A177A6" w:rsidRPr="00FF3C0C" w:rsidRDefault="00A177A6" w:rsidP="00A177A6">
      <w:pPr>
        <w:spacing w:before="240"/>
        <w:rPr>
          <w:b/>
          <w:smallCaps/>
        </w:rPr>
      </w:pPr>
      <w:r w:rsidRPr="00FF3C0C">
        <w:rPr>
          <w:b/>
          <w:smallCaps/>
        </w:rPr>
        <w:t>DOCUMENTS POUR INFORMATION</w:t>
      </w:r>
      <w:r w:rsidRPr="00FF3C0C">
        <w:rPr>
          <w:b/>
          <w:smallCaps/>
          <w:sz w:val="24"/>
          <w:vertAlign w:val="superscript"/>
        </w:rPr>
        <w:footnoteReference w:id="15"/>
      </w:r>
    </w:p>
    <w:p w14:paraId="5AA51249" w14:textId="77777777" w:rsidR="00A177A6" w:rsidRPr="00FF3C0C" w:rsidRDefault="00A177A6" w:rsidP="00A177A6">
      <w:pPr>
        <w:spacing w:after="120"/>
        <w:ind w:left="1134" w:hanging="1134"/>
      </w:pPr>
      <w:r w:rsidRPr="00FF3C0C">
        <w:t>Annexe G:</w:t>
      </w:r>
      <w:r w:rsidRPr="00FF3C0C">
        <w:tab/>
        <w:t>contrat type de subvention</w:t>
      </w:r>
    </w:p>
    <w:p w14:paraId="09BB70D6" w14:textId="77777777" w:rsidR="00A177A6" w:rsidRPr="00FF3C0C" w:rsidRDefault="00A177A6" w:rsidP="00A177A6">
      <w:pPr>
        <w:tabs>
          <w:tab w:val="left" w:pos="567"/>
          <w:tab w:val="left" w:pos="1985"/>
        </w:tabs>
        <w:spacing w:after="0"/>
        <w:ind w:left="1701" w:hanging="1276"/>
      </w:pPr>
      <w:r w:rsidRPr="00FF3C0C">
        <w:t>-</w:t>
      </w:r>
      <w:r w:rsidRPr="00FF3C0C">
        <w:tab/>
        <w:t>Annexe II:</w:t>
      </w:r>
      <w:r w:rsidRPr="00FF3C0C">
        <w:tab/>
      </w:r>
      <w:r w:rsidRPr="00FF3C0C">
        <w:tab/>
        <w:t xml:space="preserve">Conditions générales </w:t>
      </w:r>
    </w:p>
    <w:p w14:paraId="76E484F3" w14:textId="77777777" w:rsidR="00A177A6" w:rsidRPr="00FF3C0C" w:rsidRDefault="00A177A6" w:rsidP="00A177A6">
      <w:pPr>
        <w:tabs>
          <w:tab w:val="left" w:pos="567"/>
          <w:tab w:val="left" w:pos="1985"/>
        </w:tabs>
        <w:spacing w:after="0"/>
        <w:ind w:left="1701" w:hanging="1276"/>
      </w:pPr>
      <w:r w:rsidRPr="00FF3C0C">
        <w:t>-</w:t>
      </w:r>
      <w:r w:rsidRPr="00FF3C0C">
        <w:tab/>
        <w:t>Annexe IV:</w:t>
      </w:r>
      <w:r w:rsidRPr="00FF3C0C">
        <w:tab/>
      </w:r>
      <w:r w:rsidRPr="00FF3C0C">
        <w:tab/>
        <w:t>Règles d’attribution des marchés</w:t>
      </w:r>
    </w:p>
    <w:p w14:paraId="37CD5BDC" w14:textId="77777777" w:rsidR="00A177A6" w:rsidRPr="00FF3C0C" w:rsidRDefault="00A177A6" w:rsidP="00A177A6">
      <w:pPr>
        <w:tabs>
          <w:tab w:val="left" w:pos="567"/>
          <w:tab w:val="left" w:pos="1985"/>
        </w:tabs>
        <w:spacing w:after="0"/>
        <w:ind w:left="1701" w:hanging="1276"/>
      </w:pPr>
      <w:r w:rsidRPr="00FF3C0C">
        <w:t>-</w:t>
      </w:r>
      <w:r w:rsidRPr="00FF3C0C">
        <w:tab/>
        <w:t>Annexe V:</w:t>
      </w:r>
      <w:r w:rsidRPr="00FF3C0C">
        <w:tab/>
      </w:r>
      <w:r w:rsidRPr="00FF3C0C">
        <w:tab/>
        <w:t>Modèle de demande de paiement</w:t>
      </w:r>
    </w:p>
    <w:p w14:paraId="5C49CAE1" w14:textId="77777777" w:rsidR="00A177A6" w:rsidRPr="00FF3C0C" w:rsidRDefault="00A177A6" w:rsidP="00A177A6">
      <w:pPr>
        <w:tabs>
          <w:tab w:val="left" w:pos="567"/>
          <w:tab w:val="left" w:pos="1701"/>
          <w:tab w:val="left" w:pos="1985"/>
        </w:tabs>
        <w:spacing w:after="0"/>
        <w:ind w:left="1701" w:hanging="1276"/>
      </w:pPr>
      <w:r w:rsidRPr="00FF3C0C">
        <w:t>-</w:t>
      </w:r>
      <w:r w:rsidRPr="00FF3C0C">
        <w:tab/>
        <w:t>Annexe VI:</w:t>
      </w:r>
      <w:r w:rsidRPr="00FF3C0C">
        <w:tab/>
      </w:r>
      <w:r w:rsidRPr="00FF3C0C">
        <w:tab/>
        <w:t>Modèle de rapport narratif et financier</w:t>
      </w:r>
    </w:p>
    <w:p w14:paraId="15F91047" w14:textId="77777777" w:rsidR="00A177A6" w:rsidRPr="00FF3C0C" w:rsidRDefault="00A177A6" w:rsidP="00A177A6">
      <w:pPr>
        <w:tabs>
          <w:tab w:val="left" w:pos="567"/>
          <w:tab w:val="left" w:pos="1985"/>
        </w:tabs>
        <w:spacing w:after="0"/>
        <w:ind w:left="1985" w:hanging="1560"/>
      </w:pPr>
      <w:r w:rsidRPr="00FF3C0C">
        <w:t>- Annexe VII:</w:t>
      </w:r>
      <w:r w:rsidRPr="00FF3C0C">
        <w:tab/>
        <w:t>Modèle de rapport sur les constatations factuelles et termes de référence techniques pour la vérification des dépenses d’un contrat de subvention conclu dans le cadre des actions extérieures de l’UE</w:t>
      </w:r>
    </w:p>
    <w:p w14:paraId="0EF234E9" w14:textId="77777777" w:rsidR="00A177A6" w:rsidRPr="00FF3C0C" w:rsidRDefault="00A177A6" w:rsidP="00A177A6">
      <w:pPr>
        <w:tabs>
          <w:tab w:val="left" w:pos="567"/>
          <w:tab w:val="left" w:pos="1985"/>
        </w:tabs>
        <w:spacing w:after="0"/>
        <w:ind w:left="1701" w:hanging="1276"/>
      </w:pPr>
      <w:r w:rsidRPr="00FF3C0C">
        <w:t>- Annexe VIII:</w:t>
      </w:r>
      <w:r w:rsidRPr="00FF3C0C">
        <w:tab/>
        <w:t>Modèle de garantie financière</w:t>
      </w:r>
    </w:p>
    <w:p w14:paraId="7CE47C33" w14:textId="77777777" w:rsidR="00A177A6" w:rsidRPr="00FF3C0C" w:rsidRDefault="00A177A6" w:rsidP="00A177A6">
      <w:pPr>
        <w:tabs>
          <w:tab w:val="left" w:pos="567"/>
          <w:tab w:val="left" w:pos="1985"/>
        </w:tabs>
        <w:spacing w:after="0"/>
        <w:ind w:left="1701" w:hanging="1276"/>
      </w:pPr>
      <w:r w:rsidRPr="00FF3C0C">
        <w:t xml:space="preserve">- Annexe IX: </w:t>
      </w:r>
      <w:r w:rsidRPr="00FF3C0C">
        <w:tab/>
      </w:r>
      <w:r w:rsidRPr="00FF3C0C">
        <w:tab/>
        <w:t>Modèle de convention de transfert de propriété d’actifs</w:t>
      </w:r>
    </w:p>
    <w:p w14:paraId="647D9B26" w14:textId="77777777" w:rsidR="00A177A6" w:rsidRPr="00FF3C0C" w:rsidRDefault="00A177A6" w:rsidP="00A177A6">
      <w:pPr>
        <w:tabs>
          <w:tab w:val="left" w:pos="1134"/>
        </w:tabs>
        <w:spacing w:before="240" w:after="120"/>
        <w:ind w:left="1134" w:hanging="1134"/>
        <w:jc w:val="left"/>
        <w:rPr>
          <w:szCs w:val="22"/>
        </w:rPr>
      </w:pPr>
      <w:r w:rsidRPr="00FF3C0C">
        <w:t>Annexe H:</w:t>
      </w:r>
      <w:r w:rsidRPr="00FF3C0C">
        <w:tab/>
        <w:t>Déclaration sur l’honneur</w:t>
      </w:r>
    </w:p>
    <w:p w14:paraId="41B5ECED" w14:textId="77777777" w:rsidR="00A177A6" w:rsidRPr="00FF3C0C" w:rsidRDefault="00A177A6" w:rsidP="00A177A6">
      <w:pPr>
        <w:tabs>
          <w:tab w:val="left" w:pos="1134"/>
        </w:tabs>
        <w:spacing w:after="120"/>
        <w:ind w:left="1134" w:hanging="1134"/>
        <w:jc w:val="left"/>
        <w:rPr>
          <w:szCs w:val="22"/>
        </w:rPr>
      </w:pPr>
      <w:r w:rsidRPr="00FF3C0C">
        <w:t>Annexe I:</w:t>
      </w:r>
      <w:r w:rsidRPr="00FF3C0C">
        <w:tab/>
        <w:t xml:space="preserve">Taux des indemnités journalières (per diems), disponibles à l’adresse suivante: </w:t>
      </w:r>
      <w:hyperlink r:id="rId20" w:history="1">
        <w:r w:rsidRPr="00FF3C0C">
          <w:rPr>
            <w:u w:val="single"/>
          </w:rPr>
          <w:t>https://ec.europa.eu/international-partnerships/system/files/per_diem_rates_20191218.pdf</w:t>
        </w:r>
      </w:hyperlink>
      <w:r w:rsidRPr="00FF3C0C">
        <w:t xml:space="preserve">  </w:t>
      </w:r>
    </w:p>
    <w:p w14:paraId="7B4F1E0E" w14:textId="77777777" w:rsidR="00A177A6" w:rsidRPr="00FF3C0C" w:rsidRDefault="00A177A6" w:rsidP="00A177A6">
      <w:pPr>
        <w:tabs>
          <w:tab w:val="left" w:pos="1134"/>
        </w:tabs>
        <w:spacing w:after="120"/>
        <w:ind w:left="1134" w:hanging="1134"/>
        <w:rPr>
          <w:szCs w:val="22"/>
        </w:rPr>
      </w:pPr>
      <w:r w:rsidRPr="00FF3C0C">
        <w:t>Annexe J:</w:t>
      </w:r>
      <w:r w:rsidRPr="00FF3C0C">
        <w:tab/>
        <w:t>Informations relatives au régime fiscal applicable aux contrats de subvention signés dans le cadre de l’appel à propositions</w:t>
      </w:r>
    </w:p>
    <w:p w14:paraId="2540F6C0" w14:textId="77777777" w:rsidR="00A177A6" w:rsidRPr="00FF3C0C" w:rsidRDefault="00A177A6" w:rsidP="00A177A6">
      <w:pPr>
        <w:tabs>
          <w:tab w:val="left" w:pos="1134"/>
        </w:tabs>
        <w:spacing w:after="0"/>
        <w:ind w:left="1134" w:hanging="1134"/>
        <w:jc w:val="left"/>
        <w:rPr>
          <w:szCs w:val="22"/>
        </w:rPr>
      </w:pPr>
      <w:r w:rsidRPr="00FF3C0C">
        <w:t>Annexe K:</w:t>
      </w:r>
      <w:r w:rsidRPr="00FF3C0C">
        <w:tab/>
        <w:t>Lignes directrices pour l’évaluation des options simplifiées en matière de coûts</w:t>
      </w:r>
    </w:p>
    <w:p w14:paraId="4846DA5F" w14:textId="77777777" w:rsidR="00A177A6" w:rsidRPr="00FF3C0C" w:rsidRDefault="00A177A6" w:rsidP="00A177A6">
      <w:pPr>
        <w:tabs>
          <w:tab w:val="left" w:pos="1134"/>
        </w:tabs>
        <w:spacing w:after="0"/>
        <w:jc w:val="left"/>
        <w:rPr>
          <w:szCs w:val="22"/>
        </w:rPr>
      </w:pPr>
    </w:p>
    <w:p w14:paraId="6134584F" w14:textId="77777777" w:rsidR="00A177A6" w:rsidRPr="00FF3C0C" w:rsidRDefault="00A177A6" w:rsidP="00A177A6">
      <w:pPr>
        <w:tabs>
          <w:tab w:val="left" w:pos="1134"/>
        </w:tabs>
        <w:spacing w:after="0"/>
        <w:jc w:val="left"/>
        <w:rPr>
          <w:szCs w:val="22"/>
        </w:rPr>
      </w:pPr>
      <w:r w:rsidRPr="00FF3C0C">
        <w:t>Annexe L:</w:t>
      </w:r>
      <w:r w:rsidRPr="00FF3C0C">
        <w:tab/>
        <w:t>Questionnaire d’autoévaluation sur l’EAHS</w:t>
      </w:r>
    </w:p>
    <w:p w14:paraId="302CBAD2" w14:textId="77777777" w:rsidR="00A177A6" w:rsidRPr="00FF3C0C" w:rsidRDefault="00A177A6" w:rsidP="00A177A6">
      <w:pPr>
        <w:spacing w:before="240"/>
        <w:jc w:val="left"/>
        <w:rPr>
          <w:b/>
          <w:szCs w:val="22"/>
        </w:rPr>
      </w:pPr>
      <w:r w:rsidRPr="00FF3C0C">
        <w:rPr>
          <w:b/>
          <w:szCs w:val="22"/>
        </w:rPr>
        <w:t>Liens utiles:</w:t>
      </w:r>
    </w:p>
    <w:p w14:paraId="3F07E840" w14:textId="77777777" w:rsidR="00A177A6" w:rsidRPr="00FF3C0C" w:rsidRDefault="00A177A6" w:rsidP="00A177A6">
      <w:pPr>
        <w:spacing w:after="0"/>
        <w:jc w:val="left"/>
        <w:rPr>
          <w:b/>
          <w:szCs w:val="22"/>
        </w:rPr>
      </w:pPr>
      <w:r w:rsidRPr="00FF3C0C">
        <w:rPr>
          <w:b/>
          <w:szCs w:val="22"/>
        </w:rPr>
        <w:t xml:space="preserve">Lignes directrices – Gestion du cycle de projet </w:t>
      </w:r>
    </w:p>
    <w:p w14:paraId="2D65B08C" w14:textId="77777777" w:rsidR="00A177A6" w:rsidRPr="00FF3C0C" w:rsidRDefault="00255D80" w:rsidP="00A177A6">
      <w:pPr>
        <w:spacing w:after="0"/>
        <w:jc w:val="left"/>
        <w:rPr>
          <w:snapToGrid/>
        </w:rPr>
      </w:pPr>
      <w:hyperlink r:id="rId21" w:history="1">
        <w:r w:rsidR="00A177A6" w:rsidRPr="00FF3C0C">
          <w:rPr>
            <w:color w:val="00B0F0"/>
            <w:u w:val="single"/>
          </w:rPr>
          <w:t>https://ec.europa.eu/international-partnerships/funding/managing-project_en</w:t>
        </w:r>
      </w:hyperlink>
      <w:r w:rsidR="00A177A6" w:rsidRPr="00FF3C0C">
        <w:t xml:space="preserve"> </w:t>
      </w:r>
    </w:p>
    <w:p w14:paraId="3132C7C6" w14:textId="77777777" w:rsidR="00A177A6" w:rsidRPr="00FF3C0C" w:rsidRDefault="00A177A6" w:rsidP="00A177A6">
      <w:pPr>
        <w:spacing w:before="120" w:after="120"/>
        <w:jc w:val="left"/>
        <w:rPr>
          <w:b/>
          <w:szCs w:val="22"/>
        </w:rPr>
      </w:pPr>
      <w:r w:rsidRPr="00FF3C0C">
        <w:rPr>
          <w:b/>
          <w:szCs w:val="22"/>
        </w:rPr>
        <w:t>Mise en œuvre des contrats de subvention</w:t>
      </w:r>
    </w:p>
    <w:p w14:paraId="0426B367" w14:textId="77777777" w:rsidR="00A177A6" w:rsidRPr="00FF3C0C" w:rsidRDefault="00A177A6" w:rsidP="00A177A6">
      <w:pPr>
        <w:spacing w:after="0"/>
        <w:jc w:val="left"/>
        <w:rPr>
          <w:b/>
          <w:szCs w:val="22"/>
        </w:rPr>
      </w:pPr>
      <w:r w:rsidRPr="00FF3C0C">
        <w:rPr>
          <w:b/>
          <w:szCs w:val="22"/>
        </w:rPr>
        <w:t>Guide de l’utilisateur</w:t>
      </w:r>
    </w:p>
    <w:p w14:paraId="5BBD19EF" w14:textId="362EDDD1" w:rsidR="00A177A6" w:rsidRPr="00FF3C0C" w:rsidRDefault="00255D80" w:rsidP="00A177A6">
      <w:pPr>
        <w:spacing w:after="120"/>
        <w:jc w:val="left"/>
        <w:rPr>
          <w:color w:val="00B0F0"/>
          <w:u w:val="single"/>
        </w:rPr>
      </w:pPr>
      <w:hyperlink r:id="rId22" w:history="1">
        <w:r w:rsidR="00A177A6" w:rsidRPr="00FF3C0C">
          <w:rPr>
            <w:color w:val="00B0F0"/>
            <w:u w:val="single"/>
          </w:rPr>
          <w:t>http://ec.europa.eu/europeaid/companion/document.do?nodeNumber=19&amp;locale=fr</w:t>
        </w:r>
      </w:hyperlink>
    </w:p>
    <w:p w14:paraId="0098C36A" w14:textId="77777777" w:rsidR="00A177A6" w:rsidRPr="00FF3C0C" w:rsidRDefault="00A177A6" w:rsidP="00A177A6">
      <w:pPr>
        <w:spacing w:before="120" w:after="0"/>
        <w:jc w:val="left"/>
        <w:rPr>
          <w:b/>
          <w:szCs w:val="22"/>
        </w:rPr>
      </w:pPr>
      <w:r w:rsidRPr="00FF3C0C">
        <w:rPr>
          <w:b/>
          <w:szCs w:val="22"/>
        </w:rPr>
        <w:t>Manuel pour la gestion financière</w:t>
      </w:r>
      <w:r w:rsidRPr="00FF3C0C">
        <w:rPr>
          <w:b/>
          <w:szCs w:val="22"/>
        </w:rPr>
        <w:tab/>
      </w:r>
    </w:p>
    <w:p w14:paraId="7F8D67F6" w14:textId="77777777" w:rsidR="00A177A6" w:rsidRPr="00FF3C0C" w:rsidRDefault="00255D80" w:rsidP="00A177A6">
      <w:pPr>
        <w:spacing w:after="0"/>
        <w:jc w:val="left"/>
      </w:pPr>
      <w:hyperlink r:id="rId23" w:history="1">
        <w:r w:rsidR="00A177A6" w:rsidRPr="00FF3C0C">
          <w:rPr>
            <w:color w:val="00B0F0"/>
            <w:u w:val="single"/>
          </w:rPr>
          <w:t>https://ec.europa.eu/international-partnerships/financial-management-toolkit_fr</w:t>
        </w:r>
      </w:hyperlink>
      <w:r w:rsidR="00A177A6" w:rsidRPr="00FF3C0C">
        <w:t xml:space="preserve"> </w:t>
      </w:r>
    </w:p>
    <w:p w14:paraId="6EDA39E2" w14:textId="77777777" w:rsidR="00A177A6" w:rsidRPr="00FF3C0C" w:rsidRDefault="00A177A6" w:rsidP="00A177A6">
      <w:pPr>
        <w:spacing w:after="0"/>
        <w:rPr>
          <w:iCs/>
        </w:rPr>
      </w:pPr>
      <w:r w:rsidRPr="00FF3C0C">
        <w:rPr>
          <w:iCs/>
        </w:rPr>
        <w:t>Remarque: ce manuel ne fait pas partie du contrat de subvention et n’a pas de valeur juridique. Il fournit simplement des orientations générales et peut, sur certains points, différer du contrat de subvention signé. Afin de garantir le respect de leurs obligations contractuelles, les bénéficiaires ne devraient pas se fier uniquement au manuel, mais toujours consulter les documents contractuels qui les concernent.</w:t>
      </w:r>
    </w:p>
    <w:p w14:paraId="44EB7FAC" w14:textId="77777777" w:rsidR="00A177A6" w:rsidRPr="00FF3C0C" w:rsidRDefault="00A177A6" w:rsidP="00A177A6">
      <w:pPr>
        <w:spacing w:after="0"/>
        <w:rPr>
          <w:iCs/>
        </w:rPr>
      </w:pPr>
    </w:p>
    <w:p w14:paraId="198DCAF8" w14:textId="77777777" w:rsidR="00A177A6" w:rsidRPr="00FF3C0C" w:rsidRDefault="00A177A6" w:rsidP="00A177A6">
      <w:pPr>
        <w:spacing w:after="0"/>
        <w:jc w:val="center"/>
        <w:rPr>
          <w:b/>
          <w:szCs w:val="22"/>
          <w:highlight w:val="magenta"/>
        </w:rPr>
      </w:pPr>
      <w:r w:rsidRPr="00FF3C0C">
        <w:rPr>
          <w:szCs w:val="22"/>
        </w:rPr>
        <w:t>* * *</w:t>
      </w:r>
    </w:p>
    <w:p w14:paraId="3C6D768B" w14:textId="2AEF823A" w:rsidR="00357CC0" w:rsidRPr="00FF3C0C" w:rsidRDefault="00357CC0" w:rsidP="0068216F"/>
    <w:p w14:paraId="4163C6C8" w14:textId="23F72935" w:rsidR="00AE0D24" w:rsidRPr="00FF3C0C" w:rsidRDefault="00AE0D24" w:rsidP="0068216F"/>
    <w:p w14:paraId="5BF4A467" w14:textId="3F8B7F5F" w:rsidR="00AE0D24" w:rsidRPr="00FF3C0C" w:rsidRDefault="00AE0D24" w:rsidP="0068216F"/>
    <w:p w14:paraId="65A228F1" w14:textId="144EABF1" w:rsidR="00AE0D24" w:rsidRPr="00FF3C0C" w:rsidRDefault="00AE0D24" w:rsidP="0068216F"/>
    <w:p w14:paraId="2926FD71" w14:textId="5BB8A279" w:rsidR="00AE0D24" w:rsidRPr="00FF3C0C" w:rsidRDefault="00AE0D24" w:rsidP="0068216F"/>
    <w:p w14:paraId="553DF471" w14:textId="77777777" w:rsidR="00AE0D24" w:rsidRPr="00FF3C0C" w:rsidRDefault="00AE0D24" w:rsidP="0068216F"/>
    <w:sectPr w:rsidR="00AE0D24" w:rsidRPr="00FF3C0C" w:rsidSect="002D4ACD">
      <w:pgSz w:w="11906" w:h="16838" w:code="9"/>
      <w:pgMar w:top="1021" w:right="1134" w:bottom="1021" w:left="1134" w:header="567" w:footer="54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A02C" w14:textId="77777777" w:rsidR="00B92820" w:rsidRDefault="00B92820">
      <w:r>
        <w:separator/>
      </w:r>
    </w:p>
    <w:p w14:paraId="422C9053" w14:textId="77777777" w:rsidR="00B92820" w:rsidRDefault="00B92820"/>
  </w:endnote>
  <w:endnote w:type="continuationSeparator" w:id="0">
    <w:p w14:paraId="00688CBC" w14:textId="77777777" w:rsidR="00B92820" w:rsidRDefault="00B92820">
      <w:r>
        <w:continuationSeparator/>
      </w:r>
    </w:p>
    <w:p w14:paraId="45EBA8AA" w14:textId="77777777" w:rsidR="00B92820" w:rsidRDefault="00B92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A8F9" w14:textId="45DBD114" w:rsidR="00B92820" w:rsidRDefault="00B92820" w:rsidP="00491F8A">
    <w:pPr>
      <w:pStyle w:val="Footer"/>
      <w:tabs>
        <w:tab w:val="right" w:pos="9639"/>
      </w:tabs>
      <w:spacing w:after="0"/>
      <w:rPr>
        <w:rFonts w:ascii="Times New Roman" w:hAnsi="Times New Roman"/>
        <w:sz w:val="18"/>
        <w:szCs w:val="18"/>
      </w:rPr>
    </w:pPr>
    <w:r>
      <w:rPr>
        <w:rFonts w:ascii="Times New Roman" w:hAnsi="Times New Roman"/>
        <w:b/>
        <w:sz w:val="20"/>
      </w:rPr>
      <w:t>Décembre 2021</w:t>
    </w:r>
    <w:r>
      <w:rPr>
        <w:rFonts w:ascii="Times New Roman" w:hAnsi="Times New Roman"/>
        <w:sz w:val="18"/>
        <w:szCs w:val="18"/>
      </w:rPr>
      <w:tab/>
      <w:t>Page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255D80">
      <w:rPr>
        <w:rFonts w:ascii="Times New Roman" w:hAnsi="Times New Roman"/>
        <w:noProof/>
        <w:sz w:val="18"/>
        <w:szCs w:val="18"/>
      </w:rPr>
      <w:t>4</w:t>
    </w:r>
    <w:r>
      <w:rPr>
        <w:rFonts w:ascii="Times New Roman" w:hAnsi="Times New Roman"/>
        <w:sz w:val="18"/>
        <w:szCs w:val="18"/>
      </w:rPr>
      <w:fldChar w:fldCharType="end"/>
    </w:r>
    <w:r>
      <w:rPr>
        <w:rFonts w:ascii="Times New Roman" w:hAnsi="Times New Roman"/>
        <w:sz w:val="18"/>
        <w:szCs w:val="18"/>
      </w:rPr>
      <w:t xml:space="preserve"> sur </w:t>
    </w:r>
    <w:r>
      <w:rPr>
        <w:rFonts w:ascii="Times New Roman" w:hAnsi="Times New Roman"/>
        <w:sz w:val="18"/>
        <w:szCs w:val="18"/>
      </w:rPr>
      <w:fldChar w:fldCharType="begin"/>
    </w:r>
    <w:r>
      <w:rPr>
        <w:rFonts w:ascii="Times New Roman" w:hAnsi="Times New Roman"/>
        <w:sz w:val="18"/>
        <w:szCs w:val="18"/>
      </w:rPr>
      <w:instrText xml:space="preserve"> NUMPAGES   \* MERGEFORMAT </w:instrText>
    </w:r>
    <w:r>
      <w:rPr>
        <w:rFonts w:ascii="Times New Roman" w:hAnsi="Times New Roman"/>
        <w:sz w:val="18"/>
        <w:szCs w:val="18"/>
      </w:rPr>
      <w:fldChar w:fldCharType="separate"/>
    </w:r>
    <w:r w:rsidR="00255D80">
      <w:rPr>
        <w:rFonts w:ascii="Times New Roman" w:hAnsi="Times New Roman"/>
        <w:noProof/>
        <w:sz w:val="18"/>
        <w:szCs w:val="18"/>
      </w:rPr>
      <w:t>26</w:t>
    </w:r>
    <w:r>
      <w:rPr>
        <w:rFonts w:ascii="Times New Roman" w:hAnsi="Times New Roman"/>
        <w:sz w:val="18"/>
        <w:szCs w:val="18"/>
      </w:rPr>
      <w:fldChar w:fldCharType="end"/>
    </w:r>
  </w:p>
  <w:p w14:paraId="4FB318AC" w14:textId="2A6C6038" w:rsidR="00B92820" w:rsidRPr="00491F8A" w:rsidRDefault="00B92820" w:rsidP="00491F8A">
    <w:pPr>
      <w:pStyle w:val="Footer"/>
      <w:tabs>
        <w:tab w:val="right" w:pos="9639"/>
      </w:tabs>
      <w:spacing w:after="0"/>
      <w:rPr>
        <w:rFonts w:ascii="Times New Roman" w:hAnsi="Times New Roman"/>
        <w:sz w:val="18"/>
        <w:szCs w:val="18"/>
      </w:rPr>
    </w:pPr>
    <w:r w:rsidRPr="00C9081A">
      <w:rPr>
        <w:rStyle w:val="PageNumber"/>
        <w:rFonts w:ascii="Times New Roman" w:hAnsi="Times New Roman"/>
        <w:sz w:val="18"/>
        <w:szCs w:val="18"/>
      </w:rPr>
      <w:fldChar w:fldCharType="begin"/>
    </w:r>
    <w:r w:rsidRPr="00C9081A">
      <w:rPr>
        <w:rStyle w:val="PageNumber"/>
        <w:rFonts w:ascii="Times New Roman" w:hAnsi="Times New Roman"/>
        <w:sz w:val="18"/>
        <w:szCs w:val="18"/>
      </w:rPr>
      <w:instrText xml:space="preserve"> FILENAME </w:instrText>
    </w:r>
    <w:r w:rsidRPr="00C9081A">
      <w:rPr>
        <w:rStyle w:val="PageNumber"/>
        <w:rFonts w:ascii="Times New Roman" w:hAnsi="Times New Roman"/>
        <w:sz w:val="18"/>
        <w:szCs w:val="18"/>
      </w:rPr>
      <w:fldChar w:fldCharType="separate"/>
    </w:r>
    <w:r>
      <w:rPr>
        <w:rStyle w:val="PageNumber"/>
        <w:rFonts w:ascii="Times New Roman" w:hAnsi="Times New Roman"/>
        <w:noProof/>
        <w:sz w:val="18"/>
        <w:szCs w:val="18"/>
      </w:rPr>
      <w:t>PASSIII - Lignes directrices Appel santé communautaire -version25.05</w:t>
    </w:r>
    <w:r w:rsidRPr="00C9081A">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6E775" w14:textId="77777777" w:rsidR="00B92820" w:rsidRDefault="00B92820" w:rsidP="00BF158E">
      <w:pPr>
        <w:spacing w:before="120" w:after="0"/>
      </w:pPr>
      <w:r>
        <w:separator/>
      </w:r>
    </w:p>
  </w:footnote>
  <w:footnote w:type="continuationSeparator" w:id="0">
    <w:p w14:paraId="38BC72D3" w14:textId="77777777" w:rsidR="00B92820" w:rsidRDefault="00B92820">
      <w:r>
        <w:continuationSeparator/>
      </w:r>
    </w:p>
  </w:footnote>
  <w:footnote w:type="continuationNotice" w:id="1">
    <w:p w14:paraId="4EA9C846" w14:textId="77777777" w:rsidR="00B92820" w:rsidRPr="004D357E" w:rsidRDefault="00B92820" w:rsidP="004D357E">
      <w:pPr>
        <w:pStyle w:val="Footer"/>
      </w:pPr>
    </w:p>
  </w:footnote>
  <w:footnote w:id="2">
    <w:p w14:paraId="28E62E5E" w14:textId="77777777" w:rsidR="00B92820" w:rsidRPr="00C11DC6" w:rsidRDefault="00B92820" w:rsidP="00554652">
      <w:pPr>
        <w:pStyle w:val="FootnoteText"/>
        <w:spacing w:after="40"/>
        <w:rPr>
          <w:sz w:val="18"/>
          <w:szCs w:val="18"/>
        </w:rPr>
      </w:pPr>
      <w:r w:rsidRPr="00C11DC6">
        <w:rPr>
          <w:rStyle w:val="FootnoteReference"/>
          <w:sz w:val="18"/>
          <w:szCs w:val="18"/>
        </w:rPr>
        <w:footnoteRef/>
      </w:r>
      <w:r w:rsidRPr="00C11DC6">
        <w:rPr>
          <w:sz w:val="18"/>
          <w:szCs w:val="18"/>
        </w:rPr>
        <w:t xml:space="preserve"> Stratégie de Financement de la Santé pour la Couverture Sanitaire Universelle 2022-2030, Document de travail, mars 2022.</w:t>
      </w:r>
    </w:p>
  </w:footnote>
  <w:footnote w:id="3">
    <w:p w14:paraId="218D8266" w14:textId="73117A89" w:rsidR="00B92820" w:rsidRPr="00C11DC6" w:rsidRDefault="00B92820" w:rsidP="00554652">
      <w:pPr>
        <w:pStyle w:val="FootnoteText"/>
        <w:spacing w:after="40"/>
        <w:rPr>
          <w:sz w:val="18"/>
          <w:szCs w:val="18"/>
        </w:rPr>
      </w:pPr>
      <w:r w:rsidRPr="00C11DC6">
        <w:rPr>
          <w:rStyle w:val="FootnoteReference"/>
          <w:sz w:val="18"/>
          <w:szCs w:val="18"/>
        </w:rPr>
        <w:footnoteRef/>
      </w:r>
      <w:r w:rsidRPr="00C11DC6">
        <w:rPr>
          <w:sz w:val="18"/>
          <w:szCs w:val="18"/>
        </w:rPr>
        <w:t xml:space="preserve"> La Déclaration d’Abuja de 2001 des pays de l’Union Africaine d’allouer 15% de leur budget à la santé définit un plafond régional de dépense publique.</w:t>
      </w:r>
    </w:p>
  </w:footnote>
  <w:footnote w:id="4">
    <w:p w14:paraId="023BF35E" w14:textId="090F2524" w:rsidR="00B92820" w:rsidRPr="00C11DC6" w:rsidRDefault="00B92820" w:rsidP="00683F23">
      <w:pPr>
        <w:pStyle w:val="FootnoteText"/>
        <w:spacing w:after="40"/>
        <w:rPr>
          <w:sz w:val="18"/>
          <w:szCs w:val="18"/>
        </w:rPr>
      </w:pPr>
      <w:r w:rsidRPr="00C11DC6">
        <w:rPr>
          <w:rStyle w:val="FootnoteReference"/>
          <w:sz w:val="18"/>
          <w:szCs w:val="18"/>
        </w:rPr>
        <w:footnoteRef/>
      </w:r>
      <w:r w:rsidRPr="00C11DC6">
        <w:rPr>
          <w:sz w:val="18"/>
          <w:szCs w:val="18"/>
        </w:rPr>
        <w:t xml:space="preserve"> En 2020, le système de santé du Burundi comprend 18 provinces sanitaires, </w:t>
      </w:r>
      <w:r w:rsidRPr="00C11DC6">
        <w:rPr>
          <w:sz w:val="18"/>
          <w:szCs w:val="18"/>
          <w:highlight w:val="yellow"/>
        </w:rPr>
        <w:t>46</w:t>
      </w:r>
      <w:r w:rsidRPr="00C11DC6">
        <w:rPr>
          <w:sz w:val="18"/>
          <w:szCs w:val="18"/>
        </w:rPr>
        <w:t xml:space="preserve"> districts de santé, 1182 centres de santé (658 publics et 524 privés, dont 144 confessionnels, 40 associatifs et 340 privés commerciaux) et 149 hôpitaux/cliniques (34% publics et 66% privés, dont 28 confessionnels, 1 associatif et 69 privés commerciaux).</w:t>
      </w:r>
    </w:p>
  </w:footnote>
  <w:footnote w:id="5">
    <w:p w14:paraId="50F40862" w14:textId="77777777" w:rsidR="00B92820" w:rsidRPr="00C11DC6" w:rsidRDefault="00B92820" w:rsidP="00683F23">
      <w:pPr>
        <w:pStyle w:val="FootnoteText"/>
        <w:spacing w:after="40"/>
        <w:rPr>
          <w:sz w:val="18"/>
          <w:szCs w:val="18"/>
        </w:rPr>
      </w:pPr>
      <w:r w:rsidRPr="00C11DC6">
        <w:rPr>
          <w:rStyle w:val="FootnoteReference"/>
          <w:sz w:val="18"/>
          <w:szCs w:val="18"/>
        </w:rPr>
        <w:footnoteRef/>
      </w:r>
      <w:r w:rsidRPr="00C11DC6">
        <w:rPr>
          <w:sz w:val="18"/>
          <w:szCs w:val="18"/>
        </w:rPr>
        <w:t xml:space="preserve"> MSPLS/OMS/BM, Enquête d’évaluation de la disponibilité et de la capacité opérationnelle des services de santé (SARA), Burundi, édition 2017, dans laquelle on relève que les équipements essentiels et précautions standards sont les domaines dont les scores sont les plus élevés, avec respectivement 86% et 84% en 2015. La disponibilité́ la plus faible est enregistrée au niveau des médicaments essentiels (41% en 2015) et de la capacité́ de diagnostic (51% en 2015 contre 32% en 2013). En rapport aux services spécifiques, 78% des FOSA offrent les services de SMNI. Le score le plus élevé́ est observé́ pour les soins préventifs et curatifs de l’enfant (98%). Les accouchements sont offerts dans 90% des FOSA en 2015 contre 70% en 2013.</w:t>
      </w:r>
    </w:p>
  </w:footnote>
  <w:footnote w:id="6">
    <w:p w14:paraId="3CF26A07" w14:textId="6975BA7D" w:rsidR="00B92820" w:rsidRPr="00683F23" w:rsidRDefault="00B92820" w:rsidP="00683F23">
      <w:pPr>
        <w:pStyle w:val="FootnoteText"/>
        <w:spacing w:after="40"/>
        <w:rPr>
          <w:color w:val="0070C0"/>
          <w:sz w:val="18"/>
          <w:szCs w:val="18"/>
        </w:rPr>
      </w:pPr>
      <w:r w:rsidRPr="00C11DC6">
        <w:rPr>
          <w:rStyle w:val="FootnoteReference"/>
          <w:sz w:val="18"/>
          <w:szCs w:val="18"/>
        </w:rPr>
        <w:footnoteRef/>
      </w:r>
      <w:r w:rsidRPr="00C11DC6">
        <w:rPr>
          <w:sz w:val="18"/>
          <w:szCs w:val="18"/>
          <w:lang w:val="en-GB"/>
        </w:rPr>
        <w:t xml:space="preserve"> </w:t>
      </w:r>
      <w:hyperlink r:id="rId1" w:history="1">
        <w:r w:rsidRPr="00C11DC6">
          <w:rPr>
            <w:rStyle w:val="Hyperlink"/>
            <w:color w:val="auto"/>
            <w:sz w:val="18"/>
            <w:szCs w:val="18"/>
            <w:lang w:val="en-GB"/>
          </w:rPr>
          <w:t>Institute for Health Metrics and Evaluation | (healthdata.org)</w:t>
        </w:r>
      </w:hyperlink>
      <w:r w:rsidRPr="00C11DC6">
        <w:rPr>
          <w:sz w:val="18"/>
          <w:szCs w:val="18"/>
          <w:lang w:val="en-GB"/>
        </w:rPr>
        <w:t xml:space="preserve">. </w:t>
      </w:r>
      <w:r w:rsidRPr="00C11DC6">
        <w:rPr>
          <w:sz w:val="18"/>
          <w:szCs w:val="18"/>
        </w:rPr>
        <w:t>Ce chiffre consolide les paiements directs des usagers aux FOSA et les mécanismes de prépaiement à ce même niveau (données 2018à).</w:t>
      </w:r>
    </w:p>
  </w:footnote>
  <w:footnote w:id="7">
    <w:p w14:paraId="339AB32B" w14:textId="77777777" w:rsidR="00B92820" w:rsidRPr="009A17B4" w:rsidRDefault="00B92820" w:rsidP="00D34B88">
      <w:pPr>
        <w:pStyle w:val="FootnoteText"/>
      </w:pPr>
      <w:r>
        <w:rPr>
          <w:rStyle w:val="FootnoteReference"/>
          <w:sz w:val="20"/>
        </w:rPr>
        <w:footnoteRef/>
      </w:r>
      <w:r>
        <w:t xml:space="preserve"> Veuillez noter qu’un demandeur chef de file (coordonnateur) dont les piliers ont été évalués positivement par la Commission européenne et qui se voit accorder une subvention ne signe pas le contrat type de subvention publié avec les présentes lignes directrices, mais une convention de contribution fondée sur le modèle de convention de contribution. Dans les présentes lignes directrices et dans les autres documents concernant le présent appel à propositions, toutes les références au contrat type de subvention s’entendent comme des références aux dispositions pertinentes du modèle de convention de contribution.</w:t>
      </w:r>
    </w:p>
  </w:footnote>
  <w:footnote w:id="8">
    <w:p w14:paraId="50D847AB" w14:textId="77777777" w:rsidR="00B92820" w:rsidRPr="00844680" w:rsidRDefault="00B92820" w:rsidP="00D34B88">
      <w:pPr>
        <w:pStyle w:val="FootnoteText"/>
      </w:pPr>
      <w:r>
        <w:rPr>
          <w:rStyle w:val="FootnoteReference"/>
          <w:sz w:val="16"/>
          <w:szCs w:val="16"/>
        </w:rPr>
        <w:footnoteRef/>
      </w:r>
      <w:r>
        <w:t xml:space="preserve"> Ces tiers ne sont ni des entités affiliées, ni des associés ni des contractants.</w:t>
      </w:r>
    </w:p>
  </w:footnote>
  <w:footnote w:id="9">
    <w:p w14:paraId="14425D2A" w14:textId="77777777" w:rsidR="00B92820" w:rsidRPr="00844680" w:rsidRDefault="00B92820" w:rsidP="00D34B88">
      <w:pPr>
        <w:pStyle w:val="FootnoteText"/>
      </w:pPr>
      <w:r>
        <w:rPr>
          <w:rStyle w:val="FootnoteReference"/>
          <w:sz w:val="16"/>
          <w:szCs w:val="16"/>
        </w:rPr>
        <w:footnoteRef/>
      </w:r>
      <w:r>
        <w:t xml:space="preserve"> Selon la définition établie par le CAD de l’OCDE, la notion de «résultats» inclut l’«impact» (objectif général), les «effets» (objectifs spécifiques) et les «produits».</w:t>
      </w:r>
    </w:p>
  </w:footnote>
  <w:footnote w:id="10">
    <w:p w14:paraId="6FB04BA1" w14:textId="77777777" w:rsidR="00B92820" w:rsidRPr="00E860D6" w:rsidRDefault="00B92820" w:rsidP="00A177A6">
      <w:pPr>
        <w:pStyle w:val="FootnoteText"/>
      </w:pPr>
      <w:r w:rsidRPr="00E860D6">
        <w:rPr>
          <w:rStyle w:val="FootnoteReference"/>
          <w:sz w:val="20"/>
        </w:rPr>
        <w:footnoteRef/>
      </w:r>
      <w:r w:rsidRPr="00E860D6">
        <w:t xml:space="preserve"> Aucune pièce justificative ne sera requise pour des demandes de subvention ne dépassant pas 60 000 EUR.</w:t>
      </w:r>
    </w:p>
  </w:footnote>
  <w:footnote w:id="11">
    <w:p w14:paraId="595260E3" w14:textId="77777777" w:rsidR="00B92820" w:rsidRPr="00E860D6" w:rsidRDefault="00B92820" w:rsidP="00A177A6">
      <w:pPr>
        <w:pStyle w:val="FootnoteText"/>
      </w:pPr>
      <w:r w:rsidRPr="00E860D6">
        <w:rPr>
          <w:rStyle w:val="FootnoteReference"/>
          <w:sz w:val="20"/>
        </w:rPr>
        <w:footnoteRef/>
      </w:r>
      <w:r w:rsidRPr="00E860D6">
        <w:t xml:space="preserve"> Veuillez noter que seule une signature électronique qualifiée au sens du règlement (UE) nº 910/2014 (règlement eIDAS) sera acceptée. Règlement (UE) nº 910/2014 du Parlement européen et du Conseil du 23 juillet 2014 sur l’identification électronique et les services de confiance pour les transactions électroniques au sein du marché intérieur et abrogeant la directive 1999/93/CE.</w:t>
      </w:r>
    </w:p>
  </w:footnote>
  <w:footnote w:id="12">
    <w:p w14:paraId="485BD8FA" w14:textId="77777777" w:rsidR="00B92820" w:rsidRPr="00E96BF0" w:rsidRDefault="00B92820" w:rsidP="00A177A6">
      <w:pPr>
        <w:pStyle w:val="FootnoteText"/>
      </w:pPr>
      <w:r w:rsidRPr="00E860D6">
        <w:rPr>
          <w:rStyle w:val="FootnoteReference"/>
          <w:sz w:val="20"/>
        </w:rPr>
        <w:footnoteRef/>
      </w:r>
      <w:r w:rsidRPr="00E860D6">
        <w:t xml:space="preserve"> </w:t>
      </w:r>
      <w:r w:rsidRPr="00E860D6">
        <w:tab/>
        <w:t>Cadre logique, budget, liste de contrôle, déclaration du demander chef de file, codemandeur et entités affiliées, etc.</w:t>
      </w:r>
    </w:p>
  </w:footnote>
  <w:footnote w:id="13">
    <w:p w14:paraId="069FD9F9" w14:textId="77777777" w:rsidR="00B92820" w:rsidRPr="004E4D41" w:rsidRDefault="00B92820" w:rsidP="00A177A6">
      <w:pPr>
        <w:pStyle w:val="FootnoteText"/>
      </w:pPr>
      <w:r w:rsidRPr="004E4D41">
        <w:rPr>
          <w:rStyle w:val="FootnoteReference"/>
          <w:sz w:val="20"/>
        </w:rPr>
        <w:footnoteRef/>
      </w:r>
      <w:r w:rsidRPr="004E4D41">
        <w:t xml:space="preserve"> Veuillez noter que seule une signature électronique qualifiée au sens du règlement (UE) nº 910/2014 (règlement eIDAS) sera acceptée. Règlement (UE) nº 910/2014 du Parlement européen et du Conseil du 23 juillet 2014 sur l’identification électronique et les services de confiance pour les transactions électroniques au sein du marché intérieur et abrogeant la directive 1999/93/CE.</w:t>
      </w:r>
    </w:p>
  </w:footnote>
  <w:footnote w:id="14">
    <w:p w14:paraId="3D79CF31" w14:textId="77777777" w:rsidR="00B92820" w:rsidRPr="007110C4" w:rsidRDefault="00B92820" w:rsidP="00A177A6">
      <w:pPr>
        <w:pStyle w:val="CommentText"/>
        <w:spacing w:after="0"/>
      </w:pPr>
      <w:r w:rsidRPr="004E4D41">
        <w:rPr>
          <w:rStyle w:val="FootnoteReference"/>
          <w:sz w:val="20"/>
        </w:rPr>
        <w:footnoteRef/>
      </w:r>
      <w:r w:rsidRPr="004E4D41">
        <w:t xml:space="preserve"> Les demandeurs, codemandeurs et entités affiliées qui sont i) des personnes physiques, ii) des entités ayant fait l’objet d’une évaluation des piliers et iii) des gouvernements et d’autres organismes publics ne sont pas tenus de soumettre le questionnaire d’autoévaluation.</w:t>
      </w:r>
    </w:p>
  </w:footnote>
  <w:footnote w:id="15">
    <w:p w14:paraId="050E6B50" w14:textId="77777777" w:rsidR="00B92820" w:rsidRPr="00844680" w:rsidRDefault="00B92820" w:rsidP="00A177A6">
      <w:pPr>
        <w:pStyle w:val="FootnoteText"/>
      </w:pPr>
      <w:r>
        <w:rPr>
          <w:vertAlign w:val="superscript"/>
        </w:rPr>
        <w:footnoteRef/>
      </w:r>
      <w:r>
        <w:t xml:space="preserve"> Ces documents devraient également être publiés par l’administration contractante.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76F7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C84C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0F45E"/>
    <w:lvl w:ilvl="0">
      <w:start w:val="1"/>
      <w:numFmt w:val="decimal"/>
      <w:lvlText w:val="%1."/>
      <w:lvlJc w:val="left"/>
      <w:pPr>
        <w:tabs>
          <w:tab w:val="num" w:pos="926"/>
        </w:tabs>
        <w:ind w:left="926" w:hanging="360"/>
      </w:pPr>
    </w:lvl>
  </w:abstractNum>
  <w:abstractNum w:abstractNumId="3"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singleLevel"/>
    <w:tmpl w:val="5058D83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DAEF68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9FE9E0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00E0110"/>
    <w:lvl w:ilvl="0">
      <w:start w:val="1"/>
      <w:numFmt w:val="decimal"/>
      <w:lvlText w:val="%1."/>
      <w:lvlJc w:val="left"/>
      <w:pPr>
        <w:tabs>
          <w:tab w:val="num" w:pos="360"/>
        </w:tabs>
        <w:ind w:left="360" w:hanging="360"/>
      </w:pPr>
    </w:lvl>
  </w:abstractNum>
  <w:abstractNum w:abstractNumId="8" w15:restartNumberingAfterBreak="0">
    <w:nsid w:val="00951180"/>
    <w:multiLevelType w:val="multilevel"/>
    <w:tmpl w:val="C16E1ABA"/>
    <w:lvl w:ilvl="0">
      <w:start w:val="1"/>
      <w:numFmt w:val="decimal"/>
      <w:lvlText w:val="%1."/>
      <w:lvlJc w:val="left"/>
      <w:pPr>
        <w:ind w:left="360" w:hanging="360"/>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New Roman Bold" w:hAnsi="Times New Roman Bold" w:hint="default"/>
        <w:b/>
        <w:i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652CCC"/>
    <w:multiLevelType w:val="multilevel"/>
    <w:tmpl w:val="DD965BF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1418" w:hanging="851"/>
      </w:pPr>
      <w:rPr>
        <w:rFonts w:ascii="Times New Roman Bold" w:hAnsi="Times New Roman Bold" w:hint="default"/>
        <w:b/>
        <w:i/>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10"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12"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F5007C"/>
    <w:multiLevelType w:val="hybridMultilevel"/>
    <w:tmpl w:val="41C6ABCE"/>
    <w:lvl w:ilvl="0" w:tplc="54F23A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650F81"/>
    <w:multiLevelType w:val="hybridMultilevel"/>
    <w:tmpl w:val="EA88E598"/>
    <w:lvl w:ilvl="0" w:tplc="D5FE1BB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25A4343"/>
    <w:multiLevelType w:val="hybridMultilevel"/>
    <w:tmpl w:val="90CC46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150C24"/>
    <w:multiLevelType w:val="hybridMultilevel"/>
    <w:tmpl w:val="08529DEE"/>
    <w:lvl w:ilvl="0" w:tplc="E06E9EA2">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168A5C2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0241"/>
    <w:multiLevelType w:val="multilevel"/>
    <w:tmpl w:val="4B72B82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1AB95526"/>
    <w:multiLevelType w:val="hybridMultilevel"/>
    <w:tmpl w:val="0BD4F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6C1A90"/>
    <w:multiLevelType w:val="hybridMultilevel"/>
    <w:tmpl w:val="803AD61E"/>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1906EF"/>
    <w:multiLevelType w:val="hybridMultilevel"/>
    <w:tmpl w:val="6650A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64A1798"/>
    <w:multiLevelType w:val="hybridMultilevel"/>
    <w:tmpl w:val="19EA99E4"/>
    <w:lvl w:ilvl="0" w:tplc="CCAEE0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7E400FE"/>
    <w:multiLevelType w:val="hybridMultilevel"/>
    <w:tmpl w:val="9AFC66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AA52D5A"/>
    <w:multiLevelType w:val="hybridMultilevel"/>
    <w:tmpl w:val="3840667C"/>
    <w:lvl w:ilvl="0" w:tplc="4AB8D552">
      <w:start w:val="1"/>
      <w:numFmt w:val="decimal"/>
      <w:lvlText w:val="%1."/>
      <w:lvlJc w:val="left"/>
      <w:pPr>
        <w:ind w:left="927"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30" w15:restartNumberingAfterBreak="0">
    <w:nsid w:val="2BBB653E"/>
    <w:multiLevelType w:val="hybridMultilevel"/>
    <w:tmpl w:val="EE9C876E"/>
    <w:lvl w:ilvl="0" w:tplc="2626E8B8">
      <w:start w:val="1"/>
      <w:numFmt w:val="bullet"/>
      <w:lvlText w:val=""/>
      <w:lvlJc w:val="left"/>
      <w:pPr>
        <w:tabs>
          <w:tab w:val="num" w:pos="720"/>
        </w:tabs>
        <w:ind w:left="720" w:hanging="360"/>
      </w:pPr>
      <w:rPr>
        <w:rFonts w:ascii="Symbol" w:hAnsi="Symbol" w:hint="default"/>
      </w:rPr>
    </w:lvl>
    <w:lvl w:ilvl="1" w:tplc="D8ACF5E0">
      <w:start w:val="1"/>
      <w:numFmt w:val="bullet"/>
      <w:lvlText w:val="-"/>
      <w:lvlJc w:val="left"/>
      <w:pPr>
        <w:tabs>
          <w:tab w:val="num" w:pos="1440"/>
        </w:tabs>
        <w:ind w:left="1440" w:hanging="360"/>
      </w:pPr>
      <w:rPr>
        <w:rFonts w:ascii="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BC1520"/>
    <w:multiLevelType w:val="hybridMultilevel"/>
    <w:tmpl w:val="0B9EE7A4"/>
    <w:lvl w:ilvl="0" w:tplc="2870D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2F40910"/>
    <w:multiLevelType w:val="hybridMultilevel"/>
    <w:tmpl w:val="DDF0C3C0"/>
    <w:lvl w:ilvl="0" w:tplc="54A236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5"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35DA298C"/>
    <w:multiLevelType w:val="hybridMultilevel"/>
    <w:tmpl w:val="BC9AEEF2"/>
    <w:lvl w:ilvl="0" w:tplc="94922B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154E8B"/>
    <w:multiLevelType w:val="hybridMultilevel"/>
    <w:tmpl w:val="B3149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2" w15:restartNumberingAfterBreak="0">
    <w:nsid w:val="4662666B"/>
    <w:multiLevelType w:val="hybridMultilevel"/>
    <w:tmpl w:val="BB88C9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46" w15:restartNumberingAfterBreak="0">
    <w:nsid w:val="4DC70C92"/>
    <w:multiLevelType w:val="hybridMultilevel"/>
    <w:tmpl w:val="547C9416"/>
    <w:lvl w:ilvl="0" w:tplc="186C37C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459154E"/>
    <w:multiLevelType w:val="hybridMultilevel"/>
    <w:tmpl w:val="DBCCC928"/>
    <w:lvl w:ilvl="0" w:tplc="F6442AF2">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4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97174C"/>
    <w:multiLevelType w:val="hybridMultilevel"/>
    <w:tmpl w:val="DE8890AA"/>
    <w:lvl w:ilvl="0" w:tplc="99141F5E">
      <w:numFmt w:val="bullet"/>
      <w:lvlText w:val="-"/>
      <w:lvlJc w:val="left"/>
      <w:pPr>
        <w:ind w:left="360" w:hanging="360"/>
      </w:pPr>
      <w:rPr>
        <w:rFonts w:ascii="Calibri" w:eastAsia="Calibri" w:hAnsi="Calibri" w:cs="Calibr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C753821"/>
    <w:multiLevelType w:val="hybridMultilevel"/>
    <w:tmpl w:val="12B2A1C4"/>
    <w:lvl w:ilvl="0" w:tplc="E06E9EA2">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4" w15:restartNumberingAfterBreak="0">
    <w:nsid w:val="611A76BA"/>
    <w:multiLevelType w:val="hybridMultilevel"/>
    <w:tmpl w:val="247642E2"/>
    <w:lvl w:ilvl="0" w:tplc="BFA0F0A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7C42801"/>
    <w:multiLevelType w:val="hybridMultilevel"/>
    <w:tmpl w:val="CE7A99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57" w15:restartNumberingAfterBreak="0">
    <w:nsid w:val="6E613D41"/>
    <w:multiLevelType w:val="hybridMultilevel"/>
    <w:tmpl w:val="50A412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6FFD00C2"/>
    <w:multiLevelType w:val="hybridMultilevel"/>
    <w:tmpl w:val="393071B4"/>
    <w:lvl w:ilvl="0" w:tplc="5B7E6814">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0B7682B"/>
    <w:multiLevelType w:val="hybridMultilevel"/>
    <w:tmpl w:val="2050EBA4"/>
    <w:lvl w:ilvl="0" w:tplc="B706D03A">
      <w:start w:val="1"/>
      <w:numFmt w:val="decimal"/>
      <w:lvlText w:val="%1."/>
      <w:lvlJc w:val="left"/>
      <w:pPr>
        <w:tabs>
          <w:tab w:val="num" w:pos="720"/>
        </w:tabs>
        <w:ind w:left="720" w:hanging="360"/>
      </w:pPr>
    </w:lvl>
    <w:lvl w:ilvl="1" w:tplc="F962C664">
      <w:start w:val="1"/>
      <w:numFmt w:val="decimal"/>
      <w:lvlText w:val="%2."/>
      <w:lvlJc w:val="left"/>
      <w:pPr>
        <w:tabs>
          <w:tab w:val="num" w:pos="1440"/>
        </w:tabs>
        <w:ind w:left="1440" w:hanging="360"/>
      </w:pPr>
    </w:lvl>
    <w:lvl w:ilvl="2" w:tplc="78C21AA0" w:tentative="1">
      <w:start w:val="1"/>
      <w:numFmt w:val="decimal"/>
      <w:lvlText w:val="%3."/>
      <w:lvlJc w:val="left"/>
      <w:pPr>
        <w:tabs>
          <w:tab w:val="num" w:pos="2160"/>
        </w:tabs>
        <w:ind w:left="2160" w:hanging="360"/>
      </w:pPr>
    </w:lvl>
    <w:lvl w:ilvl="3" w:tplc="EB6886AA" w:tentative="1">
      <w:start w:val="1"/>
      <w:numFmt w:val="decimal"/>
      <w:lvlText w:val="%4."/>
      <w:lvlJc w:val="left"/>
      <w:pPr>
        <w:tabs>
          <w:tab w:val="num" w:pos="2880"/>
        </w:tabs>
        <w:ind w:left="2880" w:hanging="360"/>
      </w:pPr>
    </w:lvl>
    <w:lvl w:ilvl="4" w:tplc="8FBA3884" w:tentative="1">
      <w:start w:val="1"/>
      <w:numFmt w:val="decimal"/>
      <w:lvlText w:val="%5."/>
      <w:lvlJc w:val="left"/>
      <w:pPr>
        <w:tabs>
          <w:tab w:val="num" w:pos="3600"/>
        </w:tabs>
        <w:ind w:left="3600" w:hanging="360"/>
      </w:pPr>
    </w:lvl>
    <w:lvl w:ilvl="5" w:tplc="7D0E20EA" w:tentative="1">
      <w:start w:val="1"/>
      <w:numFmt w:val="decimal"/>
      <w:lvlText w:val="%6."/>
      <w:lvlJc w:val="left"/>
      <w:pPr>
        <w:tabs>
          <w:tab w:val="num" w:pos="4320"/>
        </w:tabs>
        <w:ind w:left="4320" w:hanging="360"/>
      </w:pPr>
    </w:lvl>
    <w:lvl w:ilvl="6" w:tplc="276CBC5A" w:tentative="1">
      <w:start w:val="1"/>
      <w:numFmt w:val="decimal"/>
      <w:lvlText w:val="%7."/>
      <w:lvlJc w:val="left"/>
      <w:pPr>
        <w:tabs>
          <w:tab w:val="num" w:pos="5040"/>
        </w:tabs>
        <w:ind w:left="5040" w:hanging="360"/>
      </w:pPr>
    </w:lvl>
    <w:lvl w:ilvl="7" w:tplc="8372554C" w:tentative="1">
      <w:start w:val="1"/>
      <w:numFmt w:val="decimal"/>
      <w:lvlText w:val="%8."/>
      <w:lvlJc w:val="left"/>
      <w:pPr>
        <w:tabs>
          <w:tab w:val="num" w:pos="5760"/>
        </w:tabs>
        <w:ind w:left="5760" w:hanging="360"/>
      </w:pPr>
    </w:lvl>
    <w:lvl w:ilvl="8" w:tplc="A938553E" w:tentative="1">
      <w:start w:val="1"/>
      <w:numFmt w:val="decimal"/>
      <w:lvlText w:val="%9."/>
      <w:lvlJc w:val="left"/>
      <w:pPr>
        <w:tabs>
          <w:tab w:val="num" w:pos="6480"/>
        </w:tabs>
        <w:ind w:left="6480" w:hanging="360"/>
      </w:pPr>
    </w:lvl>
  </w:abstractNum>
  <w:abstractNum w:abstractNumId="62" w15:restartNumberingAfterBreak="0">
    <w:nsid w:val="727C5352"/>
    <w:multiLevelType w:val="hybridMultilevel"/>
    <w:tmpl w:val="75E2E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73B0684E"/>
    <w:multiLevelType w:val="hybridMultilevel"/>
    <w:tmpl w:val="8A78B9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4" w15:restartNumberingAfterBreak="0">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7A584B09"/>
    <w:multiLevelType w:val="multilevel"/>
    <w:tmpl w:val="D31EDCC4"/>
    <w:lvl w:ilvl="0">
      <w:start w:val="1"/>
      <w:numFmt w:val="decimal"/>
      <w:lvlText w:val="%1."/>
      <w:lvlJc w:val="left"/>
      <w:pPr>
        <w:ind w:left="720" w:hanging="360"/>
      </w:pPr>
      <w:rPr>
        <w:rFonts w:hint="default"/>
      </w:rPr>
    </w:lvl>
    <w:lvl w:ilvl="1">
      <w:start w:val="2"/>
      <w:numFmt w:val="decimal"/>
      <w:isLgl/>
      <w:lvlText w:val="%1.%2"/>
      <w:lvlJc w:val="left"/>
      <w:pPr>
        <w:ind w:left="943" w:hanging="480"/>
      </w:pPr>
      <w:rPr>
        <w:rFonts w:hint="default"/>
      </w:rPr>
    </w:lvl>
    <w:lvl w:ilvl="2">
      <w:start w:val="9"/>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66" w15:restartNumberingAfterBreak="0">
    <w:nsid w:val="7CAB7EDA"/>
    <w:multiLevelType w:val="hybridMultilevel"/>
    <w:tmpl w:val="99CCC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FA1E7F"/>
    <w:multiLevelType w:val="hybridMultilevel"/>
    <w:tmpl w:val="58C024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49"/>
  </w:num>
  <w:num w:numId="4">
    <w:abstractNumId w:val="44"/>
  </w:num>
  <w:num w:numId="5">
    <w:abstractNumId w:val="10"/>
  </w:num>
  <w:num w:numId="6">
    <w:abstractNumId w:val="10"/>
  </w:num>
  <w:num w:numId="7">
    <w:abstractNumId w:val="11"/>
  </w:num>
  <w:num w:numId="8">
    <w:abstractNumId w:val="39"/>
  </w:num>
  <w:num w:numId="9">
    <w:abstractNumId w:val="48"/>
  </w:num>
  <w:num w:numId="10">
    <w:abstractNumId w:val="53"/>
  </w:num>
  <w:num w:numId="11">
    <w:abstractNumId w:val="55"/>
  </w:num>
  <w:num w:numId="12">
    <w:abstractNumId w:val="34"/>
  </w:num>
  <w:num w:numId="13">
    <w:abstractNumId w:val="20"/>
  </w:num>
  <w:num w:numId="14">
    <w:abstractNumId w:val="8"/>
  </w:num>
  <w:num w:numId="15">
    <w:abstractNumId w:val="9"/>
  </w:num>
  <w:num w:numId="16">
    <w:abstractNumId w:val="21"/>
  </w:num>
  <w:num w:numId="17">
    <w:abstractNumId w:val="43"/>
  </w:num>
  <w:num w:numId="18">
    <w:abstractNumId w:val="68"/>
  </w:num>
  <w:num w:numId="19">
    <w:abstractNumId w:val="41"/>
  </w:num>
  <w:num w:numId="20">
    <w:abstractNumId w:val="19"/>
  </w:num>
  <w:num w:numId="21">
    <w:abstractNumId w:val="52"/>
  </w:num>
  <w:num w:numId="22">
    <w:abstractNumId w:val="59"/>
  </w:num>
  <w:num w:numId="23">
    <w:abstractNumId w:val="22"/>
  </w:num>
  <w:num w:numId="24">
    <w:abstractNumId w:val="42"/>
  </w:num>
  <w:num w:numId="25">
    <w:abstractNumId w:val="60"/>
  </w:num>
  <w:num w:numId="26">
    <w:abstractNumId w:val="24"/>
  </w:num>
  <w:num w:numId="27">
    <w:abstractNumId w:val="16"/>
  </w:num>
  <w:num w:numId="28">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23"/>
  </w:num>
  <w:num w:numId="31">
    <w:abstractNumId w:val="67"/>
  </w:num>
  <w:num w:numId="32">
    <w:abstractNumId w:val="31"/>
  </w:num>
  <w:num w:numId="33">
    <w:abstractNumId w:val="12"/>
  </w:num>
  <w:num w:numId="34">
    <w:abstractNumId w:val="38"/>
  </w:num>
  <w:num w:numId="35">
    <w:abstractNumId w:val="36"/>
  </w:num>
  <w:num w:numId="36">
    <w:abstractNumId w:val="40"/>
  </w:num>
  <w:num w:numId="37">
    <w:abstractNumId w:val="33"/>
  </w:num>
  <w:num w:numId="38">
    <w:abstractNumId w:val="54"/>
  </w:num>
  <w:num w:numId="39">
    <w:abstractNumId w:val="30"/>
  </w:num>
  <w:num w:numId="40">
    <w:abstractNumId w:val="45"/>
  </w:num>
  <w:num w:numId="41">
    <w:abstractNumId w:val="58"/>
  </w:num>
  <w:num w:numId="42">
    <w:abstractNumId w:val="58"/>
  </w:num>
  <w:num w:numId="43">
    <w:abstractNumId w:val="64"/>
  </w:num>
  <w:num w:numId="44">
    <w:abstractNumId w:val="63"/>
  </w:num>
  <w:num w:numId="45">
    <w:abstractNumId w:val="17"/>
  </w:num>
  <w:num w:numId="46">
    <w:abstractNumId w:val="15"/>
  </w:num>
  <w:num w:numId="47">
    <w:abstractNumId w:val="6"/>
  </w:num>
  <w:num w:numId="48">
    <w:abstractNumId w:val="5"/>
  </w:num>
  <w:num w:numId="49">
    <w:abstractNumId w:val="4"/>
  </w:num>
  <w:num w:numId="50">
    <w:abstractNumId w:val="7"/>
  </w:num>
  <w:num w:numId="51">
    <w:abstractNumId w:val="2"/>
  </w:num>
  <w:num w:numId="52">
    <w:abstractNumId w:val="1"/>
  </w:num>
  <w:num w:numId="53">
    <w:abstractNumId w:val="0"/>
  </w:num>
  <w:num w:numId="54">
    <w:abstractNumId w:val="56"/>
  </w:num>
  <w:num w:numId="55">
    <w:abstractNumId w:val="25"/>
  </w:num>
  <w:num w:numId="56">
    <w:abstractNumId w:val="65"/>
  </w:num>
  <w:num w:numId="57">
    <w:abstractNumId w:val="62"/>
  </w:num>
  <w:num w:numId="58">
    <w:abstractNumId w:val="28"/>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num>
  <w:num w:numId="61">
    <w:abstractNumId w:val="66"/>
  </w:num>
  <w:num w:numId="62">
    <w:abstractNumId w:val="27"/>
  </w:num>
  <w:num w:numId="63">
    <w:abstractNumId w:val="32"/>
  </w:num>
  <w:num w:numId="64">
    <w:abstractNumId w:val="29"/>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7"/>
  </w:num>
  <w:num w:numId="67">
    <w:abstractNumId w:val="13"/>
  </w:num>
  <w:num w:numId="68">
    <w:abstractNumId w:val="18"/>
  </w:num>
  <w:num w:numId="69">
    <w:abstractNumId w:val="50"/>
  </w:num>
  <w:num w:numId="70">
    <w:abstractNumId w:val="57"/>
  </w:num>
  <w:num w:numId="71">
    <w:abstractNumId w:val="61"/>
  </w:num>
  <w:num w:numId="72">
    <w:abstractNumId w:val="46"/>
  </w:num>
  <w:num w:numId="73">
    <w:abstractNumId w:val="14"/>
  </w:num>
  <w:num w:numId="7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fr-BE" w:vendorID="64" w:dllVersion="131078"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2225"/>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749B5"/>
    <w:rsid w:val="00000189"/>
    <w:rsid w:val="00000396"/>
    <w:rsid w:val="000015FC"/>
    <w:rsid w:val="00001767"/>
    <w:rsid w:val="00001EDA"/>
    <w:rsid w:val="00001F83"/>
    <w:rsid w:val="00003166"/>
    <w:rsid w:val="00003724"/>
    <w:rsid w:val="000041CE"/>
    <w:rsid w:val="000043F8"/>
    <w:rsid w:val="0000587D"/>
    <w:rsid w:val="00006318"/>
    <w:rsid w:val="00007BEE"/>
    <w:rsid w:val="0001129D"/>
    <w:rsid w:val="00011492"/>
    <w:rsid w:val="00011765"/>
    <w:rsid w:val="0001251B"/>
    <w:rsid w:val="000127B4"/>
    <w:rsid w:val="00012D9A"/>
    <w:rsid w:val="00013D6B"/>
    <w:rsid w:val="0001411D"/>
    <w:rsid w:val="0001462B"/>
    <w:rsid w:val="0001485A"/>
    <w:rsid w:val="00014E97"/>
    <w:rsid w:val="000159A3"/>
    <w:rsid w:val="000176DE"/>
    <w:rsid w:val="00017DDF"/>
    <w:rsid w:val="00017EFF"/>
    <w:rsid w:val="00020C81"/>
    <w:rsid w:val="000220E5"/>
    <w:rsid w:val="000224AA"/>
    <w:rsid w:val="000228FC"/>
    <w:rsid w:val="00022D3C"/>
    <w:rsid w:val="00023576"/>
    <w:rsid w:val="0002374A"/>
    <w:rsid w:val="00023912"/>
    <w:rsid w:val="0002503B"/>
    <w:rsid w:val="00025394"/>
    <w:rsid w:val="00026D5B"/>
    <w:rsid w:val="00027881"/>
    <w:rsid w:val="00027C2F"/>
    <w:rsid w:val="00030A89"/>
    <w:rsid w:val="00030E42"/>
    <w:rsid w:val="000312D2"/>
    <w:rsid w:val="00031E41"/>
    <w:rsid w:val="000323AD"/>
    <w:rsid w:val="000334B4"/>
    <w:rsid w:val="00033A1F"/>
    <w:rsid w:val="00034524"/>
    <w:rsid w:val="00034BC8"/>
    <w:rsid w:val="00035681"/>
    <w:rsid w:val="00035CB0"/>
    <w:rsid w:val="00037623"/>
    <w:rsid w:val="0003772E"/>
    <w:rsid w:val="00037C88"/>
    <w:rsid w:val="000405C5"/>
    <w:rsid w:val="00040730"/>
    <w:rsid w:val="0004141B"/>
    <w:rsid w:val="00042967"/>
    <w:rsid w:val="00044818"/>
    <w:rsid w:val="000457B9"/>
    <w:rsid w:val="00045E79"/>
    <w:rsid w:val="000469E8"/>
    <w:rsid w:val="00046C46"/>
    <w:rsid w:val="00047C7D"/>
    <w:rsid w:val="00050B50"/>
    <w:rsid w:val="00050E48"/>
    <w:rsid w:val="0005133A"/>
    <w:rsid w:val="0005169C"/>
    <w:rsid w:val="00051AC1"/>
    <w:rsid w:val="00053A5D"/>
    <w:rsid w:val="000543F8"/>
    <w:rsid w:val="00054B49"/>
    <w:rsid w:val="00055FED"/>
    <w:rsid w:val="00056377"/>
    <w:rsid w:val="000572EE"/>
    <w:rsid w:val="00057AAD"/>
    <w:rsid w:val="000603C3"/>
    <w:rsid w:val="0006044D"/>
    <w:rsid w:val="000616CA"/>
    <w:rsid w:val="00061871"/>
    <w:rsid w:val="000618B3"/>
    <w:rsid w:val="00062A91"/>
    <w:rsid w:val="000636F3"/>
    <w:rsid w:val="000638B5"/>
    <w:rsid w:val="00063A68"/>
    <w:rsid w:val="0006470D"/>
    <w:rsid w:val="00064836"/>
    <w:rsid w:val="0006488E"/>
    <w:rsid w:val="000648BB"/>
    <w:rsid w:val="0006505A"/>
    <w:rsid w:val="00065311"/>
    <w:rsid w:val="00065C6A"/>
    <w:rsid w:val="00065F32"/>
    <w:rsid w:val="00067591"/>
    <w:rsid w:val="00067A85"/>
    <w:rsid w:val="000728FC"/>
    <w:rsid w:val="000734D6"/>
    <w:rsid w:val="000735EC"/>
    <w:rsid w:val="0007408E"/>
    <w:rsid w:val="000745FC"/>
    <w:rsid w:val="000752CD"/>
    <w:rsid w:val="0007546C"/>
    <w:rsid w:val="000770BC"/>
    <w:rsid w:val="00077504"/>
    <w:rsid w:val="00077BB8"/>
    <w:rsid w:val="00077CF8"/>
    <w:rsid w:val="00081B91"/>
    <w:rsid w:val="000842B5"/>
    <w:rsid w:val="00084CB5"/>
    <w:rsid w:val="000852E9"/>
    <w:rsid w:val="0008570E"/>
    <w:rsid w:val="0008672E"/>
    <w:rsid w:val="00087373"/>
    <w:rsid w:val="0009099A"/>
    <w:rsid w:val="00090A34"/>
    <w:rsid w:val="000916B1"/>
    <w:rsid w:val="000919FB"/>
    <w:rsid w:val="00092688"/>
    <w:rsid w:val="00093C1F"/>
    <w:rsid w:val="00093DA8"/>
    <w:rsid w:val="000947D6"/>
    <w:rsid w:val="0009588C"/>
    <w:rsid w:val="00095C5E"/>
    <w:rsid w:val="0009657A"/>
    <w:rsid w:val="00097401"/>
    <w:rsid w:val="00097686"/>
    <w:rsid w:val="00097B47"/>
    <w:rsid w:val="000A039C"/>
    <w:rsid w:val="000A1E1A"/>
    <w:rsid w:val="000A2C18"/>
    <w:rsid w:val="000A4055"/>
    <w:rsid w:val="000A51F3"/>
    <w:rsid w:val="000A60D9"/>
    <w:rsid w:val="000B071C"/>
    <w:rsid w:val="000B0FF1"/>
    <w:rsid w:val="000B1032"/>
    <w:rsid w:val="000B21CB"/>
    <w:rsid w:val="000B2496"/>
    <w:rsid w:val="000B24FE"/>
    <w:rsid w:val="000B2A3D"/>
    <w:rsid w:val="000B327F"/>
    <w:rsid w:val="000B7AC2"/>
    <w:rsid w:val="000C00BF"/>
    <w:rsid w:val="000C024F"/>
    <w:rsid w:val="000C06A5"/>
    <w:rsid w:val="000C0AD6"/>
    <w:rsid w:val="000C1624"/>
    <w:rsid w:val="000C183F"/>
    <w:rsid w:val="000C3E25"/>
    <w:rsid w:val="000C4252"/>
    <w:rsid w:val="000C4276"/>
    <w:rsid w:val="000C6140"/>
    <w:rsid w:val="000C6593"/>
    <w:rsid w:val="000C75D2"/>
    <w:rsid w:val="000D240A"/>
    <w:rsid w:val="000D40CC"/>
    <w:rsid w:val="000D41A5"/>
    <w:rsid w:val="000D4903"/>
    <w:rsid w:val="000D5DCA"/>
    <w:rsid w:val="000D5F55"/>
    <w:rsid w:val="000D61C6"/>
    <w:rsid w:val="000D773C"/>
    <w:rsid w:val="000D7ACD"/>
    <w:rsid w:val="000D7B85"/>
    <w:rsid w:val="000E06BA"/>
    <w:rsid w:val="000E123D"/>
    <w:rsid w:val="000E1508"/>
    <w:rsid w:val="000E19B9"/>
    <w:rsid w:val="000E1C15"/>
    <w:rsid w:val="000E2AF6"/>
    <w:rsid w:val="000E2E9C"/>
    <w:rsid w:val="000E3294"/>
    <w:rsid w:val="000E32B1"/>
    <w:rsid w:val="000E38CD"/>
    <w:rsid w:val="000E4726"/>
    <w:rsid w:val="000E5BD3"/>
    <w:rsid w:val="000E76E9"/>
    <w:rsid w:val="000F197D"/>
    <w:rsid w:val="000F2165"/>
    <w:rsid w:val="000F22BC"/>
    <w:rsid w:val="000F27DE"/>
    <w:rsid w:val="000F3438"/>
    <w:rsid w:val="000F47D9"/>
    <w:rsid w:val="000F52E2"/>
    <w:rsid w:val="000F59A0"/>
    <w:rsid w:val="000F611E"/>
    <w:rsid w:val="000F62AF"/>
    <w:rsid w:val="000F7405"/>
    <w:rsid w:val="001003C5"/>
    <w:rsid w:val="00100C6B"/>
    <w:rsid w:val="00100E22"/>
    <w:rsid w:val="00100F61"/>
    <w:rsid w:val="00100FAC"/>
    <w:rsid w:val="00101271"/>
    <w:rsid w:val="00101AEE"/>
    <w:rsid w:val="00101B6B"/>
    <w:rsid w:val="00101E54"/>
    <w:rsid w:val="00101FF1"/>
    <w:rsid w:val="001027A3"/>
    <w:rsid w:val="00103811"/>
    <w:rsid w:val="001046E7"/>
    <w:rsid w:val="00107C6D"/>
    <w:rsid w:val="00112225"/>
    <w:rsid w:val="00112E4F"/>
    <w:rsid w:val="0011455E"/>
    <w:rsid w:val="00114A00"/>
    <w:rsid w:val="001151FE"/>
    <w:rsid w:val="0011551C"/>
    <w:rsid w:val="001158D6"/>
    <w:rsid w:val="00115EBA"/>
    <w:rsid w:val="001162F0"/>
    <w:rsid w:val="00116BB5"/>
    <w:rsid w:val="001178DC"/>
    <w:rsid w:val="00120A8D"/>
    <w:rsid w:val="00121219"/>
    <w:rsid w:val="00121CA0"/>
    <w:rsid w:val="00122440"/>
    <w:rsid w:val="00122B03"/>
    <w:rsid w:val="001232A6"/>
    <w:rsid w:val="001236BA"/>
    <w:rsid w:val="00124239"/>
    <w:rsid w:val="001249D9"/>
    <w:rsid w:val="001254ED"/>
    <w:rsid w:val="00126371"/>
    <w:rsid w:val="00126679"/>
    <w:rsid w:val="00127131"/>
    <w:rsid w:val="001309F2"/>
    <w:rsid w:val="00130E89"/>
    <w:rsid w:val="00132E55"/>
    <w:rsid w:val="0013435B"/>
    <w:rsid w:val="00135B6F"/>
    <w:rsid w:val="00136AD0"/>
    <w:rsid w:val="0013713C"/>
    <w:rsid w:val="00137D64"/>
    <w:rsid w:val="00140A0D"/>
    <w:rsid w:val="001421B6"/>
    <w:rsid w:val="00143E05"/>
    <w:rsid w:val="0014692E"/>
    <w:rsid w:val="00146F1C"/>
    <w:rsid w:val="00147ECE"/>
    <w:rsid w:val="0015028B"/>
    <w:rsid w:val="00150568"/>
    <w:rsid w:val="001507E7"/>
    <w:rsid w:val="00151EDE"/>
    <w:rsid w:val="001529A8"/>
    <w:rsid w:val="00152F84"/>
    <w:rsid w:val="00153C75"/>
    <w:rsid w:val="00153E80"/>
    <w:rsid w:val="00154428"/>
    <w:rsid w:val="00154C34"/>
    <w:rsid w:val="001554CF"/>
    <w:rsid w:val="00155BB8"/>
    <w:rsid w:val="001561E0"/>
    <w:rsid w:val="001566CE"/>
    <w:rsid w:val="00156D01"/>
    <w:rsid w:val="00156DE6"/>
    <w:rsid w:val="00157648"/>
    <w:rsid w:val="00157B11"/>
    <w:rsid w:val="00160781"/>
    <w:rsid w:val="001616A5"/>
    <w:rsid w:val="00161AC7"/>
    <w:rsid w:val="00161C69"/>
    <w:rsid w:val="001640CB"/>
    <w:rsid w:val="0016598D"/>
    <w:rsid w:val="00165EB2"/>
    <w:rsid w:val="00165FBA"/>
    <w:rsid w:val="001664B1"/>
    <w:rsid w:val="00166BE7"/>
    <w:rsid w:val="00167D43"/>
    <w:rsid w:val="00171109"/>
    <w:rsid w:val="00172079"/>
    <w:rsid w:val="001729EF"/>
    <w:rsid w:val="0017357A"/>
    <w:rsid w:val="00173C10"/>
    <w:rsid w:val="00175DE7"/>
    <w:rsid w:val="00175F1E"/>
    <w:rsid w:val="00175F39"/>
    <w:rsid w:val="00176719"/>
    <w:rsid w:val="00176901"/>
    <w:rsid w:val="00176B31"/>
    <w:rsid w:val="00176C61"/>
    <w:rsid w:val="00176FB1"/>
    <w:rsid w:val="0017762C"/>
    <w:rsid w:val="00180523"/>
    <w:rsid w:val="001807CB"/>
    <w:rsid w:val="00180895"/>
    <w:rsid w:val="00180D68"/>
    <w:rsid w:val="001817FD"/>
    <w:rsid w:val="00181D29"/>
    <w:rsid w:val="00181D7A"/>
    <w:rsid w:val="00183435"/>
    <w:rsid w:val="00183438"/>
    <w:rsid w:val="00183508"/>
    <w:rsid w:val="001844EB"/>
    <w:rsid w:val="001848C3"/>
    <w:rsid w:val="001851C2"/>
    <w:rsid w:val="001870D3"/>
    <w:rsid w:val="00187D60"/>
    <w:rsid w:val="001902B7"/>
    <w:rsid w:val="00190A83"/>
    <w:rsid w:val="0019107A"/>
    <w:rsid w:val="00192503"/>
    <w:rsid w:val="00192E2C"/>
    <w:rsid w:val="0019373F"/>
    <w:rsid w:val="00194DAF"/>
    <w:rsid w:val="00195347"/>
    <w:rsid w:val="00195EAB"/>
    <w:rsid w:val="001974E4"/>
    <w:rsid w:val="00197634"/>
    <w:rsid w:val="00197AA9"/>
    <w:rsid w:val="001A081C"/>
    <w:rsid w:val="001A0FA9"/>
    <w:rsid w:val="001A0FEC"/>
    <w:rsid w:val="001A143D"/>
    <w:rsid w:val="001A1854"/>
    <w:rsid w:val="001A1E7A"/>
    <w:rsid w:val="001A2125"/>
    <w:rsid w:val="001A31B7"/>
    <w:rsid w:val="001A3322"/>
    <w:rsid w:val="001A394F"/>
    <w:rsid w:val="001A3FE1"/>
    <w:rsid w:val="001A4D38"/>
    <w:rsid w:val="001A4F8E"/>
    <w:rsid w:val="001A7E1E"/>
    <w:rsid w:val="001B03E2"/>
    <w:rsid w:val="001B0750"/>
    <w:rsid w:val="001B077F"/>
    <w:rsid w:val="001B23BB"/>
    <w:rsid w:val="001B2484"/>
    <w:rsid w:val="001B26AC"/>
    <w:rsid w:val="001B53ED"/>
    <w:rsid w:val="001B596A"/>
    <w:rsid w:val="001B69A5"/>
    <w:rsid w:val="001B6E72"/>
    <w:rsid w:val="001B6F5A"/>
    <w:rsid w:val="001C0A89"/>
    <w:rsid w:val="001C0EFE"/>
    <w:rsid w:val="001C1D2C"/>
    <w:rsid w:val="001C1EB6"/>
    <w:rsid w:val="001C474A"/>
    <w:rsid w:val="001C4D3A"/>
    <w:rsid w:val="001C4EEE"/>
    <w:rsid w:val="001C5D7E"/>
    <w:rsid w:val="001C6B80"/>
    <w:rsid w:val="001C71E4"/>
    <w:rsid w:val="001C71F8"/>
    <w:rsid w:val="001C7B85"/>
    <w:rsid w:val="001C7DA0"/>
    <w:rsid w:val="001D064E"/>
    <w:rsid w:val="001D07C0"/>
    <w:rsid w:val="001D0C7B"/>
    <w:rsid w:val="001D0D72"/>
    <w:rsid w:val="001D2826"/>
    <w:rsid w:val="001D3C19"/>
    <w:rsid w:val="001D4949"/>
    <w:rsid w:val="001D5B79"/>
    <w:rsid w:val="001D6917"/>
    <w:rsid w:val="001D6EA7"/>
    <w:rsid w:val="001D7B14"/>
    <w:rsid w:val="001E0435"/>
    <w:rsid w:val="001E10DA"/>
    <w:rsid w:val="001E23EC"/>
    <w:rsid w:val="001E2490"/>
    <w:rsid w:val="001E274C"/>
    <w:rsid w:val="001E2E0D"/>
    <w:rsid w:val="001E3BA7"/>
    <w:rsid w:val="001E41AA"/>
    <w:rsid w:val="001E4A72"/>
    <w:rsid w:val="001E5262"/>
    <w:rsid w:val="001E6052"/>
    <w:rsid w:val="001E633D"/>
    <w:rsid w:val="001E6568"/>
    <w:rsid w:val="001E7C41"/>
    <w:rsid w:val="001F0C60"/>
    <w:rsid w:val="001F26BC"/>
    <w:rsid w:val="001F4014"/>
    <w:rsid w:val="001F4667"/>
    <w:rsid w:val="001F47DB"/>
    <w:rsid w:val="001F4BBC"/>
    <w:rsid w:val="001F59CD"/>
    <w:rsid w:val="001F5A20"/>
    <w:rsid w:val="001F6434"/>
    <w:rsid w:val="001F7DFC"/>
    <w:rsid w:val="002004B0"/>
    <w:rsid w:val="002015A7"/>
    <w:rsid w:val="00201E89"/>
    <w:rsid w:val="002023D8"/>
    <w:rsid w:val="00203ABF"/>
    <w:rsid w:val="00203B76"/>
    <w:rsid w:val="00203BFA"/>
    <w:rsid w:val="0020401B"/>
    <w:rsid w:val="002040AB"/>
    <w:rsid w:val="002045C6"/>
    <w:rsid w:val="0020522E"/>
    <w:rsid w:val="00205D6F"/>
    <w:rsid w:val="002060C2"/>
    <w:rsid w:val="0020616B"/>
    <w:rsid w:val="00211B17"/>
    <w:rsid w:val="00211B8D"/>
    <w:rsid w:val="00212526"/>
    <w:rsid w:val="002128D0"/>
    <w:rsid w:val="0021362B"/>
    <w:rsid w:val="00220999"/>
    <w:rsid w:val="0022115B"/>
    <w:rsid w:val="00221163"/>
    <w:rsid w:val="0022120B"/>
    <w:rsid w:val="0022128C"/>
    <w:rsid w:val="00221350"/>
    <w:rsid w:val="00222427"/>
    <w:rsid w:val="0022283B"/>
    <w:rsid w:val="00222886"/>
    <w:rsid w:val="00222AE2"/>
    <w:rsid w:val="0022324E"/>
    <w:rsid w:val="00223658"/>
    <w:rsid w:val="00223C40"/>
    <w:rsid w:val="002254C4"/>
    <w:rsid w:val="00225C3A"/>
    <w:rsid w:val="00226148"/>
    <w:rsid w:val="002265E1"/>
    <w:rsid w:val="00227148"/>
    <w:rsid w:val="0023018A"/>
    <w:rsid w:val="002311AE"/>
    <w:rsid w:val="00231C23"/>
    <w:rsid w:val="00232FF9"/>
    <w:rsid w:val="00233450"/>
    <w:rsid w:val="00233466"/>
    <w:rsid w:val="00234312"/>
    <w:rsid w:val="00234335"/>
    <w:rsid w:val="002346D0"/>
    <w:rsid w:val="002346EC"/>
    <w:rsid w:val="00234971"/>
    <w:rsid w:val="002355D2"/>
    <w:rsid w:val="00236984"/>
    <w:rsid w:val="00237884"/>
    <w:rsid w:val="00237938"/>
    <w:rsid w:val="002379BB"/>
    <w:rsid w:val="00237B61"/>
    <w:rsid w:val="00237BB9"/>
    <w:rsid w:val="00241217"/>
    <w:rsid w:val="00241446"/>
    <w:rsid w:val="0024146B"/>
    <w:rsid w:val="0024336B"/>
    <w:rsid w:val="00244AFA"/>
    <w:rsid w:val="00244BC4"/>
    <w:rsid w:val="00244D10"/>
    <w:rsid w:val="0024500E"/>
    <w:rsid w:val="00245478"/>
    <w:rsid w:val="0024623A"/>
    <w:rsid w:val="00246F6D"/>
    <w:rsid w:val="00247941"/>
    <w:rsid w:val="002538A7"/>
    <w:rsid w:val="0025435C"/>
    <w:rsid w:val="00254371"/>
    <w:rsid w:val="0025585A"/>
    <w:rsid w:val="00255D80"/>
    <w:rsid w:val="00256233"/>
    <w:rsid w:val="0025737C"/>
    <w:rsid w:val="002573AC"/>
    <w:rsid w:val="00260548"/>
    <w:rsid w:val="00260640"/>
    <w:rsid w:val="0026123F"/>
    <w:rsid w:val="00261DE6"/>
    <w:rsid w:val="00261F79"/>
    <w:rsid w:val="0026399A"/>
    <w:rsid w:val="00263A37"/>
    <w:rsid w:val="00264C31"/>
    <w:rsid w:val="00265280"/>
    <w:rsid w:val="00265A33"/>
    <w:rsid w:val="0026609F"/>
    <w:rsid w:val="002661BC"/>
    <w:rsid w:val="00266751"/>
    <w:rsid w:val="00266BD4"/>
    <w:rsid w:val="00267AD8"/>
    <w:rsid w:val="00267BD6"/>
    <w:rsid w:val="00267DDA"/>
    <w:rsid w:val="00267DF2"/>
    <w:rsid w:val="00267E4F"/>
    <w:rsid w:val="00270A4A"/>
    <w:rsid w:val="00270C67"/>
    <w:rsid w:val="002729BF"/>
    <w:rsid w:val="00273299"/>
    <w:rsid w:val="002750A0"/>
    <w:rsid w:val="002777BB"/>
    <w:rsid w:val="00277B28"/>
    <w:rsid w:val="002809D4"/>
    <w:rsid w:val="00280C8B"/>
    <w:rsid w:val="00281295"/>
    <w:rsid w:val="0028268B"/>
    <w:rsid w:val="00282832"/>
    <w:rsid w:val="00284650"/>
    <w:rsid w:val="002852CE"/>
    <w:rsid w:val="00285551"/>
    <w:rsid w:val="00286739"/>
    <w:rsid w:val="002875B2"/>
    <w:rsid w:val="0029016A"/>
    <w:rsid w:val="002901C9"/>
    <w:rsid w:val="0029143C"/>
    <w:rsid w:val="0029175E"/>
    <w:rsid w:val="00291A36"/>
    <w:rsid w:val="00292E73"/>
    <w:rsid w:val="002932B4"/>
    <w:rsid w:val="00293A81"/>
    <w:rsid w:val="00293ED9"/>
    <w:rsid w:val="00294236"/>
    <w:rsid w:val="00295591"/>
    <w:rsid w:val="002958EA"/>
    <w:rsid w:val="002967F4"/>
    <w:rsid w:val="00296A25"/>
    <w:rsid w:val="00296BDF"/>
    <w:rsid w:val="00296CF3"/>
    <w:rsid w:val="00296EE4"/>
    <w:rsid w:val="00297054"/>
    <w:rsid w:val="00297DCC"/>
    <w:rsid w:val="002A0BA0"/>
    <w:rsid w:val="002A189E"/>
    <w:rsid w:val="002A1D34"/>
    <w:rsid w:val="002A1D7C"/>
    <w:rsid w:val="002A23FC"/>
    <w:rsid w:val="002A3C6C"/>
    <w:rsid w:val="002A4363"/>
    <w:rsid w:val="002A4866"/>
    <w:rsid w:val="002A4A5A"/>
    <w:rsid w:val="002A6013"/>
    <w:rsid w:val="002A66CB"/>
    <w:rsid w:val="002A680D"/>
    <w:rsid w:val="002A730B"/>
    <w:rsid w:val="002B2921"/>
    <w:rsid w:val="002B3016"/>
    <w:rsid w:val="002B350F"/>
    <w:rsid w:val="002B4D8B"/>
    <w:rsid w:val="002B4EDE"/>
    <w:rsid w:val="002B6407"/>
    <w:rsid w:val="002B68A5"/>
    <w:rsid w:val="002B7141"/>
    <w:rsid w:val="002B78DD"/>
    <w:rsid w:val="002B7E10"/>
    <w:rsid w:val="002C1016"/>
    <w:rsid w:val="002C4B11"/>
    <w:rsid w:val="002C4D12"/>
    <w:rsid w:val="002C52B2"/>
    <w:rsid w:val="002C5506"/>
    <w:rsid w:val="002C5528"/>
    <w:rsid w:val="002C5CA8"/>
    <w:rsid w:val="002C63CA"/>
    <w:rsid w:val="002C6DB7"/>
    <w:rsid w:val="002C706C"/>
    <w:rsid w:val="002C788C"/>
    <w:rsid w:val="002C79F6"/>
    <w:rsid w:val="002D0607"/>
    <w:rsid w:val="002D086F"/>
    <w:rsid w:val="002D0B7B"/>
    <w:rsid w:val="002D0EEF"/>
    <w:rsid w:val="002D39F5"/>
    <w:rsid w:val="002D4709"/>
    <w:rsid w:val="002D4ACD"/>
    <w:rsid w:val="002D4DD8"/>
    <w:rsid w:val="002D566A"/>
    <w:rsid w:val="002D5C26"/>
    <w:rsid w:val="002D62FC"/>
    <w:rsid w:val="002D65F6"/>
    <w:rsid w:val="002D6A16"/>
    <w:rsid w:val="002D7875"/>
    <w:rsid w:val="002D7ADE"/>
    <w:rsid w:val="002D7F4A"/>
    <w:rsid w:val="002E0652"/>
    <w:rsid w:val="002E0A05"/>
    <w:rsid w:val="002E0AB5"/>
    <w:rsid w:val="002E2508"/>
    <w:rsid w:val="002E38E4"/>
    <w:rsid w:val="002E4196"/>
    <w:rsid w:val="002E4455"/>
    <w:rsid w:val="002E4ED0"/>
    <w:rsid w:val="002E536D"/>
    <w:rsid w:val="002E56AF"/>
    <w:rsid w:val="002E57E3"/>
    <w:rsid w:val="002E5D69"/>
    <w:rsid w:val="002E674B"/>
    <w:rsid w:val="002E76D9"/>
    <w:rsid w:val="002F0168"/>
    <w:rsid w:val="002F0314"/>
    <w:rsid w:val="002F0A5F"/>
    <w:rsid w:val="002F0D07"/>
    <w:rsid w:val="002F34AC"/>
    <w:rsid w:val="002F3F27"/>
    <w:rsid w:val="002F4094"/>
    <w:rsid w:val="002F40EB"/>
    <w:rsid w:val="002F4D63"/>
    <w:rsid w:val="002F53C2"/>
    <w:rsid w:val="002F5787"/>
    <w:rsid w:val="002F63AD"/>
    <w:rsid w:val="00301E5E"/>
    <w:rsid w:val="0030239C"/>
    <w:rsid w:val="00302E84"/>
    <w:rsid w:val="003043C5"/>
    <w:rsid w:val="00304E7C"/>
    <w:rsid w:val="00306C19"/>
    <w:rsid w:val="00306EBD"/>
    <w:rsid w:val="00311AAE"/>
    <w:rsid w:val="00311D7F"/>
    <w:rsid w:val="00312492"/>
    <w:rsid w:val="00312C98"/>
    <w:rsid w:val="003137E2"/>
    <w:rsid w:val="003139E4"/>
    <w:rsid w:val="00314734"/>
    <w:rsid w:val="00314D93"/>
    <w:rsid w:val="0031666A"/>
    <w:rsid w:val="00316F9A"/>
    <w:rsid w:val="003172E5"/>
    <w:rsid w:val="0031769D"/>
    <w:rsid w:val="003201A8"/>
    <w:rsid w:val="003202F9"/>
    <w:rsid w:val="00320C1F"/>
    <w:rsid w:val="00322322"/>
    <w:rsid w:val="00322D1B"/>
    <w:rsid w:val="00322F1C"/>
    <w:rsid w:val="00323010"/>
    <w:rsid w:val="003248FB"/>
    <w:rsid w:val="0032711C"/>
    <w:rsid w:val="003271BD"/>
    <w:rsid w:val="0032734C"/>
    <w:rsid w:val="003273E1"/>
    <w:rsid w:val="00327BB2"/>
    <w:rsid w:val="0033060C"/>
    <w:rsid w:val="0033119E"/>
    <w:rsid w:val="003319BB"/>
    <w:rsid w:val="00331E06"/>
    <w:rsid w:val="00332780"/>
    <w:rsid w:val="00333E48"/>
    <w:rsid w:val="00334342"/>
    <w:rsid w:val="00334997"/>
    <w:rsid w:val="00334AE2"/>
    <w:rsid w:val="003377C8"/>
    <w:rsid w:val="0033794D"/>
    <w:rsid w:val="00337C61"/>
    <w:rsid w:val="00337E00"/>
    <w:rsid w:val="00340416"/>
    <w:rsid w:val="00341C39"/>
    <w:rsid w:val="0034440F"/>
    <w:rsid w:val="0034471E"/>
    <w:rsid w:val="00345514"/>
    <w:rsid w:val="00345A0D"/>
    <w:rsid w:val="00346742"/>
    <w:rsid w:val="003477DE"/>
    <w:rsid w:val="00350B15"/>
    <w:rsid w:val="003515F0"/>
    <w:rsid w:val="00351F48"/>
    <w:rsid w:val="0035206C"/>
    <w:rsid w:val="00353868"/>
    <w:rsid w:val="00353E3A"/>
    <w:rsid w:val="00354267"/>
    <w:rsid w:val="00355318"/>
    <w:rsid w:val="00356178"/>
    <w:rsid w:val="003565E6"/>
    <w:rsid w:val="003566E3"/>
    <w:rsid w:val="00356ABC"/>
    <w:rsid w:val="00356DFC"/>
    <w:rsid w:val="003573AE"/>
    <w:rsid w:val="00357AA6"/>
    <w:rsid w:val="00357CC0"/>
    <w:rsid w:val="00357DDA"/>
    <w:rsid w:val="003620C8"/>
    <w:rsid w:val="0036395E"/>
    <w:rsid w:val="003639B6"/>
    <w:rsid w:val="00364F72"/>
    <w:rsid w:val="003664DD"/>
    <w:rsid w:val="00367035"/>
    <w:rsid w:val="00370173"/>
    <w:rsid w:val="00370AB0"/>
    <w:rsid w:val="00371364"/>
    <w:rsid w:val="0037369C"/>
    <w:rsid w:val="003737C8"/>
    <w:rsid w:val="003743B4"/>
    <w:rsid w:val="003743F9"/>
    <w:rsid w:val="003749B5"/>
    <w:rsid w:val="00374E8E"/>
    <w:rsid w:val="00376315"/>
    <w:rsid w:val="00376E92"/>
    <w:rsid w:val="003776B9"/>
    <w:rsid w:val="00380723"/>
    <w:rsid w:val="00380C43"/>
    <w:rsid w:val="00382428"/>
    <w:rsid w:val="00382704"/>
    <w:rsid w:val="003827D3"/>
    <w:rsid w:val="0038367B"/>
    <w:rsid w:val="0038373D"/>
    <w:rsid w:val="00384291"/>
    <w:rsid w:val="003858CD"/>
    <w:rsid w:val="003860C8"/>
    <w:rsid w:val="00386331"/>
    <w:rsid w:val="0038698E"/>
    <w:rsid w:val="00386D0F"/>
    <w:rsid w:val="00387AB3"/>
    <w:rsid w:val="00387B18"/>
    <w:rsid w:val="0039065F"/>
    <w:rsid w:val="00391C3F"/>
    <w:rsid w:val="003927A2"/>
    <w:rsid w:val="00392ACE"/>
    <w:rsid w:val="00392B2D"/>
    <w:rsid w:val="00393662"/>
    <w:rsid w:val="00393780"/>
    <w:rsid w:val="003942A2"/>
    <w:rsid w:val="00394391"/>
    <w:rsid w:val="0039471F"/>
    <w:rsid w:val="00394918"/>
    <w:rsid w:val="003951C2"/>
    <w:rsid w:val="003956DF"/>
    <w:rsid w:val="0039744D"/>
    <w:rsid w:val="00397FA1"/>
    <w:rsid w:val="003A0259"/>
    <w:rsid w:val="003A20CC"/>
    <w:rsid w:val="003A2107"/>
    <w:rsid w:val="003A23FE"/>
    <w:rsid w:val="003A69F2"/>
    <w:rsid w:val="003A6C87"/>
    <w:rsid w:val="003A6E35"/>
    <w:rsid w:val="003A7309"/>
    <w:rsid w:val="003B0B8E"/>
    <w:rsid w:val="003B254C"/>
    <w:rsid w:val="003B275A"/>
    <w:rsid w:val="003B2C7C"/>
    <w:rsid w:val="003B33EE"/>
    <w:rsid w:val="003B48E1"/>
    <w:rsid w:val="003B5A2C"/>
    <w:rsid w:val="003C0A2F"/>
    <w:rsid w:val="003C1E47"/>
    <w:rsid w:val="003C4D5C"/>
    <w:rsid w:val="003C6FFD"/>
    <w:rsid w:val="003C756F"/>
    <w:rsid w:val="003D03C9"/>
    <w:rsid w:val="003D09EB"/>
    <w:rsid w:val="003D0C0F"/>
    <w:rsid w:val="003D10CF"/>
    <w:rsid w:val="003D1718"/>
    <w:rsid w:val="003D1E09"/>
    <w:rsid w:val="003D30A4"/>
    <w:rsid w:val="003D3168"/>
    <w:rsid w:val="003D3A04"/>
    <w:rsid w:val="003D43B3"/>
    <w:rsid w:val="003D44CE"/>
    <w:rsid w:val="003D4A4D"/>
    <w:rsid w:val="003D4BC1"/>
    <w:rsid w:val="003D4DFA"/>
    <w:rsid w:val="003D5B2F"/>
    <w:rsid w:val="003D5E22"/>
    <w:rsid w:val="003D5E2E"/>
    <w:rsid w:val="003D6832"/>
    <w:rsid w:val="003E106D"/>
    <w:rsid w:val="003E15A2"/>
    <w:rsid w:val="003E2253"/>
    <w:rsid w:val="003E2690"/>
    <w:rsid w:val="003E3BD6"/>
    <w:rsid w:val="003E532D"/>
    <w:rsid w:val="003E5ECD"/>
    <w:rsid w:val="003E6C9D"/>
    <w:rsid w:val="003F04E9"/>
    <w:rsid w:val="003F3F53"/>
    <w:rsid w:val="003F5036"/>
    <w:rsid w:val="003F6037"/>
    <w:rsid w:val="003F606E"/>
    <w:rsid w:val="003F7619"/>
    <w:rsid w:val="00400624"/>
    <w:rsid w:val="00400B42"/>
    <w:rsid w:val="00401DFB"/>
    <w:rsid w:val="00401FF6"/>
    <w:rsid w:val="00402208"/>
    <w:rsid w:val="00402488"/>
    <w:rsid w:val="00402677"/>
    <w:rsid w:val="0040344B"/>
    <w:rsid w:val="0040358C"/>
    <w:rsid w:val="004041DC"/>
    <w:rsid w:val="004044E0"/>
    <w:rsid w:val="0040484C"/>
    <w:rsid w:val="0040498B"/>
    <w:rsid w:val="00404FFA"/>
    <w:rsid w:val="00405D0C"/>
    <w:rsid w:val="00406983"/>
    <w:rsid w:val="00406F5C"/>
    <w:rsid w:val="00407D7F"/>
    <w:rsid w:val="004113FC"/>
    <w:rsid w:val="0041161F"/>
    <w:rsid w:val="00411F34"/>
    <w:rsid w:val="004122CF"/>
    <w:rsid w:val="004127BD"/>
    <w:rsid w:val="00413F03"/>
    <w:rsid w:val="004144BB"/>
    <w:rsid w:val="00415248"/>
    <w:rsid w:val="004154CD"/>
    <w:rsid w:val="0041708A"/>
    <w:rsid w:val="0041758A"/>
    <w:rsid w:val="00417F28"/>
    <w:rsid w:val="0042038F"/>
    <w:rsid w:val="00420A95"/>
    <w:rsid w:val="00421353"/>
    <w:rsid w:val="00421824"/>
    <w:rsid w:val="00422592"/>
    <w:rsid w:val="00422CC9"/>
    <w:rsid w:val="00424CF8"/>
    <w:rsid w:val="00424E58"/>
    <w:rsid w:val="00424EAC"/>
    <w:rsid w:val="004255A3"/>
    <w:rsid w:val="00425F69"/>
    <w:rsid w:val="00426333"/>
    <w:rsid w:val="00426848"/>
    <w:rsid w:val="00426C34"/>
    <w:rsid w:val="00426D31"/>
    <w:rsid w:val="004305E4"/>
    <w:rsid w:val="00430F5F"/>
    <w:rsid w:val="004325F0"/>
    <w:rsid w:val="0043284E"/>
    <w:rsid w:val="00433513"/>
    <w:rsid w:val="00433627"/>
    <w:rsid w:val="0043468C"/>
    <w:rsid w:val="00434BCE"/>
    <w:rsid w:val="00434C00"/>
    <w:rsid w:val="0043616F"/>
    <w:rsid w:val="004369A9"/>
    <w:rsid w:val="00436BB7"/>
    <w:rsid w:val="00437006"/>
    <w:rsid w:val="00437752"/>
    <w:rsid w:val="004379FA"/>
    <w:rsid w:val="004407CC"/>
    <w:rsid w:val="00440800"/>
    <w:rsid w:val="0044136D"/>
    <w:rsid w:val="0044216B"/>
    <w:rsid w:val="00442791"/>
    <w:rsid w:val="00443D35"/>
    <w:rsid w:val="0044463D"/>
    <w:rsid w:val="00445C75"/>
    <w:rsid w:val="00446B63"/>
    <w:rsid w:val="00446C56"/>
    <w:rsid w:val="0045027F"/>
    <w:rsid w:val="00450281"/>
    <w:rsid w:val="00450369"/>
    <w:rsid w:val="0045069A"/>
    <w:rsid w:val="0045095B"/>
    <w:rsid w:val="00452579"/>
    <w:rsid w:val="00452786"/>
    <w:rsid w:val="00452E79"/>
    <w:rsid w:val="004536B8"/>
    <w:rsid w:val="004545D0"/>
    <w:rsid w:val="00454D3C"/>
    <w:rsid w:val="00454FD2"/>
    <w:rsid w:val="00455ABC"/>
    <w:rsid w:val="00456E52"/>
    <w:rsid w:val="004577B2"/>
    <w:rsid w:val="00457B2F"/>
    <w:rsid w:val="00460729"/>
    <w:rsid w:val="0046081F"/>
    <w:rsid w:val="00460A7B"/>
    <w:rsid w:val="00460A87"/>
    <w:rsid w:val="00463413"/>
    <w:rsid w:val="00463EA4"/>
    <w:rsid w:val="00465F1A"/>
    <w:rsid w:val="00465F47"/>
    <w:rsid w:val="00466510"/>
    <w:rsid w:val="00466C25"/>
    <w:rsid w:val="004675C2"/>
    <w:rsid w:val="0047012A"/>
    <w:rsid w:val="004702E1"/>
    <w:rsid w:val="00470768"/>
    <w:rsid w:val="004715E0"/>
    <w:rsid w:val="0047179E"/>
    <w:rsid w:val="0047210D"/>
    <w:rsid w:val="00472D68"/>
    <w:rsid w:val="00472F70"/>
    <w:rsid w:val="004741A1"/>
    <w:rsid w:val="00474248"/>
    <w:rsid w:val="004749BD"/>
    <w:rsid w:val="0047511D"/>
    <w:rsid w:val="0047530B"/>
    <w:rsid w:val="00475EF7"/>
    <w:rsid w:val="00476F3E"/>
    <w:rsid w:val="0047762C"/>
    <w:rsid w:val="0048369D"/>
    <w:rsid w:val="004838AE"/>
    <w:rsid w:val="00483C60"/>
    <w:rsid w:val="004841AA"/>
    <w:rsid w:val="004842FB"/>
    <w:rsid w:val="004847D7"/>
    <w:rsid w:val="00485214"/>
    <w:rsid w:val="0048575B"/>
    <w:rsid w:val="00485E39"/>
    <w:rsid w:val="00486609"/>
    <w:rsid w:val="004876A2"/>
    <w:rsid w:val="0049025B"/>
    <w:rsid w:val="0049043A"/>
    <w:rsid w:val="0049165E"/>
    <w:rsid w:val="00491BD0"/>
    <w:rsid w:val="00491CB1"/>
    <w:rsid w:val="00491F8A"/>
    <w:rsid w:val="00492AF1"/>
    <w:rsid w:val="00495849"/>
    <w:rsid w:val="004958F7"/>
    <w:rsid w:val="0049624A"/>
    <w:rsid w:val="0049630B"/>
    <w:rsid w:val="004977D3"/>
    <w:rsid w:val="00497C25"/>
    <w:rsid w:val="004A07CE"/>
    <w:rsid w:val="004A16A8"/>
    <w:rsid w:val="004A1DEF"/>
    <w:rsid w:val="004A51E9"/>
    <w:rsid w:val="004A69FB"/>
    <w:rsid w:val="004A6BFC"/>
    <w:rsid w:val="004B0A96"/>
    <w:rsid w:val="004B0D14"/>
    <w:rsid w:val="004B0D72"/>
    <w:rsid w:val="004B244E"/>
    <w:rsid w:val="004B2899"/>
    <w:rsid w:val="004B291C"/>
    <w:rsid w:val="004B2E36"/>
    <w:rsid w:val="004B3788"/>
    <w:rsid w:val="004B401A"/>
    <w:rsid w:val="004B4447"/>
    <w:rsid w:val="004B50D9"/>
    <w:rsid w:val="004B5545"/>
    <w:rsid w:val="004B573E"/>
    <w:rsid w:val="004B6306"/>
    <w:rsid w:val="004B6AB4"/>
    <w:rsid w:val="004B70E0"/>
    <w:rsid w:val="004B70F3"/>
    <w:rsid w:val="004B7BC2"/>
    <w:rsid w:val="004C1416"/>
    <w:rsid w:val="004C1C2D"/>
    <w:rsid w:val="004C26CB"/>
    <w:rsid w:val="004C28DE"/>
    <w:rsid w:val="004C39F2"/>
    <w:rsid w:val="004C443D"/>
    <w:rsid w:val="004C44FA"/>
    <w:rsid w:val="004C4755"/>
    <w:rsid w:val="004C6510"/>
    <w:rsid w:val="004C67FD"/>
    <w:rsid w:val="004C6AEC"/>
    <w:rsid w:val="004D0B22"/>
    <w:rsid w:val="004D0CD7"/>
    <w:rsid w:val="004D188D"/>
    <w:rsid w:val="004D18E3"/>
    <w:rsid w:val="004D1B60"/>
    <w:rsid w:val="004D21F5"/>
    <w:rsid w:val="004D357E"/>
    <w:rsid w:val="004D3D9C"/>
    <w:rsid w:val="004D51A5"/>
    <w:rsid w:val="004D5415"/>
    <w:rsid w:val="004D67AB"/>
    <w:rsid w:val="004D6C9C"/>
    <w:rsid w:val="004D6CA2"/>
    <w:rsid w:val="004D7250"/>
    <w:rsid w:val="004D7557"/>
    <w:rsid w:val="004D785A"/>
    <w:rsid w:val="004D7B57"/>
    <w:rsid w:val="004E1753"/>
    <w:rsid w:val="004E1EE1"/>
    <w:rsid w:val="004E2364"/>
    <w:rsid w:val="004E2CF1"/>
    <w:rsid w:val="004E3290"/>
    <w:rsid w:val="004E3875"/>
    <w:rsid w:val="004E5BA4"/>
    <w:rsid w:val="004E62F1"/>
    <w:rsid w:val="004E6654"/>
    <w:rsid w:val="004E6C6B"/>
    <w:rsid w:val="004E7813"/>
    <w:rsid w:val="004E78DB"/>
    <w:rsid w:val="004F050C"/>
    <w:rsid w:val="004F0D4A"/>
    <w:rsid w:val="004F0F92"/>
    <w:rsid w:val="004F3DC5"/>
    <w:rsid w:val="004F544E"/>
    <w:rsid w:val="004F5654"/>
    <w:rsid w:val="004F6678"/>
    <w:rsid w:val="004F6D83"/>
    <w:rsid w:val="004F7814"/>
    <w:rsid w:val="00500898"/>
    <w:rsid w:val="00503878"/>
    <w:rsid w:val="005047FC"/>
    <w:rsid w:val="00504963"/>
    <w:rsid w:val="00504B2E"/>
    <w:rsid w:val="0050519D"/>
    <w:rsid w:val="00505308"/>
    <w:rsid w:val="00506B9A"/>
    <w:rsid w:val="0050751C"/>
    <w:rsid w:val="0050790D"/>
    <w:rsid w:val="005106C5"/>
    <w:rsid w:val="00511112"/>
    <w:rsid w:val="00511837"/>
    <w:rsid w:val="00511FEE"/>
    <w:rsid w:val="005131D2"/>
    <w:rsid w:val="0051337A"/>
    <w:rsid w:val="0051431A"/>
    <w:rsid w:val="00515AB0"/>
    <w:rsid w:val="00516D39"/>
    <w:rsid w:val="00516FC2"/>
    <w:rsid w:val="00517318"/>
    <w:rsid w:val="0051738E"/>
    <w:rsid w:val="00517ECD"/>
    <w:rsid w:val="00520486"/>
    <w:rsid w:val="005205D7"/>
    <w:rsid w:val="00520968"/>
    <w:rsid w:val="005216E1"/>
    <w:rsid w:val="00522766"/>
    <w:rsid w:val="00523A01"/>
    <w:rsid w:val="005240D9"/>
    <w:rsid w:val="005242FC"/>
    <w:rsid w:val="00524552"/>
    <w:rsid w:val="0052492E"/>
    <w:rsid w:val="00524972"/>
    <w:rsid w:val="00524EC8"/>
    <w:rsid w:val="005257C1"/>
    <w:rsid w:val="005257D2"/>
    <w:rsid w:val="00526FF1"/>
    <w:rsid w:val="00527124"/>
    <w:rsid w:val="0052786F"/>
    <w:rsid w:val="00530122"/>
    <w:rsid w:val="0053033E"/>
    <w:rsid w:val="00530706"/>
    <w:rsid w:val="00530E9C"/>
    <w:rsid w:val="00532DA0"/>
    <w:rsid w:val="00532F0E"/>
    <w:rsid w:val="00534396"/>
    <w:rsid w:val="005347F9"/>
    <w:rsid w:val="00535B95"/>
    <w:rsid w:val="00535C4C"/>
    <w:rsid w:val="00536D2E"/>
    <w:rsid w:val="00537C0F"/>
    <w:rsid w:val="00537CD5"/>
    <w:rsid w:val="00537FAD"/>
    <w:rsid w:val="005408CF"/>
    <w:rsid w:val="0054105C"/>
    <w:rsid w:val="00541090"/>
    <w:rsid w:val="00541B50"/>
    <w:rsid w:val="005429F1"/>
    <w:rsid w:val="00543106"/>
    <w:rsid w:val="00543361"/>
    <w:rsid w:val="00543B44"/>
    <w:rsid w:val="00543FAD"/>
    <w:rsid w:val="00543FC0"/>
    <w:rsid w:val="00544E5D"/>
    <w:rsid w:val="005453C3"/>
    <w:rsid w:val="00545C2F"/>
    <w:rsid w:val="00546330"/>
    <w:rsid w:val="00546686"/>
    <w:rsid w:val="00546798"/>
    <w:rsid w:val="00546FE0"/>
    <w:rsid w:val="00550818"/>
    <w:rsid w:val="00550DC6"/>
    <w:rsid w:val="00552465"/>
    <w:rsid w:val="005525F5"/>
    <w:rsid w:val="0055340F"/>
    <w:rsid w:val="00554652"/>
    <w:rsid w:val="00554F55"/>
    <w:rsid w:val="00555216"/>
    <w:rsid w:val="005557CF"/>
    <w:rsid w:val="0055648F"/>
    <w:rsid w:val="005579B4"/>
    <w:rsid w:val="00557BF1"/>
    <w:rsid w:val="0056067D"/>
    <w:rsid w:val="00560EBA"/>
    <w:rsid w:val="005649CD"/>
    <w:rsid w:val="0056628D"/>
    <w:rsid w:val="00567380"/>
    <w:rsid w:val="005677E7"/>
    <w:rsid w:val="005700D5"/>
    <w:rsid w:val="005703A7"/>
    <w:rsid w:val="005709E8"/>
    <w:rsid w:val="0057177A"/>
    <w:rsid w:val="00572B45"/>
    <w:rsid w:val="00573FF2"/>
    <w:rsid w:val="00576A20"/>
    <w:rsid w:val="00577465"/>
    <w:rsid w:val="00577A43"/>
    <w:rsid w:val="00577FAF"/>
    <w:rsid w:val="00582052"/>
    <w:rsid w:val="00582CF8"/>
    <w:rsid w:val="00584247"/>
    <w:rsid w:val="005847BF"/>
    <w:rsid w:val="00584FB3"/>
    <w:rsid w:val="00585E31"/>
    <w:rsid w:val="00586365"/>
    <w:rsid w:val="005863B9"/>
    <w:rsid w:val="005865C6"/>
    <w:rsid w:val="0059080E"/>
    <w:rsid w:val="005909B4"/>
    <w:rsid w:val="0059137A"/>
    <w:rsid w:val="005913EB"/>
    <w:rsid w:val="00591459"/>
    <w:rsid w:val="00593224"/>
    <w:rsid w:val="00593721"/>
    <w:rsid w:val="00593829"/>
    <w:rsid w:val="00593FB5"/>
    <w:rsid w:val="00594C28"/>
    <w:rsid w:val="0059552A"/>
    <w:rsid w:val="00595682"/>
    <w:rsid w:val="00595F32"/>
    <w:rsid w:val="00596999"/>
    <w:rsid w:val="005A02B2"/>
    <w:rsid w:val="005A0416"/>
    <w:rsid w:val="005A0945"/>
    <w:rsid w:val="005A15DD"/>
    <w:rsid w:val="005A1B93"/>
    <w:rsid w:val="005A2A01"/>
    <w:rsid w:val="005A308C"/>
    <w:rsid w:val="005A3D30"/>
    <w:rsid w:val="005A512F"/>
    <w:rsid w:val="005A5DA5"/>
    <w:rsid w:val="005A6199"/>
    <w:rsid w:val="005A61AA"/>
    <w:rsid w:val="005A7B55"/>
    <w:rsid w:val="005B080C"/>
    <w:rsid w:val="005B0935"/>
    <w:rsid w:val="005B0F4C"/>
    <w:rsid w:val="005B1677"/>
    <w:rsid w:val="005B1895"/>
    <w:rsid w:val="005B35CB"/>
    <w:rsid w:val="005B3FFC"/>
    <w:rsid w:val="005B43DC"/>
    <w:rsid w:val="005B4CBF"/>
    <w:rsid w:val="005B5ECF"/>
    <w:rsid w:val="005B6DB5"/>
    <w:rsid w:val="005B7326"/>
    <w:rsid w:val="005C085D"/>
    <w:rsid w:val="005C0C4D"/>
    <w:rsid w:val="005C1451"/>
    <w:rsid w:val="005C17D5"/>
    <w:rsid w:val="005C1B16"/>
    <w:rsid w:val="005C1BB1"/>
    <w:rsid w:val="005C3B40"/>
    <w:rsid w:val="005C4566"/>
    <w:rsid w:val="005C47C9"/>
    <w:rsid w:val="005C495C"/>
    <w:rsid w:val="005C4D4B"/>
    <w:rsid w:val="005C52C9"/>
    <w:rsid w:val="005C7E1D"/>
    <w:rsid w:val="005D061E"/>
    <w:rsid w:val="005D15E9"/>
    <w:rsid w:val="005D1CFA"/>
    <w:rsid w:val="005D2254"/>
    <w:rsid w:val="005D2283"/>
    <w:rsid w:val="005D2433"/>
    <w:rsid w:val="005D2782"/>
    <w:rsid w:val="005D2841"/>
    <w:rsid w:val="005D2AC6"/>
    <w:rsid w:val="005D3F9F"/>
    <w:rsid w:val="005D465E"/>
    <w:rsid w:val="005D494F"/>
    <w:rsid w:val="005D4AF0"/>
    <w:rsid w:val="005D5981"/>
    <w:rsid w:val="005D6347"/>
    <w:rsid w:val="005D6AE6"/>
    <w:rsid w:val="005D6CAC"/>
    <w:rsid w:val="005D6D01"/>
    <w:rsid w:val="005D70D7"/>
    <w:rsid w:val="005D7AF3"/>
    <w:rsid w:val="005E0760"/>
    <w:rsid w:val="005E11B5"/>
    <w:rsid w:val="005E12AA"/>
    <w:rsid w:val="005E1707"/>
    <w:rsid w:val="005E281E"/>
    <w:rsid w:val="005E3838"/>
    <w:rsid w:val="005E5B7F"/>
    <w:rsid w:val="005E65BF"/>
    <w:rsid w:val="005E65D9"/>
    <w:rsid w:val="005E65E8"/>
    <w:rsid w:val="005E6B95"/>
    <w:rsid w:val="005E6E5B"/>
    <w:rsid w:val="005E7A18"/>
    <w:rsid w:val="005F05DB"/>
    <w:rsid w:val="005F0A75"/>
    <w:rsid w:val="005F1CAB"/>
    <w:rsid w:val="005F294A"/>
    <w:rsid w:val="005F43C4"/>
    <w:rsid w:val="005F4538"/>
    <w:rsid w:val="005F4CE8"/>
    <w:rsid w:val="005F5233"/>
    <w:rsid w:val="00600357"/>
    <w:rsid w:val="00600738"/>
    <w:rsid w:val="0060100E"/>
    <w:rsid w:val="0060155A"/>
    <w:rsid w:val="00601848"/>
    <w:rsid w:val="00601862"/>
    <w:rsid w:val="00601FE8"/>
    <w:rsid w:val="00602D99"/>
    <w:rsid w:val="006038E1"/>
    <w:rsid w:val="00603FB6"/>
    <w:rsid w:val="0060404A"/>
    <w:rsid w:val="00604A3D"/>
    <w:rsid w:val="0060510D"/>
    <w:rsid w:val="00606AF7"/>
    <w:rsid w:val="00606C25"/>
    <w:rsid w:val="0060720B"/>
    <w:rsid w:val="0060744A"/>
    <w:rsid w:val="00607B38"/>
    <w:rsid w:val="00607F60"/>
    <w:rsid w:val="0061182F"/>
    <w:rsid w:val="006122DE"/>
    <w:rsid w:val="006129E4"/>
    <w:rsid w:val="00613158"/>
    <w:rsid w:val="006133CF"/>
    <w:rsid w:val="006134ED"/>
    <w:rsid w:val="00613863"/>
    <w:rsid w:val="0061511C"/>
    <w:rsid w:val="00616261"/>
    <w:rsid w:val="00617759"/>
    <w:rsid w:val="00617B58"/>
    <w:rsid w:val="00617F8B"/>
    <w:rsid w:val="006201F7"/>
    <w:rsid w:val="006203F6"/>
    <w:rsid w:val="006209CE"/>
    <w:rsid w:val="00620F5A"/>
    <w:rsid w:val="00621C6C"/>
    <w:rsid w:val="00621F20"/>
    <w:rsid w:val="00622160"/>
    <w:rsid w:val="00622381"/>
    <w:rsid w:val="006225E8"/>
    <w:rsid w:val="00622E2A"/>
    <w:rsid w:val="006230DB"/>
    <w:rsid w:val="0062443A"/>
    <w:rsid w:val="00624899"/>
    <w:rsid w:val="00624E91"/>
    <w:rsid w:val="00624EC7"/>
    <w:rsid w:val="00625380"/>
    <w:rsid w:val="00625954"/>
    <w:rsid w:val="0063068F"/>
    <w:rsid w:val="0063168E"/>
    <w:rsid w:val="00631DC8"/>
    <w:rsid w:val="00632BA5"/>
    <w:rsid w:val="006334E7"/>
    <w:rsid w:val="00633C06"/>
    <w:rsid w:val="00634BFA"/>
    <w:rsid w:val="00635062"/>
    <w:rsid w:val="00637716"/>
    <w:rsid w:val="006379F6"/>
    <w:rsid w:val="00640817"/>
    <w:rsid w:val="00643567"/>
    <w:rsid w:val="00645311"/>
    <w:rsid w:val="0064552D"/>
    <w:rsid w:val="006455A8"/>
    <w:rsid w:val="00645688"/>
    <w:rsid w:val="006459C5"/>
    <w:rsid w:val="00645F01"/>
    <w:rsid w:val="0064630F"/>
    <w:rsid w:val="00646595"/>
    <w:rsid w:val="00646638"/>
    <w:rsid w:val="00647464"/>
    <w:rsid w:val="00647555"/>
    <w:rsid w:val="006507EF"/>
    <w:rsid w:val="0065394D"/>
    <w:rsid w:val="00654311"/>
    <w:rsid w:val="006548FC"/>
    <w:rsid w:val="0065499E"/>
    <w:rsid w:val="0065548C"/>
    <w:rsid w:val="00656A3A"/>
    <w:rsid w:val="00656DF0"/>
    <w:rsid w:val="00660E64"/>
    <w:rsid w:val="00661830"/>
    <w:rsid w:val="006618F6"/>
    <w:rsid w:val="006622E3"/>
    <w:rsid w:val="0066279E"/>
    <w:rsid w:val="00662EA7"/>
    <w:rsid w:val="00665D40"/>
    <w:rsid w:val="00666EE8"/>
    <w:rsid w:val="006701DF"/>
    <w:rsid w:val="00671019"/>
    <w:rsid w:val="006715C8"/>
    <w:rsid w:val="00671996"/>
    <w:rsid w:val="006725F0"/>
    <w:rsid w:val="006729D9"/>
    <w:rsid w:val="00672B21"/>
    <w:rsid w:val="00673007"/>
    <w:rsid w:val="006739C4"/>
    <w:rsid w:val="0067474F"/>
    <w:rsid w:val="0067518E"/>
    <w:rsid w:val="00676564"/>
    <w:rsid w:val="006765B7"/>
    <w:rsid w:val="00676727"/>
    <w:rsid w:val="0067758A"/>
    <w:rsid w:val="0067762C"/>
    <w:rsid w:val="00680687"/>
    <w:rsid w:val="0068089B"/>
    <w:rsid w:val="00680944"/>
    <w:rsid w:val="006809B5"/>
    <w:rsid w:val="006810C3"/>
    <w:rsid w:val="0068216F"/>
    <w:rsid w:val="006821B6"/>
    <w:rsid w:val="00682762"/>
    <w:rsid w:val="006827FC"/>
    <w:rsid w:val="0068292D"/>
    <w:rsid w:val="00682962"/>
    <w:rsid w:val="00682B40"/>
    <w:rsid w:val="0068385F"/>
    <w:rsid w:val="00683F23"/>
    <w:rsid w:val="00684559"/>
    <w:rsid w:val="00684AFF"/>
    <w:rsid w:val="00684BC7"/>
    <w:rsid w:val="006859AB"/>
    <w:rsid w:val="00686261"/>
    <w:rsid w:val="00687642"/>
    <w:rsid w:val="006876DE"/>
    <w:rsid w:val="006877FC"/>
    <w:rsid w:val="00687B37"/>
    <w:rsid w:val="00687B7E"/>
    <w:rsid w:val="006900B5"/>
    <w:rsid w:val="006909AB"/>
    <w:rsid w:val="0069176B"/>
    <w:rsid w:val="00692885"/>
    <w:rsid w:val="0069357C"/>
    <w:rsid w:val="00693805"/>
    <w:rsid w:val="00693CC5"/>
    <w:rsid w:val="0069423A"/>
    <w:rsid w:val="0069462F"/>
    <w:rsid w:val="0069482E"/>
    <w:rsid w:val="00695E25"/>
    <w:rsid w:val="0069607F"/>
    <w:rsid w:val="006960E9"/>
    <w:rsid w:val="00696612"/>
    <w:rsid w:val="00697F8C"/>
    <w:rsid w:val="006A03A6"/>
    <w:rsid w:val="006A0539"/>
    <w:rsid w:val="006A0691"/>
    <w:rsid w:val="006A0AD3"/>
    <w:rsid w:val="006A1BE7"/>
    <w:rsid w:val="006A1C04"/>
    <w:rsid w:val="006A36F9"/>
    <w:rsid w:val="006A3B4C"/>
    <w:rsid w:val="006A3D52"/>
    <w:rsid w:val="006A4D2D"/>
    <w:rsid w:val="006A4E72"/>
    <w:rsid w:val="006A4ED5"/>
    <w:rsid w:val="006A5BC5"/>
    <w:rsid w:val="006A6AB1"/>
    <w:rsid w:val="006A73E8"/>
    <w:rsid w:val="006A7719"/>
    <w:rsid w:val="006A7D36"/>
    <w:rsid w:val="006B0167"/>
    <w:rsid w:val="006B09BD"/>
    <w:rsid w:val="006B1027"/>
    <w:rsid w:val="006B120F"/>
    <w:rsid w:val="006B2CAD"/>
    <w:rsid w:val="006B2F0A"/>
    <w:rsid w:val="006B3966"/>
    <w:rsid w:val="006B5799"/>
    <w:rsid w:val="006B6048"/>
    <w:rsid w:val="006B6203"/>
    <w:rsid w:val="006B6C05"/>
    <w:rsid w:val="006B6FC1"/>
    <w:rsid w:val="006B73CE"/>
    <w:rsid w:val="006C1232"/>
    <w:rsid w:val="006C185A"/>
    <w:rsid w:val="006C1988"/>
    <w:rsid w:val="006C5300"/>
    <w:rsid w:val="006C5494"/>
    <w:rsid w:val="006C599C"/>
    <w:rsid w:val="006D063C"/>
    <w:rsid w:val="006D186B"/>
    <w:rsid w:val="006D1FC0"/>
    <w:rsid w:val="006D2969"/>
    <w:rsid w:val="006D29D4"/>
    <w:rsid w:val="006D34B0"/>
    <w:rsid w:val="006D36D0"/>
    <w:rsid w:val="006D3C1C"/>
    <w:rsid w:val="006D47A3"/>
    <w:rsid w:val="006D47C6"/>
    <w:rsid w:val="006D4C31"/>
    <w:rsid w:val="006D4DAD"/>
    <w:rsid w:val="006D5029"/>
    <w:rsid w:val="006D560F"/>
    <w:rsid w:val="006D572D"/>
    <w:rsid w:val="006D64B3"/>
    <w:rsid w:val="006D66FE"/>
    <w:rsid w:val="006D7E6A"/>
    <w:rsid w:val="006D7FAE"/>
    <w:rsid w:val="006E0555"/>
    <w:rsid w:val="006E05F6"/>
    <w:rsid w:val="006E09FB"/>
    <w:rsid w:val="006E0D8F"/>
    <w:rsid w:val="006E20CC"/>
    <w:rsid w:val="006E2CBC"/>
    <w:rsid w:val="006E2FAE"/>
    <w:rsid w:val="006E3A64"/>
    <w:rsid w:val="006E40BB"/>
    <w:rsid w:val="006E43F4"/>
    <w:rsid w:val="006E581B"/>
    <w:rsid w:val="006E59E2"/>
    <w:rsid w:val="006E7B55"/>
    <w:rsid w:val="006F0C58"/>
    <w:rsid w:val="006F1CFC"/>
    <w:rsid w:val="006F2030"/>
    <w:rsid w:val="006F2266"/>
    <w:rsid w:val="006F23C3"/>
    <w:rsid w:val="006F2605"/>
    <w:rsid w:val="006F280A"/>
    <w:rsid w:val="006F29B8"/>
    <w:rsid w:val="006F2E35"/>
    <w:rsid w:val="006F44FB"/>
    <w:rsid w:val="006F4ACD"/>
    <w:rsid w:val="006F5148"/>
    <w:rsid w:val="006F57B6"/>
    <w:rsid w:val="006F5EE5"/>
    <w:rsid w:val="006F67A4"/>
    <w:rsid w:val="006F758A"/>
    <w:rsid w:val="006F7D95"/>
    <w:rsid w:val="006F7F20"/>
    <w:rsid w:val="00700AF2"/>
    <w:rsid w:val="0070121D"/>
    <w:rsid w:val="0070130B"/>
    <w:rsid w:val="007014CE"/>
    <w:rsid w:val="007017C5"/>
    <w:rsid w:val="00701E4D"/>
    <w:rsid w:val="007026FF"/>
    <w:rsid w:val="00702ADB"/>
    <w:rsid w:val="007034C6"/>
    <w:rsid w:val="00703ED7"/>
    <w:rsid w:val="00705402"/>
    <w:rsid w:val="00705C17"/>
    <w:rsid w:val="00705D82"/>
    <w:rsid w:val="0070601C"/>
    <w:rsid w:val="007068E7"/>
    <w:rsid w:val="00706C64"/>
    <w:rsid w:val="00710D11"/>
    <w:rsid w:val="007110C4"/>
    <w:rsid w:val="00711DBA"/>
    <w:rsid w:val="00712095"/>
    <w:rsid w:val="00712335"/>
    <w:rsid w:val="00712752"/>
    <w:rsid w:val="00712897"/>
    <w:rsid w:val="00712ADB"/>
    <w:rsid w:val="00712F4C"/>
    <w:rsid w:val="0071337F"/>
    <w:rsid w:val="0071363F"/>
    <w:rsid w:val="0071759B"/>
    <w:rsid w:val="00717ADB"/>
    <w:rsid w:val="007208E1"/>
    <w:rsid w:val="00720CF6"/>
    <w:rsid w:val="007212E9"/>
    <w:rsid w:val="00722EB5"/>
    <w:rsid w:val="00723E91"/>
    <w:rsid w:val="00725B7A"/>
    <w:rsid w:val="00725BA5"/>
    <w:rsid w:val="00726063"/>
    <w:rsid w:val="00726131"/>
    <w:rsid w:val="007261B1"/>
    <w:rsid w:val="007266BF"/>
    <w:rsid w:val="00726A47"/>
    <w:rsid w:val="00727E01"/>
    <w:rsid w:val="00727EA5"/>
    <w:rsid w:val="007315DB"/>
    <w:rsid w:val="00735554"/>
    <w:rsid w:val="00736C0B"/>
    <w:rsid w:val="00736EF6"/>
    <w:rsid w:val="00736FE3"/>
    <w:rsid w:val="00737047"/>
    <w:rsid w:val="00737417"/>
    <w:rsid w:val="007377DD"/>
    <w:rsid w:val="0074095C"/>
    <w:rsid w:val="00741570"/>
    <w:rsid w:val="007427A7"/>
    <w:rsid w:val="00742F0A"/>
    <w:rsid w:val="007432AD"/>
    <w:rsid w:val="00743465"/>
    <w:rsid w:val="00745D47"/>
    <w:rsid w:val="0075050D"/>
    <w:rsid w:val="0075070A"/>
    <w:rsid w:val="00750AF1"/>
    <w:rsid w:val="00755F4C"/>
    <w:rsid w:val="00757CFA"/>
    <w:rsid w:val="00757D7E"/>
    <w:rsid w:val="0076334A"/>
    <w:rsid w:val="0076351E"/>
    <w:rsid w:val="00763558"/>
    <w:rsid w:val="00763743"/>
    <w:rsid w:val="0076380D"/>
    <w:rsid w:val="007638C2"/>
    <w:rsid w:val="007640A2"/>
    <w:rsid w:val="00764123"/>
    <w:rsid w:val="00764189"/>
    <w:rsid w:val="00765310"/>
    <w:rsid w:val="007667E6"/>
    <w:rsid w:val="007679E7"/>
    <w:rsid w:val="00770BEA"/>
    <w:rsid w:val="007717DE"/>
    <w:rsid w:val="0077426F"/>
    <w:rsid w:val="00774EAC"/>
    <w:rsid w:val="00775C33"/>
    <w:rsid w:val="00775DAC"/>
    <w:rsid w:val="00775DF4"/>
    <w:rsid w:val="00777CD3"/>
    <w:rsid w:val="00777D57"/>
    <w:rsid w:val="00777D6E"/>
    <w:rsid w:val="00782928"/>
    <w:rsid w:val="00782ECF"/>
    <w:rsid w:val="007843F0"/>
    <w:rsid w:val="0078468D"/>
    <w:rsid w:val="0078502A"/>
    <w:rsid w:val="007857D2"/>
    <w:rsid w:val="0078699E"/>
    <w:rsid w:val="00787F03"/>
    <w:rsid w:val="00790B79"/>
    <w:rsid w:val="007923AB"/>
    <w:rsid w:val="00792612"/>
    <w:rsid w:val="00792B14"/>
    <w:rsid w:val="00792D34"/>
    <w:rsid w:val="00793938"/>
    <w:rsid w:val="00794204"/>
    <w:rsid w:val="00796220"/>
    <w:rsid w:val="0079640D"/>
    <w:rsid w:val="00797021"/>
    <w:rsid w:val="0079772D"/>
    <w:rsid w:val="00797903"/>
    <w:rsid w:val="007A0806"/>
    <w:rsid w:val="007A0F56"/>
    <w:rsid w:val="007A17C0"/>
    <w:rsid w:val="007A2166"/>
    <w:rsid w:val="007A2260"/>
    <w:rsid w:val="007A260F"/>
    <w:rsid w:val="007A30F0"/>
    <w:rsid w:val="007A3169"/>
    <w:rsid w:val="007A31BD"/>
    <w:rsid w:val="007A37D3"/>
    <w:rsid w:val="007A457A"/>
    <w:rsid w:val="007A5B2A"/>
    <w:rsid w:val="007A7431"/>
    <w:rsid w:val="007A7F97"/>
    <w:rsid w:val="007B036F"/>
    <w:rsid w:val="007B075A"/>
    <w:rsid w:val="007B1D3B"/>
    <w:rsid w:val="007B2B84"/>
    <w:rsid w:val="007B2BEC"/>
    <w:rsid w:val="007B303F"/>
    <w:rsid w:val="007B3574"/>
    <w:rsid w:val="007B48DF"/>
    <w:rsid w:val="007B4D38"/>
    <w:rsid w:val="007B5430"/>
    <w:rsid w:val="007B56FE"/>
    <w:rsid w:val="007B5847"/>
    <w:rsid w:val="007B63B2"/>
    <w:rsid w:val="007B677F"/>
    <w:rsid w:val="007B7645"/>
    <w:rsid w:val="007C09A9"/>
    <w:rsid w:val="007C0A7D"/>
    <w:rsid w:val="007C0BF8"/>
    <w:rsid w:val="007C0D11"/>
    <w:rsid w:val="007C17DD"/>
    <w:rsid w:val="007C1CD2"/>
    <w:rsid w:val="007C2000"/>
    <w:rsid w:val="007C2D55"/>
    <w:rsid w:val="007C2E1E"/>
    <w:rsid w:val="007C32E1"/>
    <w:rsid w:val="007C4578"/>
    <w:rsid w:val="007C4720"/>
    <w:rsid w:val="007C4C56"/>
    <w:rsid w:val="007C6078"/>
    <w:rsid w:val="007C73A1"/>
    <w:rsid w:val="007C742D"/>
    <w:rsid w:val="007C7F45"/>
    <w:rsid w:val="007D0424"/>
    <w:rsid w:val="007D1451"/>
    <w:rsid w:val="007D14D6"/>
    <w:rsid w:val="007D1FF4"/>
    <w:rsid w:val="007D4CA7"/>
    <w:rsid w:val="007D4E58"/>
    <w:rsid w:val="007D50C2"/>
    <w:rsid w:val="007D5D6C"/>
    <w:rsid w:val="007D62FA"/>
    <w:rsid w:val="007D709E"/>
    <w:rsid w:val="007D7751"/>
    <w:rsid w:val="007D79DC"/>
    <w:rsid w:val="007D7B40"/>
    <w:rsid w:val="007E1BE2"/>
    <w:rsid w:val="007E22C3"/>
    <w:rsid w:val="007E368B"/>
    <w:rsid w:val="007E3BA3"/>
    <w:rsid w:val="007E462C"/>
    <w:rsid w:val="007E4F56"/>
    <w:rsid w:val="007E5576"/>
    <w:rsid w:val="007E58A6"/>
    <w:rsid w:val="007E6312"/>
    <w:rsid w:val="007F0256"/>
    <w:rsid w:val="007F0987"/>
    <w:rsid w:val="007F1763"/>
    <w:rsid w:val="007F3170"/>
    <w:rsid w:val="007F45D1"/>
    <w:rsid w:val="007F622B"/>
    <w:rsid w:val="007F63E8"/>
    <w:rsid w:val="007F6CB6"/>
    <w:rsid w:val="00800FA4"/>
    <w:rsid w:val="00801692"/>
    <w:rsid w:val="008024DB"/>
    <w:rsid w:val="00802C0D"/>
    <w:rsid w:val="00802C92"/>
    <w:rsid w:val="00802DBB"/>
    <w:rsid w:val="00803E07"/>
    <w:rsid w:val="00804AF3"/>
    <w:rsid w:val="00805526"/>
    <w:rsid w:val="0080592F"/>
    <w:rsid w:val="0080624B"/>
    <w:rsid w:val="0080674B"/>
    <w:rsid w:val="008068E5"/>
    <w:rsid w:val="00806B63"/>
    <w:rsid w:val="008076B4"/>
    <w:rsid w:val="00807DAF"/>
    <w:rsid w:val="008101ED"/>
    <w:rsid w:val="0081023A"/>
    <w:rsid w:val="008108B9"/>
    <w:rsid w:val="008109C1"/>
    <w:rsid w:val="00810C9F"/>
    <w:rsid w:val="00811968"/>
    <w:rsid w:val="00812044"/>
    <w:rsid w:val="00814759"/>
    <w:rsid w:val="00814FD1"/>
    <w:rsid w:val="00815056"/>
    <w:rsid w:val="00815BD8"/>
    <w:rsid w:val="00815CBC"/>
    <w:rsid w:val="00815D10"/>
    <w:rsid w:val="00817D73"/>
    <w:rsid w:val="00820FEE"/>
    <w:rsid w:val="0082206A"/>
    <w:rsid w:val="008222F6"/>
    <w:rsid w:val="008227F8"/>
    <w:rsid w:val="00822EF8"/>
    <w:rsid w:val="00824471"/>
    <w:rsid w:val="00824491"/>
    <w:rsid w:val="00825242"/>
    <w:rsid w:val="00825A19"/>
    <w:rsid w:val="00826AE5"/>
    <w:rsid w:val="008278E2"/>
    <w:rsid w:val="00830D18"/>
    <w:rsid w:val="00830E9A"/>
    <w:rsid w:val="00831018"/>
    <w:rsid w:val="008336A2"/>
    <w:rsid w:val="00833F09"/>
    <w:rsid w:val="00836248"/>
    <w:rsid w:val="008419DF"/>
    <w:rsid w:val="0084215C"/>
    <w:rsid w:val="00842FEC"/>
    <w:rsid w:val="00843E88"/>
    <w:rsid w:val="00844680"/>
    <w:rsid w:val="0084479D"/>
    <w:rsid w:val="00845CAC"/>
    <w:rsid w:val="00846908"/>
    <w:rsid w:val="0084701E"/>
    <w:rsid w:val="008503BC"/>
    <w:rsid w:val="008504DB"/>
    <w:rsid w:val="0085089F"/>
    <w:rsid w:val="008512E2"/>
    <w:rsid w:val="00852DE6"/>
    <w:rsid w:val="0085300F"/>
    <w:rsid w:val="00853E40"/>
    <w:rsid w:val="00854640"/>
    <w:rsid w:val="00856062"/>
    <w:rsid w:val="00856712"/>
    <w:rsid w:val="00857150"/>
    <w:rsid w:val="00857A5F"/>
    <w:rsid w:val="00860772"/>
    <w:rsid w:val="008619B1"/>
    <w:rsid w:val="00861CED"/>
    <w:rsid w:val="00862D68"/>
    <w:rsid w:val="00863C06"/>
    <w:rsid w:val="008676BE"/>
    <w:rsid w:val="0086780C"/>
    <w:rsid w:val="00870FE4"/>
    <w:rsid w:val="00872E67"/>
    <w:rsid w:val="008731E8"/>
    <w:rsid w:val="008735C7"/>
    <w:rsid w:val="008740A0"/>
    <w:rsid w:val="00874903"/>
    <w:rsid w:val="00875CE5"/>
    <w:rsid w:val="0087633A"/>
    <w:rsid w:val="00876DC9"/>
    <w:rsid w:val="00876E0B"/>
    <w:rsid w:val="0088120A"/>
    <w:rsid w:val="00881642"/>
    <w:rsid w:val="0088168E"/>
    <w:rsid w:val="00881ABE"/>
    <w:rsid w:val="00882B02"/>
    <w:rsid w:val="00885EC5"/>
    <w:rsid w:val="00886214"/>
    <w:rsid w:val="0088661F"/>
    <w:rsid w:val="008879D2"/>
    <w:rsid w:val="008901F2"/>
    <w:rsid w:val="00890798"/>
    <w:rsid w:val="008914A1"/>
    <w:rsid w:val="00892D87"/>
    <w:rsid w:val="008944AE"/>
    <w:rsid w:val="008954B6"/>
    <w:rsid w:val="008954FE"/>
    <w:rsid w:val="0089575C"/>
    <w:rsid w:val="008958B1"/>
    <w:rsid w:val="00895BBA"/>
    <w:rsid w:val="00896ECA"/>
    <w:rsid w:val="00897D82"/>
    <w:rsid w:val="008A129D"/>
    <w:rsid w:val="008A134D"/>
    <w:rsid w:val="008A2023"/>
    <w:rsid w:val="008A2158"/>
    <w:rsid w:val="008A2B2C"/>
    <w:rsid w:val="008A3609"/>
    <w:rsid w:val="008A3857"/>
    <w:rsid w:val="008A3903"/>
    <w:rsid w:val="008A39DE"/>
    <w:rsid w:val="008A3FCE"/>
    <w:rsid w:val="008A4D2D"/>
    <w:rsid w:val="008A5CD8"/>
    <w:rsid w:val="008A62F6"/>
    <w:rsid w:val="008A6F06"/>
    <w:rsid w:val="008A7A99"/>
    <w:rsid w:val="008B0D33"/>
    <w:rsid w:val="008B12C7"/>
    <w:rsid w:val="008B1EA7"/>
    <w:rsid w:val="008B3646"/>
    <w:rsid w:val="008B4806"/>
    <w:rsid w:val="008B4939"/>
    <w:rsid w:val="008B4F07"/>
    <w:rsid w:val="008B5B8D"/>
    <w:rsid w:val="008B793C"/>
    <w:rsid w:val="008B7E9A"/>
    <w:rsid w:val="008C0076"/>
    <w:rsid w:val="008C00E4"/>
    <w:rsid w:val="008C12F5"/>
    <w:rsid w:val="008C1586"/>
    <w:rsid w:val="008C2544"/>
    <w:rsid w:val="008C2C74"/>
    <w:rsid w:val="008C2E58"/>
    <w:rsid w:val="008C30AD"/>
    <w:rsid w:val="008C3978"/>
    <w:rsid w:val="008C39D8"/>
    <w:rsid w:val="008C3DD7"/>
    <w:rsid w:val="008C3F49"/>
    <w:rsid w:val="008C40BA"/>
    <w:rsid w:val="008C4228"/>
    <w:rsid w:val="008C5173"/>
    <w:rsid w:val="008C5797"/>
    <w:rsid w:val="008C646B"/>
    <w:rsid w:val="008C6951"/>
    <w:rsid w:val="008C69F5"/>
    <w:rsid w:val="008D0534"/>
    <w:rsid w:val="008D0C9A"/>
    <w:rsid w:val="008D1EE7"/>
    <w:rsid w:val="008D21D9"/>
    <w:rsid w:val="008D29C8"/>
    <w:rsid w:val="008D3120"/>
    <w:rsid w:val="008D452A"/>
    <w:rsid w:val="008D4C88"/>
    <w:rsid w:val="008D553A"/>
    <w:rsid w:val="008D5E73"/>
    <w:rsid w:val="008D71C9"/>
    <w:rsid w:val="008D79B5"/>
    <w:rsid w:val="008E0DA3"/>
    <w:rsid w:val="008E179D"/>
    <w:rsid w:val="008E274E"/>
    <w:rsid w:val="008E27C2"/>
    <w:rsid w:val="008E31B9"/>
    <w:rsid w:val="008E3CA3"/>
    <w:rsid w:val="008E4091"/>
    <w:rsid w:val="008E4F40"/>
    <w:rsid w:val="008E4FA0"/>
    <w:rsid w:val="008E6AB3"/>
    <w:rsid w:val="008E7757"/>
    <w:rsid w:val="008F021C"/>
    <w:rsid w:val="008F1D7F"/>
    <w:rsid w:val="008F1ED2"/>
    <w:rsid w:val="008F2FF0"/>
    <w:rsid w:val="008F3758"/>
    <w:rsid w:val="008F3F5F"/>
    <w:rsid w:val="008F40D7"/>
    <w:rsid w:val="008F4EE0"/>
    <w:rsid w:val="008F4EF4"/>
    <w:rsid w:val="008F66A1"/>
    <w:rsid w:val="008F73E0"/>
    <w:rsid w:val="009001C1"/>
    <w:rsid w:val="009011D2"/>
    <w:rsid w:val="00902B04"/>
    <w:rsid w:val="0090351E"/>
    <w:rsid w:val="00904791"/>
    <w:rsid w:val="00904B8C"/>
    <w:rsid w:val="00904EBD"/>
    <w:rsid w:val="00905D8F"/>
    <w:rsid w:val="00907B11"/>
    <w:rsid w:val="009114A9"/>
    <w:rsid w:val="009133A3"/>
    <w:rsid w:val="0091371B"/>
    <w:rsid w:val="0091382B"/>
    <w:rsid w:val="009141A7"/>
    <w:rsid w:val="009143F9"/>
    <w:rsid w:val="00914462"/>
    <w:rsid w:val="009171EE"/>
    <w:rsid w:val="009174F0"/>
    <w:rsid w:val="00917DA3"/>
    <w:rsid w:val="00920496"/>
    <w:rsid w:val="00920737"/>
    <w:rsid w:val="0092095E"/>
    <w:rsid w:val="00921263"/>
    <w:rsid w:val="0092178C"/>
    <w:rsid w:val="0092230C"/>
    <w:rsid w:val="00922C48"/>
    <w:rsid w:val="00922C51"/>
    <w:rsid w:val="0092399A"/>
    <w:rsid w:val="00931576"/>
    <w:rsid w:val="00934768"/>
    <w:rsid w:val="009348D1"/>
    <w:rsid w:val="00934CF2"/>
    <w:rsid w:val="00937DE7"/>
    <w:rsid w:val="00940FBA"/>
    <w:rsid w:val="00942EF1"/>
    <w:rsid w:val="0094303F"/>
    <w:rsid w:val="00943D37"/>
    <w:rsid w:val="00944262"/>
    <w:rsid w:val="009444A8"/>
    <w:rsid w:val="00944B51"/>
    <w:rsid w:val="009458E6"/>
    <w:rsid w:val="00946471"/>
    <w:rsid w:val="00946650"/>
    <w:rsid w:val="00946D61"/>
    <w:rsid w:val="00946E9A"/>
    <w:rsid w:val="009475EF"/>
    <w:rsid w:val="00947DE9"/>
    <w:rsid w:val="00947FC9"/>
    <w:rsid w:val="0095069E"/>
    <w:rsid w:val="0095088F"/>
    <w:rsid w:val="00950EFB"/>
    <w:rsid w:val="00951BF6"/>
    <w:rsid w:val="0095253F"/>
    <w:rsid w:val="00952FBF"/>
    <w:rsid w:val="00960082"/>
    <w:rsid w:val="00962588"/>
    <w:rsid w:val="00962F90"/>
    <w:rsid w:val="0096331A"/>
    <w:rsid w:val="00963709"/>
    <w:rsid w:val="009650D8"/>
    <w:rsid w:val="00965366"/>
    <w:rsid w:val="00965F97"/>
    <w:rsid w:val="00966EF8"/>
    <w:rsid w:val="0096737D"/>
    <w:rsid w:val="00967492"/>
    <w:rsid w:val="00967B1E"/>
    <w:rsid w:val="00967C3D"/>
    <w:rsid w:val="00967FFD"/>
    <w:rsid w:val="00971EDE"/>
    <w:rsid w:val="00972258"/>
    <w:rsid w:val="0097226D"/>
    <w:rsid w:val="00972857"/>
    <w:rsid w:val="00973D19"/>
    <w:rsid w:val="00974BDB"/>
    <w:rsid w:val="00975C48"/>
    <w:rsid w:val="00976871"/>
    <w:rsid w:val="00976E42"/>
    <w:rsid w:val="00976EC4"/>
    <w:rsid w:val="0097715A"/>
    <w:rsid w:val="00977B15"/>
    <w:rsid w:val="00980971"/>
    <w:rsid w:val="009828C9"/>
    <w:rsid w:val="00983DD5"/>
    <w:rsid w:val="00984153"/>
    <w:rsid w:val="00984331"/>
    <w:rsid w:val="00985EAC"/>
    <w:rsid w:val="00986C39"/>
    <w:rsid w:val="009870C9"/>
    <w:rsid w:val="00987CAA"/>
    <w:rsid w:val="009901E5"/>
    <w:rsid w:val="00990A37"/>
    <w:rsid w:val="00990BD8"/>
    <w:rsid w:val="0099110E"/>
    <w:rsid w:val="00991C46"/>
    <w:rsid w:val="00991F51"/>
    <w:rsid w:val="009921D8"/>
    <w:rsid w:val="00992EBA"/>
    <w:rsid w:val="00993052"/>
    <w:rsid w:val="0099467C"/>
    <w:rsid w:val="00994DF9"/>
    <w:rsid w:val="00995032"/>
    <w:rsid w:val="009961A2"/>
    <w:rsid w:val="009961B6"/>
    <w:rsid w:val="00996EA5"/>
    <w:rsid w:val="009978D7"/>
    <w:rsid w:val="00997B52"/>
    <w:rsid w:val="009A0392"/>
    <w:rsid w:val="009A1078"/>
    <w:rsid w:val="009A17B4"/>
    <w:rsid w:val="009A1832"/>
    <w:rsid w:val="009A2A2F"/>
    <w:rsid w:val="009A2CD9"/>
    <w:rsid w:val="009A3530"/>
    <w:rsid w:val="009A51CA"/>
    <w:rsid w:val="009A5243"/>
    <w:rsid w:val="009A595B"/>
    <w:rsid w:val="009A70EB"/>
    <w:rsid w:val="009A72EF"/>
    <w:rsid w:val="009B076E"/>
    <w:rsid w:val="009B1FF4"/>
    <w:rsid w:val="009B21FA"/>
    <w:rsid w:val="009B2625"/>
    <w:rsid w:val="009B27DD"/>
    <w:rsid w:val="009B41E2"/>
    <w:rsid w:val="009B5592"/>
    <w:rsid w:val="009B6884"/>
    <w:rsid w:val="009B7203"/>
    <w:rsid w:val="009B74AB"/>
    <w:rsid w:val="009B7BB7"/>
    <w:rsid w:val="009C01C4"/>
    <w:rsid w:val="009C1C8B"/>
    <w:rsid w:val="009C3DFC"/>
    <w:rsid w:val="009C4B81"/>
    <w:rsid w:val="009C5780"/>
    <w:rsid w:val="009C67A1"/>
    <w:rsid w:val="009C7178"/>
    <w:rsid w:val="009C7319"/>
    <w:rsid w:val="009C7388"/>
    <w:rsid w:val="009C7E89"/>
    <w:rsid w:val="009D0FE4"/>
    <w:rsid w:val="009D0FFA"/>
    <w:rsid w:val="009D1285"/>
    <w:rsid w:val="009D141D"/>
    <w:rsid w:val="009D29CA"/>
    <w:rsid w:val="009D3054"/>
    <w:rsid w:val="009D3154"/>
    <w:rsid w:val="009D31FF"/>
    <w:rsid w:val="009D4055"/>
    <w:rsid w:val="009D40E7"/>
    <w:rsid w:val="009D611B"/>
    <w:rsid w:val="009D7456"/>
    <w:rsid w:val="009D7AC9"/>
    <w:rsid w:val="009E132E"/>
    <w:rsid w:val="009E15DE"/>
    <w:rsid w:val="009E3A82"/>
    <w:rsid w:val="009E4085"/>
    <w:rsid w:val="009E4C6A"/>
    <w:rsid w:val="009E61C8"/>
    <w:rsid w:val="009E6254"/>
    <w:rsid w:val="009E675C"/>
    <w:rsid w:val="009E76B5"/>
    <w:rsid w:val="009F02E8"/>
    <w:rsid w:val="009F0344"/>
    <w:rsid w:val="009F04E7"/>
    <w:rsid w:val="009F0A1C"/>
    <w:rsid w:val="009F103D"/>
    <w:rsid w:val="009F1A11"/>
    <w:rsid w:val="009F2619"/>
    <w:rsid w:val="009F284D"/>
    <w:rsid w:val="009F2AC8"/>
    <w:rsid w:val="009F3146"/>
    <w:rsid w:val="009F49DD"/>
    <w:rsid w:val="009F4C1F"/>
    <w:rsid w:val="009F4D8D"/>
    <w:rsid w:val="009F4DBB"/>
    <w:rsid w:val="009F542D"/>
    <w:rsid w:val="009F6102"/>
    <w:rsid w:val="009F6CAD"/>
    <w:rsid w:val="00A007C8"/>
    <w:rsid w:val="00A00D57"/>
    <w:rsid w:val="00A011DF"/>
    <w:rsid w:val="00A016F9"/>
    <w:rsid w:val="00A02946"/>
    <w:rsid w:val="00A02A80"/>
    <w:rsid w:val="00A02D81"/>
    <w:rsid w:val="00A030A6"/>
    <w:rsid w:val="00A03824"/>
    <w:rsid w:val="00A03D2B"/>
    <w:rsid w:val="00A05EA3"/>
    <w:rsid w:val="00A06038"/>
    <w:rsid w:val="00A07623"/>
    <w:rsid w:val="00A1027B"/>
    <w:rsid w:val="00A104B7"/>
    <w:rsid w:val="00A11755"/>
    <w:rsid w:val="00A121F5"/>
    <w:rsid w:val="00A13D00"/>
    <w:rsid w:val="00A14EFD"/>
    <w:rsid w:val="00A155DA"/>
    <w:rsid w:val="00A15D4F"/>
    <w:rsid w:val="00A17170"/>
    <w:rsid w:val="00A177A6"/>
    <w:rsid w:val="00A214A2"/>
    <w:rsid w:val="00A21739"/>
    <w:rsid w:val="00A2450D"/>
    <w:rsid w:val="00A24F0A"/>
    <w:rsid w:val="00A26FFF"/>
    <w:rsid w:val="00A2792E"/>
    <w:rsid w:val="00A31B91"/>
    <w:rsid w:val="00A3294D"/>
    <w:rsid w:val="00A33874"/>
    <w:rsid w:val="00A33882"/>
    <w:rsid w:val="00A33F21"/>
    <w:rsid w:val="00A340EC"/>
    <w:rsid w:val="00A36B00"/>
    <w:rsid w:val="00A36BA3"/>
    <w:rsid w:val="00A417C2"/>
    <w:rsid w:val="00A41D2B"/>
    <w:rsid w:val="00A42639"/>
    <w:rsid w:val="00A43200"/>
    <w:rsid w:val="00A4328B"/>
    <w:rsid w:val="00A43999"/>
    <w:rsid w:val="00A4516A"/>
    <w:rsid w:val="00A451BB"/>
    <w:rsid w:val="00A45351"/>
    <w:rsid w:val="00A45F75"/>
    <w:rsid w:val="00A463FB"/>
    <w:rsid w:val="00A46B14"/>
    <w:rsid w:val="00A505AF"/>
    <w:rsid w:val="00A50A63"/>
    <w:rsid w:val="00A51766"/>
    <w:rsid w:val="00A51F62"/>
    <w:rsid w:val="00A529A9"/>
    <w:rsid w:val="00A52D95"/>
    <w:rsid w:val="00A53213"/>
    <w:rsid w:val="00A53620"/>
    <w:rsid w:val="00A5392B"/>
    <w:rsid w:val="00A53B45"/>
    <w:rsid w:val="00A547AA"/>
    <w:rsid w:val="00A54D6C"/>
    <w:rsid w:val="00A55444"/>
    <w:rsid w:val="00A5680F"/>
    <w:rsid w:val="00A56C7C"/>
    <w:rsid w:val="00A575A2"/>
    <w:rsid w:val="00A57627"/>
    <w:rsid w:val="00A5772A"/>
    <w:rsid w:val="00A57A05"/>
    <w:rsid w:val="00A60233"/>
    <w:rsid w:val="00A60AFA"/>
    <w:rsid w:val="00A61E24"/>
    <w:rsid w:val="00A6227D"/>
    <w:rsid w:val="00A62B0C"/>
    <w:rsid w:val="00A636FE"/>
    <w:rsid w:val="00A6376E"/>
    <w:rsid w:val="00A63ACF"/>
    <w:rsid w:val="00A66568"/>
    <w:rsid w:val="00A66639"/>
    <w:rsid w:val="00A66F6B"/>
    <w:rsid w:val="00A678E1"/>
    <w:rsid w:val="00A67944"/>
    <w:rsid w:val="00A67E4C"/>
    <w:rsid w:val="00A67F62"/>
    <w:rsid w:val="00A703F1"/>
    <w:rsid w:val="00A70995"/>
    <w:rsid w:val="00A70DA3"/>
    <w:rsid w:val="00A718F5"/>
    <w:rsid w:val="00A719E0"/>
    <w:rsid w:val="00A71CA5"/>
    <w:rsid w:val="00A73B59"/>
    <w:rsid w:val="00A75294"/>
    <w:rsid w:val="00A75D61"/>
    <w:rsid w:val="00A762B5"/>
    <w:rsid w:val="00A77B35"/>
    <w:rsid w:val="00A80223"/>
    <w:rsid w:val="00A8066A"/>
    <w:rsid w:val="00A81125"/>
    <w:rsid w:val="00A822CE"/>
    <w:rsid w:val="00A8258F"/>
    <w:rsid w:val="00A830CA"/>
    <w:rsid w:val="00A83A5A"/>
    <w:rsid w:val="00A83A9E"/>
    <w:rsid w:val="00A83B32"/>
    <w:rsid w:val="00A8481C"/>
    <w:rsid w:val="00A84C23"/>
    <w:rsid w:val="00A84E22"/>
    <w:rsid w:val="00A856E5"/>
    <w:rsid w:val="00A8610D"/>
    <w:rsid w:val="00A8691A"/>
    <w:rsid w:val="00A919ED"/>
    <w:rsid w:val="00A91E6D"/>
    <w:rsid w:val="00A92665"/>
    <w:rsid w:val="00A92D43"/>
    <w:rsid w:val="00A9445B"/>
    <w:rsid w:val="00A94C89"/>
    <w:rsid w:val="00A956A9"/>
    <w:rsid w:val="00A9727A"/>
    <w:rsid w:val="00AA02A5"/>
    <w:rsid w:val="00AA0B45"/>
    <w:rsid w:val="00AA1F17"/>
    <w:rsid w:val="00AA2065"/>
    <w:rsid w:val="00AA2C06"/>
    <w:rsid w:val="00AA38DE"/>
    <w:rsid w:val="00AA424B"/>
    <w:rsid w:val="00AA4BE3"/>
    <w:rsid w:val="00AA4E23"/>
    <w:rsid w:val="00AA4FE0"/>
    <w:rsid w:val="00AA5E53"/>
    <w:rsid w:val="00AA6691"/>
    <w:rsid w:val="00AA6F1C"/>
    <w:rsid w:val="00AA7FFB"/>
    <w:rsid w:val="00AB02F3"/>
    <w:rsid w:val="00AB10F7"/>
    <w:rsid w:val="00AB17CC"/>
    <w:rsid w:val="00AB17EB"/>
    <w:rsid w:val="00AB2F47"/>
    <w:rsid w:val="00AB36B4"/>
    <w:rsid w:val="00AB382E"/>
    <w:rsid w:val="00AB3BE8"/>
    <w:rsid w:val="00AB3F8A"/>
    <w:rsid w:val="00AB50EC"/>
    <w:rsid w:val="00AB5CDD"/>
    <w:rsid w:val="00AB6405"/>
    <w:rsid w:val="00AB6406"/>
    <w:rsid w:val="00AB655F"/>
    <w:rsid w:val="00AC0991"/>
    <w:rsid w:val="00AC1803"/>
    <w:rsid w:val="00AC3617"/>
    <w:rsid w:val="00AC3A77"/>
    <w:rsid w:val="00AC6CE1"/>
    <w:rsid w:val="00AD052F"/>
    <w:rsid w:val="00AD0FA0"/>
    <w:rsid w:val="00AD0FD9"/>
    <w:rsid w:val="00AD1491"/>
    <w:rsid w:val="00AD158A"/>
    <w:rsid w:val="00AD15CE"/>
    <w:rsid w:val="00AD1CBB"/>
    <w:rsid w:val="00AD1F15"/>
    <w:rsid w:val="00AD21DC"/>
    <w:rsid w:val="00AD3A96"/>
    <w:rsid w:val="00AD3EB3"/>
    <w:rsid w:val="00AD56C2"/>
    <w:rsid w:val="00AD5C5F"/>
    <w:rsid w:val="00AD7928"/>
    <w:rsid w:val="00AE04C4"/>
    <w:rsid w:val="00AE0D24"/>
    <w:rsid w:val="00AE2299"/>
    <w:rsid w:val="00AE251E"/>
    <w:rsid w:val="00AE481D"/>
    <w:rsid w:val="00AE509A"/>
    <w:rsid w:val="00AE6445"/>
    <w:rsid w:val="00AF2064"/>
    <w:rsid w:val="00AF24E8"/>
    <w:rsid w:val="00AF32BC"/>
    <w:rsid w:val="00AF40C6"/>
    <w:rsid w:val="00AF4484"/>
    <w:rsid w:val="00AF46DE"/>
    <w:rsid w:val="00AF4B76"/>
    <w:rsid w:val="00AF5A26"/>
    <w:rsid w:val="00AF62CA"/>
    <w:rsid w:val="00AF748D"/>
    <w:rsid w:val="00AF7691"/>
    <w:rsid w:val="00AF7F49"/>
    <w:rsid w:val="00B00267"/>
    <w:rsid w:val="00B00511"/>
    <w:rsid w:val="00B012FF"/>
    <w:rsid w:val="00B01659"/>
    <w:rsid w:val="00B022DF"/>
    <w:rsid w:val="00B03595"/>
    <w:rsid w:val="00B03779"/>
    <w:rsid w:val="00B03D76"/>
    <w:rsid w:val="00B0472B"/>
    <w:rsid w:val="00B05AA2"/>
    <w:rsid w:val="00B06C71"/>
    <w:rsid w:val="00B06CF4"/>
    <w:rsid w:val="00B07D87"/>
    <w:rsid w:val="00B10F3E"/>
    <w:rsid w:val="00B11211"/>
    <w:rsid w:val="00B114D9"/>
    <w:rsid w:val="00B1275C"/>
    <w:rsid w:val="00B12D36"/>
    <w:rsid w:val="00B1362B"/>
    <w:rsid w:val="00B15460"/>
    <w:rsid w:val="00B15DCF"/>
    <w:rsid w:val="00B1674B"/>
    <w:rsid w:val="00B1744D"/>
    <w:rsid w:val="00B175EE"/>
    <w:rsid w:val="00B1766A"/>
    <w:rsid w:val="00B179B3"/>
    <w:rsid w:val="00B17D2F"/>
    <w:rsid w:val="00B20D69"/>
    <w:rsid w:val="00B21510"/>
    <w:rsid w:val="00B21BD2"/>
    <w:rsid w:val="00B22511"/>
    <w:rsid w:val="00B23EB4"/>
    <w:rsid w:val="00B253C8"/>
    <w:rsid w:val="00B253E2"/>
    <w:rsid w:val="00B254EE"/>
    <w:rsid w:val="00B25C0C"/>
    <w:rsid w:val="00B265EC"/>
    <w:rsid w:val="00B27AB1"/>
    <w:rsid w:val="00B27E78"/>
    <w:rsid w:val="00B32E2B"/>
    <w:rsid w:val="00B334AC"/>
    <w:rsid w:val="00B3380F"/>
    <w:rsid w:val="00B34427"/>
    <w:rsid w:val="00B34A8F"/>
    <w:rsid w:val="00B3539E"/>
    <w:rsid w:val="00B36C6B"/>
    <w:rsid w:val="00B373D8"/>
    <w:rsid w:val="00B37DC8"/>
    <w:rsid w:val="00B37E6D"/>
    <w:rsid w:val="00B40CBC"/>
    <w:rsid w:val="00B41A93"/>
    <w:rsid w:val="00B42E98"/>
    <w:rsid w:val="00B432AE"/>
    <w:rsid w:val="00B44869"/>
    <w:rsid w:val="00B45C50"/>
    <w:rsid w:val="00B470F6"/>
    <w:rsid w:val="00B47361"/>
    <w:rsid w:val="00B4756B"/>
    <w:rsid w:val="00B47699"/>
    <w:rsid w:val="00B50652"/>
    <w:rsid w:val="00B51541"/>
    <w:rsid w:val="00B5166D"/>
    <w:rsid w:val="00B51F43"/>
    <w:rsid w:val="00B523E2"/>
    <w:rsid w:val="00B526B1"/>
    <w:rsid w:val="00B52AE6"/>
    <w:rsid w:val="00B52B59"/>
    <w:rsid w:val="00B53333"/>
    <w:rsid w:val="00B53C48"/>
    <w:rsid w:val="00B53DEA"/>
    <w:rsid w:val="00B54C9C"/>
    <w:rsid w:val="00B55E14"/>
    <w:rsid w:val="00B56414"/>
    <w:rsid w:val="00B5657F"/>
    <w:rsid w:val="00B568FB"/>
    <w:rsid w:val="00B57ECF"/>
    <w:rsid w:val="00B607BD"/>
    <w:rsid w:val="00B612EC"/>
    <w:rsid w:val="00B61AC2"/>
    <w:rsid w:val="00B61DDF"/>
    <w:rsid w:val="00B644FC"/>
    <w:rsid w:val="00B65F3F"/>
    <w:rsid w:val="00B66332"/>
    <w:rsid w:val="00B66B56"/>
    <w:rsid w:val="00B67806"/>
    <w:rsid w:val="00B67D3F"/>
    <w:rsid w:val="00B67F48"/>
    <w:rsid w:val="00B713E2"/>
    <w:rsid w:val="00B71C4B"/>
    <w:rsid w:val="00B720A4"/>
    <w:rsid w:val="00B723B7"/>
    <w:rsid w:val="00B725EB"/>
    <w:rsid w:val="00B726B3"/>
    <w:rsid w:val="00B72759"/>
    <w:rsid w:val="00B737C9"/>
    <w:rsid w:val="00B73985"/>
    <w:rsid w:val="00B73F3F"/>
    <w:rsid w:val="00B74662"/>
    <w:rsid w:val="00B74A28"/>
    <w:rsid w:val="00B75373"/>
    <w:rsid w:val="00B75BA6"/>
    <w:rsid w:val="00B75CF3"/>
    <w:rsid w:val="00B75EB7"/>
    <w:rsid w:val="00B761FC"/>
    <w:rsid w:val="00B765CB"/>
    <w:rsid w:val="00B7757B"/>
    <w:rsid w:val="00B7783F"/>
    <w:rsid w:val="00B8045B"/>
    <w:rsid w:val="00B81081"/>
    <w:rsid w:val="00B826AB"/>
    <w:rsid w:val="00B82F94"/>
    <w:rsid w:val="00B834EF"/>
    <w:rsid w:val="00B83541"/>
    <w:rsid w:val="00B84A90"/>
    <w:rsid w:val="00B84C4E"/>
    <w:rsid w:val="00B84FCC"/>
    <w:rsid w:val="00B852C5"/>
    <w:rsid w:val="00B85A17"/>
    <w:rsid w:val="00B863AB"/>
    <w:rsid w:val="00B86E66"/>
    <w:rsid w:val="00B9066E"/>
    <w:rsid w:val="00B9110E"/>
    <w:rsid w:val="00B92125"/>
    <w:rsid w:val="00B9213E"/>
    <w:rsid w:val="00B92820"/>
    <w:rsid w:val="00B9348E"/>
    <w:rsid w:val="00B934F9"/>
    <w:rsid w:val="00B957B9"/>
    <w:rsid w:val="00B95D2E"/>
    <w:rsid w:val="00B96993"/>
    <w:rsid w:val="00B971F7"/>
    <w:rsid w:val="00B975FF"/>
    <w:rsid w:val="00B97671"/>
    <w:rsid w:val="00B97B95"/>
    <w:rsid w:val="00BA00F7"/>
    <w:rsid w:val="00BA0D02"/>
    <w:rsid w:val="00BA0FA5"/>
    <w:rsid w:val="00BA10D9"/>
    <w:rsid w:val="00BA1BA3"/>
    <w:rsid w:val="00BA1BCD"/>
    <w:rsid w:val="00BA2467"/>
    <w:rsid w:val="00BA2A04"/>
    <w:rsid w:val="00BA33A2"/>
    <w:rsid w:val="00BA3418"/>
    <w:rsid w:val="00BA36EF"/>
    <w:rsid w:val="00BA4B98"/>
    <w:rsid w:val="00BA5D81"/>
    <w:rsid w:val="00BA60E5"/>
    <w:rsid w:val="00BA6E6B"/>
    <w:rsid w:val="00BA7002"/>
    <w:rsid w:val="00BA7E00"/>
    <w:rsid w:val="00BB1AE7"/>
    <w:rsid w:val="00BB34AC"/>
    <w:rsid w:val="00BB35F1"/>
    <w:rsid w:val="00BB36D2"/>
    <w:rsid w:val="00BB38C6"/>
    <w:rsid w:val="00BB4583"/>
    <w:rsid w:val="00BB518F"/>
    <w:rsid w:val="00BB616F"/>
    <w:rsid w:val="00BB65B9"/>
    <w:rsid w:val="00BB6613"/>
    <w:rsid w:val="00BB79A4"/>
    <w:rsid w:val="00BC0CFC"/>
    <w:rsid w:val="00BC0D86"/>
    <w:rsid w:val="00BC1E70"/>
    <w:rsid w:val="00BC3067"/>
    <w:rsid w:val="00BC363D"/>
    <w:rsid w:val="00BC3DE3"/>
    <w:rsid w:val="00BC4203"/>
    <w:rsid w:val="00BC4DD0"/>
    <w:rsid w:val="00BC54D8"/>
    <w:rsid w:val="00BC7BB1"/>
    <w:rsid w:val="00BC7EE3"/>
    <w:rsid w:val="00BC7EE4"/>
    <w:rsid w:val="00BD0D0F"/>
    <w:rsid w:val="00BD1C99"/>
    <w:rsid w:val="00BD1E7B"/>
    <w:rsid w:val="00BD4B21"/>
    <w:rsid w:val="00BD53D5"/>
    <w:rsid w:val="00BD6D84"/>
    <w:rsid w:val="00BD6FF1"/>
    <w:rsid w:val="00BD71F8"/>
    <w:rsid w:val="00BD7A1D"/>
    <w:rsid w:val="00BE0250"/>
    <w:rsid w:val="00BE07F5"/>
    <w:rsid w:val="00BE0CCE"/>
    <w:rsid w:val="00BE1B2B"/>
    <w:rsid w:val="00BE20AD"/>
    <w:rsid w:val="00BE30E2"/>
    <w:rsid w:val="00BE35D1"/>
    <w:rsid w:val="00BE4754"/>
    <w:rsid w:val="00BE529D"/>
    <w:rsid w:val="00BE582E"/>
    <w:rsid w:val="00BE62A9"/>
    <w:rsid w:val="00BE6CAC"/>
    <w:rsid w:val="00BE7108"/>
    <w:rsid w:val="00BF158E"/>
    <w:rsid w:val="00BF3A26"/>
    <w:rsid w:val="00BF3D42"/>
    <w:rsid w:val="00BF49D5"/>
    <w:rsid w:val="00BF7060"/>
    <w:rsid w:val="00C0191B"/>
    <w:rsid w:val="00C023B5"/>
    <w:rsid w:val="00C0276E"/>
    <w:rsid w:val="00C02A2A"/>
    <w:rsid w:val="00C03C7A"/>
    <w:rsid w:val="00C0426E"/>
    <w:rsid w:val="00C045AD"/>
    <w:rsid w:val="00C05DD5"/>
    <w:rsid w:val="00C067EC"/>
    <w:rsid w:val="00C06DC9"/>
    <w:rsid w:val="00C07E8B"/>
    <w:rsid w:val="00C10AC4"/>
    <w:rsid w:val="00C11AA8"/>
    <w:rsid w:val="00C11DC6"/>
    <w:rsid w:val="00C12138"/>
    <w:rsid w:val="00C124E7"/>
    <w:rsid w:val="00C12830"/>
    <w:rsid w:val="00C12CDF"/>
    <w:rsid w:val="00C147AE"/>
    <w:rsid w:val="00C14F69"/>
    <w:rsid w:val="00C15D52"/>
    <w:rsid w:val="00C17499"/>
    <w:rsid w:val="00C175CE"/>
    <w:rsid w:val="00C17825"/>
    <w:rsid w:val="00C17955"/>
    <w:rsid w:val="00C179C5"/>
    <w:rsid w:val="00C17DDD"/>
    <w:rsid w:val="00C218D1"/>
    <w:rsid w:val="00C237F0"/>
    <w:rsid w:val="00C25630"/>
    <w:rsid w:val="00C25A25"/>
    <w:rsid w:val="00C27448"/>
    <w:rsid w:val="00C301F5"/>
    <w:rsid w:val="00C30364"/>
    <w:rsid w:val="00C3056A"/>
    <w:rsid w:val="00C31C8F"/>
    <w:rsid w:val="00C35AFB"/>
    <w:rsid w:val="00C36661"/>
    <w:rsid w:val="00C36A22"/>
    <w:rsid w:val="00C40B9B"/>
    <w:rsid w:val="00C4172B"/>
    <w:rsid w:val="00C4175C"/>
    <w:rsid w:val="00C41D2A"/>
    <w:rsid w:val="00C43081"/>
    <w:rsid w:val="00C4575C"/>
    <w:rsid w:val="00C45D35"/>
    <w:rsid w:val="00C47B5A"/>
    <w:rsid w:val="00C502B9"/>
    <w:rsid w:val="00C515AC"/>
    <w:rsid w:val="00C52D62"/>
    <w:rsid w:val="00C52EA8"/>
    <w:rsid w:val="00C5301D"/>
    <w:rsid w:val="00C53E5E"/>
    <w:rsid w:val="00C541D9"/>
    <w:rsid w:val="00C54735"/>
    <w:rsid w:val="00C5520A"/>
    <w:rsid w:val="00C5556D"/>
    <w:rsid w:val="00C55820"/>
    <w:rsid w:val="00C56426"/>
    <w:rsid w:val="00C56B03"/>
    <w:rsid w:val="00C56C96"/>
    <w:rsid w:val="00C60C7C"/>
    <w:rsid w:val="00C61B44"/>
    <w:rsid w:val="00C6353B"/>
    <w:rsid w:val="00C63B8A"/>
    <w:rsid w:val="00C63DBE"/>
    <w:rsid w:val="00C6405C"/>
    <w:rsid w:val="00C643F6"/>
    <w:rsid w:val="00C64EA0"/>
    <w:rsid w:val="00C657E4"/>
    <w:rsid w:val="00C65BDC"/>
    <w:rsid w:val="00C65C15"/>
    <w:rsid w:val="00C662CC"/>
    <w:rsid w:val="00C67E04"/>
    <w:rsid w:val="00C70268"/>
    <w:rsid w:val="00C7032D"/>
    <w:rsid w:val="00C708FC"/>
    <w:rsid w:val="00C70AE8"/>
    <w:rsid w:val="00C70BDE"/>
    <w:rsid w:val="00C70CB2"/>
    <w:rsid w:val="00C70D07"/>
    <w:rsid w:val="00C722DA"/>
    <w:rsid w:val="00C727EC"/>
    <w:rsid w:val="00C727F8"/>
    <w:rsid w:val="00C738F6"/>
    <w:rsid w:val="00C7546F"/>
    <w:rsid w:val="00C76607"/>
    <w:rsid w:val="00C77634"/>
    <w:rsid w:val="00C776EE"/>
    <w:rsid w:val="00C8157E"/>
    <w:rsid w:val="00C82948"/>
    <w:rsid w:val="00C83718"/>
    <w:rsid w:val="00C845B0"/>
    <w:rsid w:val="00C84EC4"/>
    <w:rsid w:val="00C85211"/>
    <w:rsid w:val="00C85BF4"/>
    <w:rsid w:val="00C8737B"/>
    <w:rsid w:val="00C9081A"/>
    <w:rsid w:val="00C90D06"/>
    <w:rsid w:val="00C90F08"/>
    <w:rsid w:val="00C93EE9"/>
    <w:rsid w:val="00C942EE"/>
    <w:rsid w:val="00C95E82"/>
    <w:rsid w:val="00C967BC"/>
    <w:rsid w:val="00C974C3"/>
    <w:rsid w:val="00C97A42"/>
    <w:rsid w:val="00C97F71"/>
    <w:rsid w:val="00CA1B42"/>
    <w:rsid w:val="00CA1D66"/>
    <w:rsid w:val="00CA2735"/>
    <w:rsid w:val="00CA3BEC"/>
    <w:rsid w:val="00CA45E4"/>
    <w:rsid w:val="00CA5162"/>
    <w:rsid w:val="00CA5801"/>
    <w:rsid w:val="00CA6D19"/>
    <w:rsid w:val="00CB0BE7"/>
    <w:rsid w:val="00CB0BF4"/>
    <w:rsid w:val="00CB0E6D"/>
    <w:rsid w:val="00CB13BC"/>
    <w:rsid w:val="00CB1D22"/>
    <w:rsid w:val="00CB1EB8"/>
    <w:rsid w:val="00CB360F"/>
    <w:rsid w:val="00CB5A02"/>
    <w:rsid w:val="00CB5FB3"/>
    <w:rsid w:val="00CB5FC7"/>
    <w:rsid w:val="00CB6E77"/>
    <w:rsid w:val="00CC03A5"/>
    <w:rsid w:val="00CC1AFE"/>
    <w:rsid w:val="00CC1BB3"/>
    <w:rsid w:val="00CC225C"/>
    <w:rsid w:val="00CC2394"/>
    <w:rsid w:val="00CC27F8"/>
    <w:rsid w:val="00CC3FF9"/>
    <w:rsid w:val="00CC48F5"/>
    <w:rsid w:val="00CC580C"/>
    <w:rsid w:val="00CC6D85"/>
    <w:rsid w:val="00CC723C"/>
    <w:rsid w:val="00CD24A0"/>
    <w:rsid w:val="00CD29E6"/>
    <w:rsid w:val="00CD35FE"/>
    <w:rsid w:val="00CD36A3"/>
    <w:rsid w:val="00CD3821"/>
    <w:rsid w:val="00CD6230"/>
    <w:rsid w:val="00CE0175"/>
    <w:rsid w:val="00CE0309"/>
    <w:rsid w:val="00CE14D0"/>
    <w:rsid w:val="00CE18C9"/>
    <w:rsid w:val="00CE18FE"/>
    <w:rsid w:val="00CE2CA8"/>
    <w:rsid w:val="00CE6EFA"/>
    <w:rsid w:val="00CE7D94"/>
    <w:rsid w:val="00CF3AC1"/>
    <w:rsid w:val="00CF3CC3"/>
    <w:rsid w:val="00CF4249"/>
    <w:rsid w:val="00CF53D6"/>
    <w:rsid w:val="00CF5740"/>
    <w:rsid w:val="00CF5919"/>
    <w:rsid w:val="00CF5E56"/>
    <w:rsid w:val="00CF6359"/>
    <w:rsid w:val="00CF7BEF"/>
    <w:rsid w:val="00D000EA"/>
    <w:rsid w:val="00D0067B"/>
    <w:rsid w:val="00D0109C"/>
    <w:rsid w:val="00D03ADB"/>
    <w:rsid w:val="00D051D4"/>
    <w:rsid w:val="00D078E2"/>
    <w:rsid w:val="00D10207"/>
    <w:rsid w:val="00D10B3E"/>
    <w:rsid w:val="00D11783"/>
    <w:rsid w:val="00D1274C"/>
    <w:rsid w:val="00D12F6C"/>
    <w:rsid w:val="00D134F4"/>
    <w:rsid w:val="00D14F8D"/>
    <w:rsid w:val="00D15DE5"/>
    <w:rsid w:val="00D16502"/>
    <w:rsid w:val="00D16833"/>
    <w:rsid w:val="00D206B2"/>
    <w:rsid w:val="00D21515"/>
    <w:rsid w:val="00D21748"/>
    <w:rsid w:val="00D220FF"/>
    <w:rsid w:val="00D23749"/>
    <w:rsid w:val="00D23B18"/>
    <w:rsid w:val="00D23C8D"/>
    <w:rsid w:val="00D24E93"/>
    <w:rsid w:val="00D25127"/>
    <w:rsid w:val="00D25537"/>
    <w:rsid w:val="00D26816"/>
    <w:rsid w:val="00D27180"/>
    <w:rsid w:val="00D27884"/>
    <w:rsid w:val="00D301F1"/>
    <w:rsid w:val="00D31C88"/>
    <w:rsid w:val="00D3233C"/>
    <w:rsid w:val="00D347C4"/>
    <w:rsid w:val="00D34B88"/>
    <w:rsid w:val="00D35017"/>
    <w:rsid w:val="00D36169"/>
    <w:rsid w:val="00D37CE4"/>
    <w:rsid w:val="00D37FBD"/>
    <w:rsid w:val="00D4002C"/>
    <w:rsid w:val="00D4043F"/>
    <w:rsid w:val="00D4141F"/>
    <w:rsid w:val="00D41820"/>
    <w:rsid w:val="00D41AA1"/>
    <w:rsid w:val="00D44190"/>
    <w:rsid w:val="00D45C0A"/>
    <w:rsid w:val="00D46507"/>
    <w:rsid w:val="00D467E3"/>
    <w:rsid w:val="00D46FCB"/>
    <w:rsid w:val="00D50411"/>
    <w:rsid w:val="00D504FB"/>
    <w:rsid w:val="00D51DE9"/>
    <w:rsid w:val="00D522A2"/>
    <w:rsid w:val="00D54450"/>
    <w:rsid w:val="00D556CC"/>
    <w:rsid w:val="00D55A3E"/>
    <w:rsid w:val="00D55B71"/>
    <w:rsid w:val="00D570FA"/>
    <w:rsid w:val="00D57C7A"/>
    <w:rsid w:val="00D6011A"/>
    <w:rsid w:val="00D60160"/>
    <w:rsid w:val="00D6152C"/>
    <w:rsid w:val="00D620D1"/>
    <w:rsid w:val="00D62381"/>
    <w:rsid w:val="00D62689"/>
    <w:rsid w:val="00D62F34"/>
    <w:rsid w:val="00D62FCA"/>
    <w:rsid w:val="00D65686"/>
    <w:rsid w:val="00D65DE9"/>
    <w:rsid w:val="00D65E10"/>
    <w:rsid w:val="00D66442"/>
    <w:rsid w:val="00D679CD"/>
    <w:rsid w:val="00D67AFE"/>
    <w:rsid w:val="00D70735"/>
    <w:rsid w:val="00D716C6"/>
    <w:rsid w:val="00D721E7"/>
    <w:rsid w:val="00D73A72"/>
    <w:rsid w:val="00D747C1"/>
    <w:rsid w:val="00D751A1"/>
    <w:rsid w:val="00D7610D"/>
    <w:rsid w:val="00D76C33"/>
    <w:rsid w:val="00D770A5"/>
    <w:rsid w:val="00D777E4"/>
    <w:rsid w:val="00D803F9"/>
    <w:rsid w:val="00D80885"/>
    <w:rsid w:val="00D813CA"/>
    <w:rsid w:val="00D81987"/>
    <w:rsid w:val="00D81A69"/>
    <w:rsid w:val="00D81DAC"/>
    <w:rsid w:val="00D82629"/>
    <w:rsid w:val="00D82A91"/>
    <w:rsid w:val="00D830C7"/>
    <w:rsid w:val="00D83AF7"/>
    <w:rsid w:val="00D84869"/>
    <w:rsid w:val="00D84C87"/>
    <w:rsid w:val="00D860CD"/>
    <w:rsid w:val="00D86126"/>
    <w:rsid w:val="00D873E9"/>
    <w:rsid w:val="00D9013C"/>
    <w:rsid w:val="00D912E0"/>
    <w:rsid w:val="00D91C05"/>
    <w:rsid w:val="00D92410"/>
    <w:rsid w:val="00D930D1"/>
    <w:rsid w:val="00D94180"/>
    <w:rsid w:val="00D94448"/>
    <w:rsid w:val="00D959F0"/>
    <w:rsid w:val="00D963F3"/>
    <w:rsid w:val="00D9678A"/>
    <w:rsid w:val="00D97BE7"/>
    <w:rsid w:val="00DA045B"/>
    <w:rsid w:val="00DA0F6C"/>
    <w:rsid w:val="00DA1157"/>
    <w:rsid w:val="00DA115B"/>
    <w:rsid w:val="00DA1E9D"/>
    <w:rsid w:val="00DA39FF"/>
    <w:rsid w:val="00DA424F"/>
    <w:rsid w:val="00DA4373"/>
    <w:rsid w:val="00DA4FB4"/>
    <w:rsid w:val="00DA5DD5"/>
    <w:rsid w:val="00DA618E"/>
    <w:rsid w:val="00DA673A"/>
    <w:rsid w:val="00DA6EB5"/>
    <w:rsid w:val="00DA7398"/>
    <w:rsid w:val="00DB06F5"/>
    <w:rsid w:val="00DB0B48"/>
    <w:rsid w:val="00DB111A"/>
    <w:rsid w:val="00DB227A"/>
    <w:rsid w:val="00DB3720"/>
    <w:rsid w:val="00DB4235"/>
    <w:rsid w:val="00DB4625"/>
    <w:rsid w:val="00DB53B7"/>
    <w:rsid w:val="00DB5567"/>
    <w:rsid w:val="00DB57AE"/>
    <w:rsid w:val="00DB6F5A"/>
    <w:rsid w:val="00DB74E1"/>
    <w:rsid w:val="00DB770C"/>
    <w:rsid w:val="00DC085D"/>
    <w:rsid w:val="00DC0E3A"/>
    <w:rsid w:val="00DC12C9"/>
    <w:rsid w:val="00DC14A0"/>
    <w:rsid w:val="00DC1769"/>
    <w:rsid w:val="00DC1934"/>
    <w:rsid w:val="00DC1BF7"/>
    <w:rsid w:val="00DC1C7C"/>
    <w:rsid w:val="00DC1FFA"/>
    <w:rsid w:val="00DC2ED0"/>
    <w:rsid w:val="00DC35C6"/>
    <w:rsid w:val="00DC45A8"/>
    <w:rsid w:val="00DC4CD8"/>
    <w:rsid w:val="00DC5123"/>
    <w:rsid w:val="00DC6078"/>
    <w:rsid w:val="00DC7E98"/>
    <w:rsid w:val="00DD13A0"/>
    <w:rsid w:val="00DD1784"/>
    <w:rsid w:val="00DD1EF8"/>
    <w:rsid w:val="00DD2A88"/>
    <w:rsid w:val="00DD35D6"/>
    <w:rsid w:val="00DD3670"/>
    <w:rsid w:val="00DD3874"/>
    <w:rsid w:val="00DD3D2E"/>
    <w:rsid w:val="00DD4265"/>
    <w:rsid w:val="00DD4C47"/>
    <w:rsid w:val="00DD5D23"/>
    <w:rsid w:val="00DD6055"/>
    <w:rsid w:val="00DD6F2E"/>
    <w:rsid w:val="00DE0A15"/>
    <w:rsid w:val="00DE1B49"/>
    <w:rsid w:val="00DE1CC1"/>
    <w:rsid w:val="00DE283A"/>
    <w:rsid w:val="00DE2DC7"/>
    <w:rsid w:val="00DE2FF9"/>
    <w:rsid w:val="00DE3F41"/>
    <w:rsid w:val="00DE4FCB"/>
    <w:rsid w:val="00DE52E6"/>
    <w:rsid w:val="00DE5CB4"/>
    <w:rsid w:val="00DE6222"/>
    <w:rsid w:val="00DE6435"/>
    <w:rsid w:val="00DE7018"/>
    <w:rsid w:val="00DF0428"/>
    <w:rsid w:val="00DF0F71"/>
    <w:rsid w:val="00DF127A"/>
    <w:rsid w:val="00DF1696"/>
    <w:rsid w:val="00DF1CBB"/>
    <w:rsid w:val="00DF225D"/>
    <w:rsid w:val="00DF3402"/>
    <w:rsid w:val="00DF428A"/>
    <w:rsid w:val="00DF4369"/>
    <w:rsid w:val="00DF48E4"/>
    <w:rsid w:val="00DF5BF2"/>
    <w:rsid w:val="00DF7B16"/>
    <w:rsid w:val="00E01100"/>
    <w:rsid w:val="00E01A50"/>
    <w:rsid w:val="00E01FB1"/>
    <w:rsid w:val="00E02295"/>
    <w:rsid w:val="00E026C6"/>
    <w:rsid w:val="00E029DA"/>
    <w:rsid w:val="00E02A1D"/>
    <w:rsid w:val="00E02E03"/>
    <w:rsid w:val="00E03436"/>
    <w:rsid w:val="00E03590"/>
    <w:rsid w:val="00E03CFA"/>
    <w:rsid w:val="00E03FD4"/>
    <w:rsid w:val="00E04242"/>
    <w:rsid w:val="00E04B98"/>
    <w:rsid w:val="00E04DA8"/>
    <w:rsid w:val="00E05F6A"/>
    <w:rsid w:val="00E063DE"/>
    <w:rsid w:val="00E06514"/>
    <w:rsid w:val="00E10633"/>
    <w:rsid w:val="00E10A18"/>
    <w:rsid w:val="00E10ED4"/>
    <w:rsid w:val="00E11A21"/>
    <w:rsid w:val="00E11B35"/>
    <w:rsid w:val="00E120C3"/>
    <w:rsid w:val="00E121C7"/>
    <w:rsid w:val="00E12C9E"/>
    <w:rsid w:val="00E12CD1"/>
    <w:rsid w:val="00E13050"/>
    <w:rsid w:val="00E1397C"/>
    <w:rsid w:val="00E139C0"/>
    <w:rsid w:val="00E13AE5"/>
    <w:rsid w:val="00E14E03"/>
    <w:rsid w:val="00E16D0E"/>
    <w:rsid w:val="00E16F20"/>
    <w:rsid w:val="00E17C2A"/>
    <w:rsid w:val="00E17CAD"/>
    <w:rsid w:val="00E20C9F"/>
    <w:rsid w:val="00E21B4F"/>
    <w:rsid w:val="00E22294"/>
    <w:rsid w:val="00E23583"/>
    <w:rsid w:val="00E2372C"/>
    <w:rsid w:val="00E2380E"/>
    <w:rsid w:val="00E23CCC"/>
    <w:rsid w:val="00E23D83"/>
    <w:rsid w:val="00E24801"/>
    <w:rsid w:val="00E249FE"/>
    <w:rsid w:val="00E25913"/>
    <w:rsid w:val="00E2599B"/>
    <w:rsid w:val="00E266A3"/>
    <w:rsid w:val="00E27344"/>
    <w:rsid w:val="00E302BC"/>
    <w:rsid w:val="00E30384"/>
    <w:rsid w:val="00E30B8B"/>
    <w:rsid w:val="00E30CC4"/>
    <w:rsid w:val="00E3173F"/>
    <w:rsid w:val="00E31BF9"/>
    <w:rsid w:val="00E31D7E"/>
    <w:rsid w:val="00E32226"/>
    <w:rsid w:val="00E3316F"/>
    <w:rsid w:val="00E34E9C"/>
    <w:rsid w:val="00E3581F"/>
    <w:rsid w:val="00E359F9"/>
    <w:rsid w:val="00E373B3"/>
    <w:rsid w:val="00E37529"/>
    <w:rsid w:val="00E40DB3"/>
    <w:rsid w:val="00E41674"/>
    <w:rsid w:val="00E422E1"/>
    <w:rsid w:val="00E4324B"/>
    <w:rsid w:val="00E43789"/>
    <w:rsid w:val="00E447D8"/>
    <w:rsid w:val="00E44A12"/>
    <w:rsid w:val="00E468A3"/>
    <w:rsid w:val="00E46A1F"/>
    <w:rsid w:val="00E47803"/>
    <w:rsid w:val="00E50BDF"/>
    <w:rsid w:val="00E50F04"/>
    <w:rsid w:val="00E53D76"/>
    <w:rsid w:val="00E54900"/>
    <w:rsid w:val="00E5521C"/>
    <w:rsid w:val="00E555A4"/>
    <w:rsid w:val="00E56448"/>
    <w:rsid w:val="00E57085"/>
    <w:rsid w:val="00E577EE"/>
    <w:rsid w:val="00E60092"/>
    <w:rsid w:val="00E60416"/>
    <w:rsid w:val="00E606F5"/>
    <w:rsid w:val="00E60E18"/>
    <w:rsid w:val="00E61D38"/>
    <w:rsid w:val="00E62B9B"/>
    <w:rsid w:val="00E62EFF"/>
    <w:rsid w:val="00E642D6"/>
    <w:rsid w:val="00E64637"/>
    <w:rsid w:val="00E651E3"/>
    <w:rsid w:val="00E65796"/>
    <w:rsid w:val="00E659EB"/>
    <w:rsid w:val="00E65AD1"/>
    <w:rsid w:val="00E66223"/>
    <w:rsid w:val="00E7016D"/>
    <w:rsid w:val="00E7081D"/>
    <w:rsid w:val="00E708CB"/>
    <w:rsid w:val="00E70A33"/>
    <w:rsid w:val="00E738A1"/>
    <w:rsid w:val="00E73F33"/>
    <w:rsid w:val="00E741FF"/>
    <w:rsid w:val="00E74441"/>
    <w:rsid w:val="00E76203"/>
    <w:rsid w:val="00E77786"/>
    <w:rsid w:val="00E77BB0"/>
    <w:rsid w:val="00E80599"/>
    <w:rsid w:val="00E80733"/>
    <w:rsid w:val="00E810CC"/>
    <w:rsid w:val="00E814A9"/>
    <w:rsid w:val="00E83DFF"/>
    <w:rsid w:val="00E8410F"/>
    <w:rsid w:val="00E84699"/>
    <w:rsid w:val="00E848D2"/>
    <w:rsid w:val="00E86372"/>
    <w:rsid w:val="00E86DDE"/>
    <w:rsid w:val="00E870D4"/>
    <w:rsid w:val="00E9025E"/>
    <w:rsid w:val="00E9044A"/>
    <w:rsid w:val="00E90E7B"/>
    <w:rsid w:val="00E92C72"/>
    <w:rsid w:val="00E92DB3"/>
    <w:rsid w:val="00E939EC"/>
    <w:rsid w:val="00E93D44"/>
    <w:rsid w:val="00E94856"/>
    <w:rsid w:val="00E94978"/>
    <w:rsid w:val="00E949F6"/>
    <w:rsid w:val="00E94F83"/>
    <w:rsid w:val="00E951BF"/>
    <w:rsid w:val="00E95995"/>
    <w:rsid w:val="00E95C99"/>
    <w:rsid w:val="00E9669E"/>
    <w:rsid w:val="00E96B02"/>
    <w:rsid w:val="00E96E22"/>
    <w:rsid w:val="00E97D9E"/>
    <w:rsid w:val="00EA0330"/>
    <w:rsid w:val="00EA0B2D"/>
    <w:rsid w:val="00EA0BC8"/>
    <w:rsid w:val="00EA142E"/>
    <w:rsid w:val="00EA18DA"/>
    <w:rsid w:val="00EA262B"/>
    <w:rsid w:val="00EA380E"/>
    <w:rsid w:val="00EA4371"/>
    <w:rsid w:val="00EA47C7"/>
    <w:rsid w:val="00EA4ACC"/>
    <w:rsid w:val="00EA5312"/>
    <w:rsid w:val="00EA5BDF"/>
    <w:rsid w:val="00EA608C"/>
    <w:rsid w:val="00EA7756"/>
    <w:rsid w:val="00EB09D0"/>
    <w:rsid w:val="00EB1223"/>
    <w:rsid w:val="00EB26A0"/>
    <w:rsid w:val="00EB33E4"/>
    <w:rsid w:val="00EB3645"/>
    <w:rsid w:val="00EB3943"/>
    <w:rsid w:val="00EB3DA4"/>
    <w:rsid w:val="00EB591D"/>
    <w:rsid w:val="00EB6F7C"/>
    <w:rsid w:val="00EB7D19"/>
    <w:rsid w:val="00EB7F5D"/>
    <w:rsid w:val="00EC0FFB"/>
    <w:rsid w:val="00EC2089"/>
    <w:rsid w:val="00EC287D"/>
    <w:rsid w:val="00EC6146"/>
    <w:rsid w:val="00EC6646"/>
    <w:rsid w:val="00EC667A"/>
    <w:rsid w:val="00EC6E5E"/>
    <w:rsid w:val="00EC6E87"/>
    <w:rsid w:val="00EC7468"/>
    <w:rsid w:val="00EC78DD"/>
    <w:rsid w:val="00ED0176"/>
    <w:rsid w:val="00ED0F80"/>
    <w:rsid w:val="00ED0FDA"/>
    <w:rsid w:val="00ED1EE1"/>
    <w:rsid w:val="00ED22F6"/>
    <w:rsid w:val="00ED2366"/>
    <w:rsid w:val="00ED358E"/>
    <w:rsid w:val="00ED38E0"/>
    <w:rsid w:val="00ED3953"/>
    <w:rsid w:val="00ED3993"/>
    <w:rsid w:val="00ED545D"/>
    <w:rsid w:val="00ED54B0"/>
    <w:rsid w:val="00ED5802"/>
    <w:rsid w:val="00ED6AC5"/>
    <w:rsid w:val="00ED77E8"/>
    <w:rsid w:val="00EE19F2"/>
    <w:rsid w:val="00EE237D"/>
    <w:rsid w:val="00EE2C5A"/>
    <w:rsid w:val="00EE6BF6"/>
    <w:rsid w:val="00EE6FFA"/>
    <w:rsid w:val="00EE729B"/>
    <w:rsid w:val="00EE74B2"/>
    <w:rsid w:val="00EE74EE"/>
    <w:rsid w:val="00EE7F56"/>
    <w:rsid w:val="00EF003E"/>
    <w:rsid w:val="00EF0B44"/>
    <w:rsid w:val="00EF1DCD"/>
    <w:rsid w:val="00EF1F87"/>
    <w:rsid w:val="00EF240F"/>
    <w:rsid w:val="00EF3789"/>
    <w:rsid w:val="00EF41DE"/>
    <w:rsid w:val="00EF483C"/>
    <w:rsid w:val="00EF5004"/>
    <w:rsid w:val="00EF6B8A"/>
    <w:rsid w:val="00EF7521"/>
    <w:rsid w:val="00EF7DD3"/>
    <w:rsid w:val="00F00047"/>
    <w:rsid w:val="00F00789"/>
    <w:rsid w:val="00F009E7"/>
    <w:rsid w:val="00F012FD"/>
    <w:rsid w:val="00F0203E"/>
    <w:rsid w:val="00F024F7"/>
    <w:rsid w:val="00F0330A"/>
    <w:rsid w:val="00F060ED"/>
    <w:rsid w:val="00F06309"/>
    <w:rsid w:val="00F06CAE"/>
    <w:rsid w:val="00F06CB4"/>
    <w:rsid w:val="00F07F24"/>
    <w:rsid w:val="00F10AB1"/>
    <w:rsid w:val="00F111CE"/>
    <w:rsid w:val="00F118D3"/>
    <w:rsid w:val="00F1192A"/>
    <w:rsid w:val="00F1204D"/>
    <w:rsid w:val="00F12EEA"/>
    <w:rsid w:val="00F14476"/>
    <w:rsid w:val="00F149E4"/>
    <w:rsid w:val="00F15864"/>
    <w:rsid w:val="00F1605F"/>
    <w:rsid w:val="00F171D6"/>
    <w:rsid w:val="00F17937"/>
    <w:rsid w:val="00F17BAD"/>
    <w:rsid w:val="00F17FDD"/>
    <w:rsid w:val="00F20A9C"/>
    <w:rsid w:val="00F21DAD"/>
    <w:rsid w:val="00F221B5"/>
    <w:rsid w:val="00F239DE"/>
    <w:rsid w:val="00F247ED"/>
    <w:rsid w:val="00F248A3"/>
    <w:rsid w:val="00F252A3"/>
    <w:rsid w:val="00F2564E"/>
    <w:rsid w:val="00F25B52"/>
    <w:rsid w:val="00F25C5B"/>
    <w:rsid w:val="00F260EC"/>
    <w:rsid w:val="00F278A6"/>
    <w:rsid w:val="00F278CB"/>
    <w:rsid w:val="00F30704"/>
    <w:rsid w:val="00F31056"/>
    <w:rsid w:val="00F31886"/>
    <w:rsid w:val="00F31C06"/>
    <w:rsid w:val="00F35609"/>
    <w:rsid w:val="00F35EBC"/>
    <w:rsid w:val="00F36FBE"/>
    <w:rsid w:val="00F40FA9"/>
    <w:rsid w:val="00F4105E"/>
    <w:rsid w:val="00F428F4"/>
    <w:rsid w:val="00F42DD2"/>
    <w:rsid w:val="00F42E7C"/>
    <w:rsid w:val="00F44CC0"/>
    <w:rsid w:val="00F45651"/>
    <w:rsid w:val="00F47D23"/>
    <w:rsid w:val="00F502B8"/>
    <w:rsid w:val="00F508A1"/>
    <w:rsid w:val="00F50D42"/>
    <w:rsid w:val="00F51227"/>
    <w:rsid w:val="00F51BAB"/>
    <w:rsid w:val="00F51D5E"/>
    <w:rsid w:val="00F52A06"/>
    <w:rsid w:val="00F52B38"/>
    <w:rsid w:val="00F531B7"/>
    <w:rsid w:val="00F55A6A"/>
    <w:rsid w:val="00F55AF3"/>
    <w:rsid w:val="00F56223"/>
    <w:rsid w:val="00F56886"/>
    <w:rsid w:val="00F60D74"/>
    <w:rsid w:val="00F62B98"/>
    <w:rsid w:val="00F650C5"/>
    <w:rsid w:val="00F6572C"/>
    <w:rsid w:val="00F6599E"/>
    <w:rsid w:val="00F65B55"/>
    <w:rsid w:val="00F7019C"/>
    <w:rsid w:val="00F704FB"/>
    <w:rsid w:val="00F711F6"/>
    <w:rsid w:val="00F7161C"/>
    <w:rsid w:val="00F7184D"/>
    <w:rsid w:val="00F71C23"/>
    <w:rsid w:val="00F720DE"/>
    <w:rsid w:val="00F72C55"/>
    <w:rsid w:val="00F72D70"/>
    <w:rsid w:val="00F72E51"/>
    <w:rsid w:val="00F73C3C"/>
    <w:rsid w:val="00F740B2"/>
    <w:rsid w:val="00F74EC5"/>
    <w:rsid w:val="00F75029"/>
    <w:rsid w:val="00F75284"/>
    <w:rsid w:val="00F76DA8"/>
    <w:rsid w:val="00F77C36"/>
    <w:rsid w:val="00F811CD"/>
    <w:rsid w:val="00F815AC"/>
    <w:rsid w:val="00F81C9A"/>
    <w:rsid w:val="00F82B3B"/>
    <w:rsid w:val="00F83225"/>
    <w:rsid w:val="00F83B6D"/>
    <w:rsid w:val="00F84938"/>
    <w:rsid w:val="00F84F2D"/>
    <w:rsid w:val="00F85A89"/>
    <w:rsid w:val="00F86608"/>
    <w:rsid w:val="00F90A41"/>
    <w:rsid w:val="00F91FAA"/>
    <w:rsid w:val="00F9288E"/>
    <w:rsid w:val="00F93110"/>
    <w:rsid w:val="00F932EF"/>
    <w:rsid w:val="00F93423"/>
    <w:rsid w:val="00F94D60"/>
    <w:rsid w:val="00F95172"/>
    <w:rsid w:val="00F95467"/>
    <w:rsid w:val="00F95BDE"/>
    <w:rsid w:val="00F96162"/>
    <w:rsid w:val="00F965DD"/>
    <w:rsid w:val="00F968E1"/>
    <w:rsid w:val="00FA0760"/>
    <w:rsid w:val="00FA1338"/>
    <w:rsid w:val="00FA1E9A"/>
    <w:rsid w:val="00FA2043"/>
    <w:rsid w:val="00FA22C0"/>
    <w:rsid w:val="00FA2479"/>
    <w:rsid w:val="00FA26FD"/>
    <w:rsid w:val="00FA2C5C"/>
    <w:rsid w:val="00FA2EAA"/>
    <w:rsid w:val="00FA4A80"/>
    <w:rsid w:val="00FA5148"/>
    <w:rsid w:val="00FA578F"/>
    <w:rsid w:val="00FA5ED3"/>
    <w:rsid w:val="00FA5F71"/>
    <w:rsid w:val="00FA65F9"/>
    <w:rsid w:val="00FA761F"/>
    <w:rsid w:val="00FA7B41"/>
    <w:rsid w:val="00FB0E93"/>
    <w:rsid w:val="00FB14C6"/>
    <w:rsid w:val="00FB2666"/>
    <w:rsid w:val="00FB3375"/>
    <w:rsid w:val="00FB3563"/>
    <w:rsid w:val="00FB39B2"/>
    <w:rsid w:val="00FB3E12"/>
    <w:rsid w:val="00FB448C"/>
    <w:rsid w:val="00FB4993"/>
    <w:rsid w:val="00FB4DBF"/>
    <w:rsid w:val="00FC01CD"/>
    <w:rsid w:val="00FC1960"/>
    <w:rsid w:val="00FC1DF8"/>
    <w:rsid w:val="00FC1E70"/>
    <w:rsid w:val="00FC2345"/>
    <w:rsid w:val="00FC4EAA"/>
    <w:rsid w:val="00FD1807"/>
    <w:rsid w:val="00FD1922"/>
    <w:rsid w:val="00FD1957"/>
    <w:rsid w:val="00FD1A79"/>
    <w:rsid w:val="00FD2874"/>
    <w:rsid w:val="00FD334F"/>
    <w:rsid w:val="00FD4845"/>
    <w:rsid w:val="00FD5249"/>
    <w:rsid w:val="00FD5A29"/>
    <w:rsid w:val="00FD5C7E"/>
    <w:rsid w:val="00FD61E3"/>
    <w:rsid w:val="00FD6272"/>
    <w:rsid w:val="00FD6D81"/>
    <w:rsid w:val="00FD7811"/>
    <w:rsid w:val="00FE00F9"/>
    <w:rsid w:val="00FE1326"/>
    <w:rsid w:val="00FE1422"/>
    <w:rsid w:val="00FE2CA6"/>
    <w:rsid w:val="00FE2D4C"/>
    <w:rsid w:val="00FE31D4"/>
    <w:rsid w:val="00FE348E"/>
    <w:rsid w:val="00FE60ED"/>
    <w:rsid w:val="00FE6B79"/>
    <w:rsid w:val="00FF0396"/>
    <w:rsid w:val="00FF0B81"/>
    <w:rsid w:val="00FF0D3C"/>
    <w:rsid w:val="00FF27B2"/>
    <w:rsid w:val="00FF3C0C"/>
    <w:rsid w:val="00FF4BB3"/>
    <w:rsid w:val="00FF5793"/>
    <w:rsid w:val="00FF5991"/>
    <w:rsid w:val="00FF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C578A3E"/>
  <w15:chartTrackingRefBased/>
  <w15:docId w15:val="{ED367A64-38BB-4F6B-A097-44266171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toc 1" w:uiPriority="39"/>
    <w:lsdException w:name="toc 2" w:uiPriority="39"/>
    <w:lsdException w:name="toc 3"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83"/>
    <w:pPr>
      <w:spacing w:after="200"/>
      <w:jc w:val="both"/>
    </w:pPr>
    <w:rPr>
      <w:snapToGrid w:val="0"/>
      <w:sz w:val="22"/>
      <w:lang w:val="fr-FR" w:eastAsia="en-US"/>
    </w:rPr>
  </w:style>
  <w:style w:type="paragraph" w:styleId="Heading1">
    <w:name w:val="heading 1"/>
    <w:basedOn w:val="Normal"/>
    <w:next w:val="Normal"/>
    <w:pPr>
      <w:keepNext/>
      <w:spacing w:before="240" w:after="60"/>
      <w:outlineLvl w:val="0"/>
    </w:pPr>
    <w:rPr>
      <w:rFonts w:ascii="Arial" w:hAnsi="Arial"/>
      <w:b/>
      <w:kern w:val="28"/>
      <w:sz w:val="28"/>
    </w:rPr>
  </w:style>
  <w:style w:type="paragraph" w:styleId="Heading2">
    <w:name w:val="heading 2"/>
    <w:basedOn w:val="Normal"/>
    <w:next w:val="Normal"/>
    <w:pPr>
      <w:keepNext/>
      <w:keepLines/>
      <w:numPr>
        <w:ilvl w:val="1"/>
        <w:numId w:val="8"/>
      </w:numPr>
      <w:tabs>
        <w:tab w:val="num" w:pos="283"/>
      </w:tabs>
      <w:spacing w:after="120"/>
      <w:ind w:left="283" w:hanging="283"/>
      <w:outlineLvl w:val="1"/>
    </w:pPr>
    <w:rPr>
      <w:b/>
    </w:rPr>
  </w:style>
  <w:style w:type="paragraph" w:styleId="Heading3">
    <w:name w:val="heading 3"/>
    <w:basedOn w:val="Normal"/>
    <w:next w:val="Normal"/>
    <w:pPr>
      <w:keepNext/>
      <w:numPr>
        <w:ilvl w:val="2"/>
        <w:numId w:val="8"/>
      </w:numPr>
      <w:tabs>
        <w:tab w:val="num" w:pos="283"/>
      </w:tabs>
      <w:spacing w:before="240" w:after="60"/>
      <w:ind w:left="283" w:hanging="283"/>
      <w:outlineLvl w:val="2"/>
    </w:pPr>
    <w:rPr>
      <w:b/>
    </w:rPr>
  </w:style>
  <w:style w:type="paragraph" w:styleId="Heading4">
    <w:name w:val="heading 4"/>
    <w:basedOn w:val="Normal"/>
    <w:next w:val="Text4"/>
    <w:link w:val="Heading4Char"/>
    <w:pPr>
      <w:keepNext/>
      <w:spacing w:after="240"/>
      <w:ind w:left="1984" w:hanging="782"/>
      <w:outlineLvl w:val="3"/>
    </w:pPr>
  </w:style>
  <w:style w:type="paragraph" w:styleId="Heading5">
    <w:name w:val="heading 5"/>
    <w:basedOn w:val="Normal"/>
    <w:next w:val="Normal"/>
    <w:pPr>
      <w:numPr>
        <w:ilvl w:val="1"/>
        <w:numId w:val="7"/>
      </w:numPr>
      <w:tabs>
        <w:tab w:val="num" w:pos="0"/>
      </w:tabs>
      <w:spacing w:before="240" w:after="60"/>
      <w:outlineLvl w:val="4"/>
    </w:pPr>
    <w:rPr>
      <w:rFonts w:ascii="Arial" w:hAnsi="Arial"/>
    </w:rPr>
  </w:style>
  <w:style w:type="paragraph" w:styleId="Heading6">
    <w:name w:val="heading 6"/>
    <w:basedOn w:val="Normal"/>
    <w:next w:val="Normal"/>
    <w:pPr>
      <w:numPr>
        <w:ilvl w:val="2"/>
        <w:numId w:val="7"/>
      </w:numPr>
      <w:tabs>
        <w:tab w:val="num" w:pos="0"/>
      </w:tabs>
      <w:spacing w:before="240" w:after="60"/>
      <w:outlineLvl w:val="5"/>
    </w:pPr>
    <w:rPr>
      <w:rFonts w:ascii="Arial" w:hAnsi="Arial"/>
      <w:i/>
    </w:rPr>
  </w:style>
  <w:style w:type="paragraph" w:styleId="Heading7">
    <w:name w:val="heading 7"/>
    <w:basedOn w:val="Normal"/>
    <w:next w:val="Normal"/>
    <w:pPr>
      <w:numPr>
        <w:ilvl w:val="6"/>
        <w:numId w:val="7"/>
      </w:numPr>
      <w:tabs>
        <w:tab w:val="num" w:pos="0"/>
      </w:tabs>
      <w:spacing w:before="240" w:after="60"/>
      <w:outlineLvl w:val="6"/>
    </w:pPr>
    <w:rPr>
      <w:rFonts w:ascii="Arial" w:hAnsi="Arial"/>
      <w:sz w:val="20"/>
    </w:rPr>
  </w:style>
  <w:style w:type="paragraph" w:styleId="Heading8">
    <w:name w:val="heading 8"/>
    <w:basedOn w:val="Normal"/>
    <w:next w:val="Normal"/>
    <w:pPr>
      <w:numPr>
        <w:ilvl w:val="7"/>
        <w:numId w:val="7"/>
      </w:numPr>
      <w:tabs>
        <w:tab w:val="num" w:pos="0"/>
      </w:tabs>
      <w:spacing w:before="240" w:after="60"/>
      <w:outlineLvl w:val="7"/>
    </w:pPr>
    <w:rPr>
      <w:rFonts w:ascii="Arial" w:hAnsi="Arial"/>
      <w:i/>
      <w:sz w:val="20"/>
    </w:rPr>
  </w:style>
  <w:style w:type="paragraph" w:styleId="Heading9">
    <w:name w:val="heading 9"/>
    <w:basedOn w:val="Normal"/>
    <w:next w:val="Normal"/>
    <w:pPr>
      <w:numPr>
        <w:ilvl w:val="8"/>
        <w:numId w:val="7"/>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pPr>
      <w:pageBreakBefore/>
      <w:widowControl w:val="0"/>
      <w:numPr>
        <w:numId w:val="3"/>
      </w:numPr>
      <w:spacing w:before="0" w:after="480"/>
    </w:pPr>
    <w:rPr>
      <w:caps/>
    </w:rPr>
  </w:style>
  <w:style w:type="paragraph" w:customStyle="1" w:styleId="Application2">
    <w:name w:val="Application2"/>
    <w:basedOn w:val="Normal"/>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NumPar4">
    <w:name w:val="NumPar 4"/>
    <w:basedOn w:val="Heading4"/>
    <w:next w:val="Text4"/>
    <w:pPr>
      <w:keepNext w:val="0"/>
    </w:pPr>
  </w:style>
  <w:style w:type="paragraph" w:styleId="Title">
    <w:name w:val="Title"/>
    <w:basedOn w:val="Normal"/>
    <w:next w:val="SubTitle1"/>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Normal"/>
    <w:pPr>
      <w:keepNext/>
      <w:pageBreakBefore/>
      <w:spacing w:after="480"/>
      <w:jc w:val="center"/>
    </w:pPr>
    <w:rPr>
      <w:b/>
      <w:sz w:val="36"/>
    </w:rPr>
  </w:style>
  <w:style w:type="paragraph" w:customStyle="1" w:styleId="SectionTitle">
    <w:name w:val="SectionTitle"/>
    <w:basedOn w:val="Normal"/>
    <w:next w:val="Heading1"/>
    <w:pPr>
      <w:keepNext/>
      <w:spacing w:after="480"/>
      <w:jc w:val="center"/>
    </w:pPr>
    <w:rPr>
      <w:b/>
      <w:smallCaps/>
      <w:sz w:val="28"/>
    </w:rPr>
  </w:style>
  <w:style w:type="paragraph" w:styleId="TOC1">
    <w:name w:val="toc 1"/>
    <w:basedOn w:val="Normal"/>
    <w:next w:val="Normal"/>
    <w:autoRedefine/>
    <w:uiPriority w:val="39"/>
    <w:rsid w:val="00EF1DCD"/>
    <w:pPr>
      <w:tabs>
        <w:tab w:val="left" w:pos="284"/>
        <w:tab w:val="right" w:pos="9628"/>
      </w:tabs>
      <w:spacing w:after="240"/>
      <w:ind w:left="284" w:hanging="284"/>
    </w:pPr>
    <w:rPr>
      <w:rFonts w:ascii="Times New Roman Bold" w:hAnsi="Times New Roman Bold"/>
      <w:b/>
      <w:caps/>
    </w:rPr>
  </w:style>
  <w:style w:type="paragraph" w:styleId="TOC2">
    <w:name w:val="toc 2"/>
    <w:basedOn w:val="Normal"/>
    <w:next w:val="Normal"/>
    <w:autoRedefine/>
    <w:uiPriority w:val="39"/>
    <w:rsid w:val="00EF1DCD"/>
    <w:pPr>
      <w:tabs>
        <w:tab w:val="left" w:pos="709"/>
        <w:tab w:val="right" w:leader="dot" w:pos="9628"/>
      </w:tabs>
      <w:spacing w:after="80"/>
      <w:ind w:left="709" w:hanging="425"/>
    </w:pPr>
  </w:style>
  <w:style w:type="paragraph" w:styleId="TOC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pPr>
      <w:ind w:left="480"/>
    </w:pPr>
    <w:rPr>
      <w:sz w:val="20"/>
    </w:rPr>
  </w:style>
  <w:style w:type="paragraph" w:customStyle="1" w:styleId="AnnexTOC">
    <w:name w:val="AnnexTOC"/>
    <w:basedOn w:val="TOC1"/>
  </w:style>
  <w:style w:type="paragraph" w:customStyle="1" w:styleId="Guidelines1">
    <w:name w:val="Guidelines 1"/>
    <w:basedOn w:val="Normal"/>
    <w:autoRedefine/>
    <w:qFormat/>
    <w:rsid w:val="00643567"/>
    <w:pPr>
      <w:widowControl w:val="0"/>
      <w:numPr>
        <w:numId w:val="15"/>
      </w:numPr>
      <w:spacing w:after="360"/>
    </w:pPr>
    <w:rPr>
      <w:rFonts w:ascii="Times New Roman Bold" w:hAnsi="Times New Roman Bold"/>
      <w:b/>
      <w:i/>
      <w:lang w:val="fr-BE"/>
    </w:rPr>
  </w:style>
  <w:style w:type="paragraph" w:customStyle="1" w:styleId="Guidelines2">
    <w:name w:val="Guidelines 2"/>
    <w:basedOn w:val="Normal"/>
    <w:next w:val="Normal"/>
    <w:autoRedefine/>
    <w:qFormat/>
    <w:rsid w:val="004741A1"/>
    <w:pPr>
      <w:numPr>
        <w:ilvl w:val="1"/>
        <w:numId w:val="15"/>
      </w:numPr>
      <w:spacing w:before="240" w:after="120"/>
      <w:outlineLvl w:val="0"/>
    </w:pPr>
    <w:rPr>
      <w:rFonts w:ascii="Times New Roman Bold" w:hAnsi="Times New Roman Bold"/>
      <w:b/>
      <w:smallCaps/>
      <w:sz w:val="24"/>
    </w:rPr>
  </w:style>
  <w:style w:type="paragraph" w:customStyle="1" w:styleId="Text1">
    <w:name w:val="Text 1"/>
    <w:basedOn w:val="Normal"/>
    <w:pPr>
      <w:spacing w:after="240"/>
      <w:ind w:left="482"/>
    </w:pPr>
  </w:style>
  <w:style w:type="paragraph" w:customStyle="1" w:styleId="Guidelines3">
    <w:name w:val="Guidelines 3"/>
    <w:basedOn w:val="Normal"/>
    <w:next w:val="Normal"/>
    <w:autoRedefine/>
    <w:qFormat/>
    <w:rsid w:val="00904791"/>
    <w:pPr>
      <w:keepNext/>
      <w:numPr>
        <w:ilvl w:val="2"/>
        <w:numId w:val="15"/>
      </w:numPr>
      <w:pBdr>
        <w:top w:val="single" w:sz="4" w:space="1" w:color="auto"/>
        <w:left w:val="single" w:sz="4" w:space="4" w:color="auto"/>
        <w:bottom w:val="single" w:sz="4" w:space="1" w:color="auto"/>
        <w:right w:val="single" w:sz="4" w:space="4" w:color="auto"/>
      </w:pBdr>
      <w:tabs>
        <w:tab w:val="left" w:pos="900"/>
      </w:tabs>
      <w:spacing w:before="120" w:after="0"/>
      <w:ind w:left="0" w:firstLine="0"/>
      <w:jc w:val="left"/>
    </w:pPr>
    <w:rPr>
      <w:b/>
      <w:i/>
      <w:sz w:val="24"/>
    </w:rPr>
  </w:style>
  <w:style w:type="paragraph" w:customStyle="1" w:styleId="Text2">
    <w:name w:val="Text 2"/>
    <w:basedOn w:val="Normal"/>
    <w:pPr>
      <w:tabs>
        <w:tab w:val="left" w:pos="2161"/>
      </w:tabs>
      <w:spacing w:after="240"/>
      <w:ind w:left="1202"/>
    </w:pPr>
  </w:style>
  <w:style w:type="paragraph" w:customStyle="1" w:styleId="p3">
    <w:name w:val="p3"/>
    <w:basedOn w:val="Normal"/>
    <w:pPr>
      <w:widowControl w:val="0"/>
      <w:tabs>
        <w:tab w:val="left" w:pos="1420"/>
      </w:tabs>
      <w:spacing w:line="260" w:lineRule="atLeast"/>
      <w:ind w:left="360"/>
    </w:pPr>
  </w:style>
  <w:style w:type="paragraph" w:customStyle="1" w:styleId="Guidelines4">
    <w:name w:val="Guidelines 4"/>
    <w:basedOn w:val="Normal"/>
    <w:next w:val="Normal"/>
    <w:autoRedefine/>
    <w:rsid w:val="00820FEE"/>
    <w:pPr>
      <w:spacing w:before="240" w:after="240"/>
      <w:jc w:val="center"/>
    </w:pPr>
    <w:rPr>
      <w:b/>
      <w:sz w:val="24"/>
    </w:rPr>
  </w:style>
  <w:style w:type="character" w:styleId="Hyperlink">
    <w:name w:val="Hyperlink"/>
    <w:uiPriority w:val="99"/>
    <w:rPr>
      <w:color w:val="0000FF"/>
      <w:u w:val="single"/>
    </w:rPr>
  </w:style>
  <w:style w:type="paragraph" w:customStyle="1" w:styleId="References">
    <w:name w:val="References"/>
    <w:basedOn w:val="Normal"/>
    <w:next w:val="Normal"/>
    <w:pPr>
      <w:spacing w:after="240"/>
      <w:ind w:left="5103"/>
    </w:pPr>
    <w:rPr>
      <w:sz w:val="20"/>
    </w:rPr>
  </w:style>
  <w:style w:type="paragraph" w:styleId="FootnoteText">
    <w:name w:val="footnote text"/>
    <w:aliases w:val="Footnote Text Char Char,Char Char Char1,Char Char Char Char,Char Char Char,Char Char Char Char Char Char Char Char Char Char,Char Char Char Char Char Char Char Char,Char Char Char Char Char Char,Char,single space,Footn"/>
    <w:basedOn w:val="Normal"/>
    <w:link w:val="FootnoteTextChar"/>
    <w:autoRedefine/>
    <w:uiPriority w:val="99"/>
    <w:qFormat/>
    <w:rsid w:val="00D11783"/>
    <w:pPr>
      <w:spacing w:after="60"/>
    </w:pPr>
    <w:rPr>
      <w:sz w:val="20"/>
    </w:rPr>
  </w:style>
  <w:style w:type="character" w:customStyle="1" w:styleId="FootnoteTextChar">
    <w:name w:val="Footnote Text Char"/>
    <w:aliases w:val="Footnote Text Char Char Char,Char Char Char1 Char,Char Char Char Char Char,Char Char Char Char1,Char Char Char Char Char Char Char Char Char Char Char,Char Char Char Char Char Char Char Char Char,Char Char Char Char Char Char Char"/>
    <w:link w:val="FootnoteText"/>
    <w:uiPriority w:val="99"/>
    <w:rsid w:val="00D11783"/>
    <w:rPr>
      <w:snapToGrid w:val="0"/>
      <w:lang w:eastAsia="en-US"/>
    </w:rPr>
  </w:style>
  <w:style w:type="paragraph" w:styleId="Header">
    <w:name w:val="header"/>
    <w:basedOn w:val="Normal"/>
    <w:pPr>
      <w:tabs>
        <w:tab w:val="center" w:pos="4153"/>
        <w:tab w:val="right" w:pos="8306"/>
      </w:tabs>
      <w:spacing w:after="240"/>
    </w:pPr>
  </w:style>
  <w:style w:type="character" w:styleId="PageNumber">
    <w:name w:val="page number"/>
    <w:basedOn w:val="DefaultParagraphFont"/>
  </w:style>
  <w:style w:type="paragraph" w:styleId="Footer">
    <w:name w:val="footer"/>
    <w:basedOn w:val="Normal"/>
    <w:pPr>
      <w:ind w:right="-567"/>
    </w:pPr>
    <w:rPr>
      <w:rFonts w:ascii="Arial" w:hAnsi="Arial"/>
      <w:sz w:val="16"/>
    </w:rPr>
  </w:style>
  <w:style w:type="paragraph" w:customStyle="1" w:styleId="Style0">
    <w:name w:val="Style0"/>
    <w:rPr>
      <w:rFonts w:ascii="Arial" w:hAnsi="Arial"/>
      <w:snapToGrid w:val="0"/>
      <w:sz w:val="24"/>
      <w:lang w:val="fr-FR" w:eastAsia="en-US"/>
    </w:rPr>
  </w:style>
  <w:style w:type="paragraph" w:customStyle="1" w:styleId="Text3">
    <w:name w:val="Text 3"/>
    <w:basedOn w:val="Normal"/>
    <w:pPr>
      <w:tabs>
        <w:tab w:val="left" w:pos="2302"/>
      </w:tabs>
      <w:spacing w:after="240"/>
      <w:ind w:left="1202"/>
    </w:pPr>
  </w:style>
  <w:style w:type="paragraph" w:styleId="BodyTextIndent">
    <w:name w:val="Body Text Indent"/>
    <w:basedOn w:val="Normal"/>
    <w:link w:val="BodyTextIndentChar"/>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FollowedHyperlink">
    <w:name w:val="FollowedHyperlink"/>
    <w:rPr>
      <w:color w:val="800080"/>
      <w:u w:val="single"/>
    </w:rPr>
  </w:style>
  <w:style w:type="paragraph" w:customStyle="1" w:styleId="NumPar2">
    <w:name w:val="NumPar 2"/>
    <w:basedOn w:val="Heading2"/>
    <w:next w:val="Text2"/>
    <w:pPr>
      <w:keepNext w:val="0"/>
      <w:keepLines w:val="0"/>
      <w:numPr>
        <w:numId w:val="1"/>
      </w:numPr>
      <w:tabs>
        <w:tab w:val="num" w:pos="360"/>
      </w:tabs>
      <w:spacing w:after="240"/>
      <w:ind w:left="360"/>
      <w:outlineLvl w:val="9"/>
    </w:pPr>
    <w:rPr>
      <w:b w:val="0"/>
    </w:rPr>
  </w:style>
  <w:style w:type="paragraph" w:styleId="ListBullet5">
    <w:name w:val="List Bullet 5"/>
    <w:basedOn w:val="Normal"/>
    <w:autoRedefine/>
    <w:pPr>
      <w:numPr>
        <w:numId w:val="2"/>
      </w:numPr>
      <w:spacing w:after="240"/>
    </w:pPr>
  </w:style>
  <w:style w:type="paragraph" w:styleId="ListBullet">
    <w:name w:val="List Bullet"/>
    <w:basedOn w:val="Normal"/>
    <w:link w:val="ListBulletChar"/>
    <w:rsid w:val="00684AFF"/>
    <w:pPr>
      <w:numPr>
        <w:numId w:val="9"/>
      </w:numPr>
      <w:spacing w:after="240"/>
    </w:pPr>
    <w:rPr>
      <w:snapToGrid/>
      <w:lang w:eastAsia="en-GB"/>
    </w:rPr>
  </w:style>
  <w:style w:type="character" w:customStyle="1" w:styleId="ListBulletChar">
    <w:name w:val="List Bullet Char"/>
    <w:link w:val="ListBullet"/>
    <w:rsid w:val="00CF6359"/>
    <w:rPr>
      <w:sz w:val="22"/>
    </w:rPr>
  </w:style>
  <w:style w:type="paragraph" w:customStyle="1" w:styleId="TOC30">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2"/>
      </w:numPr>
      <w:spacing w:after="240"/>
    </w:pPr>
    <w:rPr>
      <w:snapToGrid/>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3"/>
      </w:numPr>
      <w:tabs>
        <w:tab w:val="clear" w:pos="2161"/>
      </w:tabs>
    </w:pPr>
    <w:rPr>
      <w:snapToGrid/>
    </w:rPr>
  </w:style>
  <w:style w:type="paragraph" w:customStyle="1" w:styleId="ListNumber2Level2">
    <w:name w:val="List Number 2 (Level 2)"/>
    <w:basedOn w:val="Text2"/>
    <w:rsid w:val="0022128C"/>
    <w:pPr>
      <w:numPr>
        <w:ilvl w:val="1"/>
        <w:numId w:val="13"/>
      </w:numPr>
      <w:tabs>
        <w:tab w:val="clear" w:pos="2161"/>
      </w:tabs>
    </w:pPr>
    <w:rPr>
      <w:snapToGrid/>
    </w:rPr>
  </w:style>
  <w:style w:type="paragraph" w:customStyle="1" w:styleId="ListNumber2Level3">
    <w:name w:val="List Number 2 (Level 3)"/>
    <w:basedOn w:val="Text2"/>
    <w:rsid w:val="0022128C"/>
    <w:pPr>
      <w:numPr>
        <w:ilvl w:val="2"/>
        <w:numId w:val="13"/>
      </w:numPr>
      <w:tabs>
        <w:tab w:val="clear" w:pos="2161"/>
      </w:tabs>
    </w:pPr>
    <w:rPr>
      <w:snapToGrid/>
    </w:rPr>
  </w:style>
  <w:style w:type="paragraph" w:customStyle="1" w:styleId="ListNumber2Level4">
    <w:name w:val="List Number 2 (Level 4)"/>
    <w:basedOn w:val="Text2"/>
    <w:rsid w:val="0022128C"/>
    <w:pPr>
      <w:numPr>
        <w:ilvl w:val="3"/>
        <w:numId w:val="13"/>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fr-FR" w:eastAsia="en-US"/>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uiPriority w:val="99"/>
    <w:rsid w:val="00A6227D"/>
    <w:rPr>
      <w:sz w:val="16"/>
      <w:szCs w:val="16"/>
    </w:rPr>
  </w:style>
  <w:style w:type="paragraph" w:styleId="CommentText">
    <w:name w:val="annotation text"/>
    <w:basedOn w:val="Normal"/>
    <w:link w:val="CommentTextChar"/>
    <w:uiPriority w:val="99"/>
    <w:rsid w:val="00A6227D"/>
    <w:rPr>
      <w:sz w:val="20"/>
    </w:rPr>
  </w:style>
  <w:style w:type="character" w:customStyle="1" w:styleId="CommentTextChar">
    <w:name w:val="Comment Text Char"/>
    <w:link w:val="CommentText"/>
    <w:uiPriority w:val="99"/>
    <w:rsid w:val="00A6227D"/>
    <w:rPr>
      <w:snapToGrid w:val="0"/>
      <w:lang w:eastAsia="en-US"/>
    </w:rPr>
  </w:style>
  <w:style w:type="paragraph" w:customStyle="1" w:styleId="Char2">
    <w:name w:val="Char2"/>
    <w:basedOn w:val="Normal"/>
    <w:link w:val="FootnoteReference"/>
    <w:uiPriority w:val="99"/>
    <w:rsid w:val="00DB57AE"/>
    <w:pPr>
      <w:spacing w:before="120" w:after="160" w:line="240" w:lineRule="exact"/>
      <w:jc w:val="left"/>
    </w:pPr>
    <w:rPr>
      <w:snapToGrid/>
      <w:sz w:val="24"/>
      <w:vertAlign w:val="superscript"/>
      <w:lang w:eastAsia="en-GB"/>
    </w:rPr>
  </w:style>
  <w:style w:type="paragraph" w:customStyle="1" w:styleId="Default">
    <w:name w:val="Default"/>
    <w:basedOn w:val="Normal"/>
    <w:rsid w:val="00683F23"/>
    <w:pPr>
      <w:autoSpaceDE w:val="0"/>
      <w:autoSpaceDN w:val="0"/>
      <w:spacing w:after="0"/>
      <w:jc w:val="left"/>
    </w:pPr>
    <w:rPr>
      <w:rFonts w:eastAsiaTheme="minorHAnsi"/>
      <w:snapToGrid/>
      <w:color w:val="000000"/>
      <w:sz w:val="24"/>
      <w:szCs w:val="24"/>
      <w:lang w:val="en-GB" w:eastAsia="en-GB"/>
    </w:rPr>
  </w:style>
  <w:style w:type="paragraph" w:styleId="NormalWeb">
    <w:name w:val="Normal (Web)"/>
    <w:basedOn w:val="Normal"/>
    <w:uiPriority w:val="99"/>
    <w:unhideWhenUsed/>
    <w:rsid w:val="00683F23"/>
    <w:pPr>
      <w:spacing w:before="100" w:beforeAutospacing="1" w:after="100" w:afterAutospacing="1"/>
      <w:jc w:val="left"/>
    </w:pPr>
    <w:rPr>
      <w:snapToGrid/>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5497">
      <w:bodyDiv w:val="1"/>
      <w:marLeft w:val="0"/>
      <w:marRight w:val="0"/>
      <w:marTop w:val="0"/>
      <w:marBottom w:val="0"/>
      <w:divBdr>
        <w:top w:val="none" w:sz="0" w:space="0" w:color="auto"/>
        <w:left w:val="none" w:sz="0" w:space="0" w:color="auto"/>
        <w:bottom w:val="none" w:sz="0" w:space="0" w:color="auto"/>
        <w:right w:val="none" w:sz="0" w:space="0" w:color="auto"/>
      </w:divBdr>
    </w:div>
    <w:div w:id="158350776">
      <w:bodyDiv w:val="1"/>
      <w:marLeft w:val="0"/>
      <w:marRight w:val="0"/>
      <w:marTop w:val="0"/>
      <w:marBottom w:val="0"/>
      <w:divBdr>
        <w:top w:val="none" w:sz="0" w:space="0" w:color="auto"/>
        <w:left w:val="none" w:sz="0" w:space="0" w:color="auto"/>
        <w:bottom w:val="none" w:sz="0" w:space="0" w:color="auto"/>
        <w:right w:val="none" w:sz="0" w:space="0" w:color="auto"/>
      </w:divBdr>
    </w:div>
    <w:div w:id="291058009">
      <w:bodyDiv w:val="1"/>
      <w:marLeft w:val="0"/>
      <w:marRight w:val="0"/>
      <w:marTop w:val="0"/>
      <w:marBottom w:val="0"/>
      <w:divBdr>
        <w:top w:val="none" w:sz="0" w:space="0" w:color="auto"/>
        <w:left w:val="none" w:sz="0" w:space="0" w:color="auto"/>
        <w:bottom w:val="none" w:sz="0" w:space="0" w:color="auto"/>
        <w:right w:val="none" w:sz="0" w:space="0" w:color="auto"/>
      </w:divBdr>
    </w:div>
    <w:div w:id="314141129">
      <w:bodyDiv w:val="1"/>
      <w:marLeft w:val="0"/>
      <w:marRight w:val="0"/>
      <w:marTop w:val="0"/>
      <w:marBottom w:val="0"/>
      <w:divBdr>
        <w:top w:val="none" w:sz="0" w:space="0" w:color="auto"/>
        <w:left w:val="none" w:sz="0" w:space="0" w:color="auto"/>
        <w:bottom w:val="none" w:sz="0" w:space="0" w:color="auto"/>
        <w:right w:val="none" w:sz="0" w:space="0" w:color="auto"/>
      </w:divBdr>
    </w:div>
    <w:div w:id="345444708">
      <w:bodyDiv w:val="1"/>
      <w:marLeft w:val="0"/>
      <w:marRight w:val="0"/>
      <w:marTop w:val="0"/>
      <w:marBottom w:val="0"/>
      <w:divBdr>
        <w:top w:val="none" w:sz="0" w:space="0" w:color="auto"/>
        <w:left w:val="none" w:sz="0" w:space="0" w:color="auto"/>
        <w:bottom w:val="none" w:sz="0" w:space="0" w:color="auto"/>
        <w:right w:val="none" w:sz="0" w:space="0" w:color="auto"/>
      </w:divBdr>
    </w:div>
    <w:div w:id="421611526">
      <w:bodyDiv w:val="1"/>
      <w:marLeft w:val="0"/>
      <w:marRight w:val="0"/>
      <w:marTop w:val="0"/>
      <w:marBottom w:val="0"/>
      <w:divBdr>
        <w:top w:val="none" w:sz="0" w:space="0" w:color="auto"/>
        <w:left w:val="none" w:sz="0" w:space="0" w:color="auto"/>
        <w:bottom w:val="none" w:sz="0" w:space="0" w:color="auto"/>
        <w:right w:val="none" w:sz="0" w:space="0" w:color="auto"/>
      </w:divBdr>
    </w:div>
    <w:div w:id="460612209">
      <w:bodyDiv w:val="1"/>
      <w:marLeft w:val="0"/>
      <w:marRight w:val="0"/>
      <w:marTop w:val="0"/>
      <w:marBottom w:val="0"/>
      <w:divBdr>
        <w:top w:val="none" w:sz="0" w:space="0" w:color="auto"/>
        <w:left w:val="none" w:sz="0" w:space="0" w:color="auto"/>
        <w:bottom w:val="none" w:sz="0" w:space="0" w:color="auto"/>
        <w:right w:val="none" w:sz="0" w:space="0" w:color="auto"/>
      </w:divBdr>
    </w:div>
    <w:div w:id="513376015">
      <w:bodyDiv w:val="1"/>
      <w:marLeft w:val="0"/>
      <w:marRight w:val="0"/>
      <w:marTop w:val="0"/>
      <w:marBottom w:val="0"/>
      <w:divBdr>
        <w:top w:val="none" w:sz="0" w:space="0" w:color="auto"/>
        <w:left w:val="none" w:sz="0" w:space="0" w:color="auto"/>
        <w:bottom w:val="none" w:sz="0" w:space="0" w:color="auto"/>
        <w:right w:val="none" w:sz="0" w:space="0" w:color="auto"/>
      </w:divBdr>
    </w:div>
    <w:div w:id="888762100">
      <w:bodyDiv w:val="1"/>
      <w:marLeft w:val="0"/>
      <w:marRight w:val="0"/>
      <w:marTop w:val="0"/>
      <w:marBottom w:val="0"/>
      <w:divBdr>
        <w:top w:val="none" w:sz="0" w:space="0" w:color="auto"/>
        <w:left w:val="none" w:sz="0" w:space="0" w:color="auto"/>
        <w:bottom w:val="none" w:sz="0" w:space="0" w:color="auto"/>
        <w:right w:val="none" w:sz="0" w:space="0" w:color="auto"/>
      </w:divBdr>
    </w:div>
    <w:div w:id="967007101">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13352343">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85384063">
      <w:bodyDiv w:val="1"/>
      <w:marLeft w:val="0"/>
      <w:marRight w:val="0"/>
      <w:marTop w:val="0"/>
      <w:marBottom w:val="0"/>
      <w:divBdr>
        <w:top w:val="none" w:sz="0" w:space="0" w:color="auto"/>
        <w:left w:val="none" w:sz="0" w:space="0" w:color="auto"/>
        <w:bottom w:val="none" w:sz="0" w:space="0" w:color="auto"/>
        <w:right w:val="none" w:sz="0" w:space="0" w:color="auto"/>
      </w:divBdr>
    </w:div>
    <w:div w:id="1586257847">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 w:id="1928998547">
      <w:bodyDiv w:val="1"/>
      <w:marLeft w:val="0"/>
      <w:marRight w:val="0"/>
      <w:marTop w:val="0"/>
      <w:marBottom w:val="0"/>
      <w:divBdr>
        <w:top w:val="none" w:sz="0" w:space="0" w:color="auto"/>
        <w:left w:val="none" w:sz="0" w:space="0" w:color="auto"/>
        <w:bottom w:val="none" w:sz="0" w:space="0" w:color="auto"/>
        <w:right w:val="none" w:sz="0" w:space="0" w:color="auto"/>
      </w:divBdr>
    </w:div>
    <w:div w:id="2088720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document.do?locale=fr" TargetMode="External"/><Relationship Id="rId18" Type="http://schemas.openxmlformats.org/officeDocument/2006/relationships/hyperlink" Target="http://ec.europa.eu/budget/explained/management/protecting/protect_fr.cfm" TargetMode="External"/><Relationship Id="rId3" Type="http://schemas.openxmlformats.org/officeDocument/2006/relationships/customXml" Target="../customXml/item3.xml"/><Relationship Id="rId21" Type="http://schemas.openxmlformats.org/officeDocument/2006/relationships/hyperlink" Target="https://ec.europa.eu/international-partnerships/funding/managing-project_en"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eas.europa.eu/delegations/burundi_f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elegation-burundi-appels-a-propositions@eeas.europa.eu" TargetMode="External"/><Relationship Id="rId20" Type="http://schemas.openxmlformats.org/officeDocument/2006/relationships/hyperlink" Target="https://ec.europa.eu/international-partnerships/system/files/per_diem_rates_2019121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elegation-burundi-appels-a-propositions@eeas.europa.eu" TargetMode="External"/><Relationship Id="rId23" Type="http://schemas.openxmlformats.org/officeDocument/2006/relationships/hyperlink" Target="https://ec.europa.eu/international-partnerships/financial-management-toolkit_fr" TargetMode="External"/><Relationship Id="rId10" Type="http://schemas.openxmlformats.org/officeDocument/2006/relationships/endnotes" Target="endnotes.xml"/><Relationship Id="rId19" Type="http://schemas.openxmlformats.org/officeDocument/2006/relationships/hyperlink" Target="https://eeas.europa.eu/delegations/burundi_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ternational-partnerships/system/files/communication-visibility-requirements-2018_fr.pdf" TargetMode="External"/><Relationship Id="rId22" Type="http://schemas.openxmlformats.org/officeDocument/2006/relationships/hyperlink" Target="http://ec.europa.eu/europeaid/companion/document.do?nodeNumber=19&amp;local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da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C7EDE-33BA-4CF8-AE60-36664511CD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21a4a1d-4eb8-49d3-b465-be101281b0f3"/>
    <ds:schemaRef ds:uri="http://www.w3.org/XML/1998/namespace"/>
    <ds:schemaRef ds:uri="http://purl.org/dc/dcmitype/"/>
  </ds:schemaRefs>
</ds:datastoreItem>
</file>

<file path=customXml/itemProps2.xml><?xml version="1.0" encoding="utf-8"?>
<ds:datastoreItem xmlns:ds="http://schemas.openxmlformats.org/officeDocument/2006/customXml" ds:itemID="{BB8AA044-1719-4891-8554-BF5B6EB3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AFB77-FC0A-4574-BD15-257FBCDC3028}">
  <ds:schemaRefs>
    <ds:schemaRef ds:uri="http://schemas.microsoft.com/sharepoint/v3/contenttype/forms"/>
  </ds:schemaRefs>
</ds:datastoreItem>
</file>

<file path=customXml/itemProps4.xml><?xml version="1.0" encoding="utf-8"?>
<ds:datastoreItem xmlns:ds="http://schemas.openxmlformats.org/officeDocument/2006/customXml" ds:itemID="{BBC21D9A-7CCF-4EAE-BCE5-16DA3A5F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11099</Words>
  <Characters>65122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lpstr>
    </vt:vector>
  </TitlesOfParts>
  <Company>XXXXXXX</Company>
  <LinksUpToDate>false</LinksUpToDate>
  <CharactersWithSpaces>76069</CharactersWithSpaces>
  <SharedDoc>false</SharedDoc>
  <HLinks>
    <vt:vector size="270" baseType="variant">
      <vt:variant>
        <vt:i4>3145741</vt:i4>
      </vt:variant>
      <vt:variant>
        <vt:i4>231</vt:i4>
      </vt:variant>
      <vt:variant>
        <vt:i4>0</vt:i4>
      </vt:variant>
      <vt:variant>
        <vt:i4>5</vt:i4>
      </vt:variant>
      <vt:variant>
        <vt:lpwstr>https://ec.europa.eu/international-partnerships/financial-management-toolkit_en</vt:lpwstr>
      </vt:variant>
      <vt:variant>
        <vt:lpwstr/>
      </vt:variant>
      <vt:variant>
        <vt:i4>8323119</vt:i4>
      </vt:variant>
      <vt:variant>
        <vt:i4>228</vt:i4>
      </vt:variant>
      <vt:variant>
        <vt:i4>0</vt:i4>
      </vt:variant>
      <vt:variant>
        <vt:i4>5</vt:i4>
      </vt:variant>
      <vt:variant>
        <vt:lpwstr>http://ec.europa.eu/europeaid/companion/document.do?nodeNumber=19&amp;locale=en</vt:lpwstr>
      </vt:variant>
      <vt:variant>
        <vt:lpwstr/>
      </vt:variant>
      <vt:variant>
        <vt:i4>3604500</vt:i4>
      </vt:variant>
      <vt:variant>
        <vt:i4>225</vt:i4>
      </vt:variant>
      <vt:variant>
        <vt:i4>0</vt:i4>
      </vt:variant>
      <vt:variant>
        <vt:i4>5</vt:i4>
      </vt:variant>
      <vt:variant>
        <vt:lpwstr>https://ec.europa.eu/international-partnerships/funding/managing-project_en</vt:lpwstr>
      </vt:variant>
      <vt:variant>
        <vt:lpwstr/>
      </vt:variant>
      <vt:variant>
        <vt:i4>589946</vt:i4>
      </vt:variant>
      <vt:variant>
        <vt:i4>222</vt:i4>
      </vt:variant>
      <vt:variant>
        <vt:i4>0</vt:i4>
      </vt:variant>
      <vt:variant>
        <vt:i4>5</vt:i4>
      </vt:variant>
      <vt:variant>
        <vt:lpwstr>https://ec.europa.eu/international-partnerships/system/files/per_diem_rates_20191218.pdf</vt:lpwstr>
      </vt:variant>
      <vt:variant>
        <vt:lpwstr/>
      </vt:variant>
      <vt:variant>
        <vt:i4>7209035</vt:i4>
      </vt:variant>
      <vt:variant>
        <vt:i4>219</vt:i4>
      </vt:variant>
      <vt:variant>
        <vt:i4>0</vt:i4>
      </vt:variant>
      <vt:variant>
        <vt:i4>5</vt:i4>
      </vt:variant>
      <vt:variant>
        <vt:lpwstr>https://ec.europa.eu/international-partnerships/home_fr</vt:lpwstr>
      </vt:variant>
      <vt:variant>
        <vt:lpwstr/>
      </vt:variant>
      <vt:variant>
        <vt:i4>4784161</vt:i4>
      </vt:variant>
      <vt:variant>
        <vt:i4>216</vt:i4>
      </vt:variant>
      <vt:variant>
        <vt:i4>0</vt:i4>
      </vt:variant>
      <vt:variant>
        <vt:i4>5</vt:i4>
      </vt:variant>
      <vt:variant>
        <vt:lpwstr>http://ec.europa.eu/budget/explained/management/protecting/protect_en.cfm</vt:lpwstr>
      </vt:variant>
      <vt:variant>
        <vt:lpwstr/>
      </vt:variant>
      <vt:variant>
        <vt:i4>1638509</vt:i4>
      </vt:variant>
      <vt:variant>
        <vt:i4>213</vt:i4>
      </vt:variant>
      <vt:variant>
        <vt:i4>0</vt:i4>
      </vt:variant>
      <vt:variant>
        <vt:i4>5</vt:i4>
      </vt:variant>
      <vt:variant>
        <vt:lpwstr>https://ec.europa.eu/international-partnerships/funding/looking-for-funding_en</vt:lpwstr>
      </vt:variant>
      <vt:variant>
        <vt:lpwstr/>
      </vt:variant>
      <vt:variant>
        <vt:i4>1638509</vt:i4>
      </vt:variant>
      <vt:variant>
        <vt:i4>210</vt:i4>
      </vt:variant>
      <vt:variant>
        <vt:i4>0</vt:i4>
      </vt:variant>
      <vt:variant>
        <vt:i4>5</vt:i4>
      </vt:variant>
      <vt:variant>
        <vt:lpwstr>https://ec.europa.eu/international-partnerships/funding/looking-for-funding_en</vt:lpwstr>
      </vt:variant>
      <vt:variant>
        <vt:lpwstr/>
      </vt:variant>
      <vt:variant>
        <vt:i4>1638509</vt:i4>
      </vt:variant>
      <vt:variant>
        <vt:i4>207</vt:i4>
      </vt:variant>
      <vt:variant>
        <vt:i4>0</vt:i4>
      </vt:variant>
      <vt:variant>
        <vt:i4>5</vt:i4>
      </vt:variant>
      <vt:variant>
        <vt:lpwstr>https://ec.europa.eu/international-partnerships/funding/looking-for-funding_en</vt:lpwstr>
      </vt:variant>
      <vt:variant>
        <vt:lpwstr/>
      </vt:variant>
      <vt:variant>
        <vt:i4>1507410</vt:i4>
      </vt:variant>
      <vt:variant>
        <vt:i4>204</vt:i4>
      </vt:variant>
      <vt:variant>
        <vt:i4>0</vt:i4>
      </vt:variant>
      <vt:variant>
        <vt:i4>5</vt:i4>
      </vt:variant>
      <vt:variant>
        <vt:lpwstr>https://ec.europa.eu/transparency/regdoc/?fuseaction=list&amp;coteId=3&amp;year=2019&amp;number=2646&amp;version=ALL&amp;language=en</vt:lpwstr>
      </vt:variant>
      <vt:variant>
        <vt:lpwstr/>
      </vt:variant>
      <vt:variant>
        <vt:i4>1507410</vt:i4>
      </vt:variant>
      <vt:variant>
        <vt:i4>201</vt:i4>
      </vt:variant>
      <vt:variant>
        <vt:i4>0</vt:i4>
      </vt:variant>
      <vt:variant>
        <vt:i4>5</vt:i4>
      </vt:variant>
      <vt:variant>
        <vt:lpwstr>https://ec.europa.eu/transparency/regdoc/?fuseaction=list&amp;coteId=3&amp;year=2019&amp;number=2646&amp;version=ALL&amp;language=en</vt:lpwstr>
      </vt:variant>
      <vt:variant>
        <vt:lpwstr/>
      </vt:variant>
      <vt:variant>
        <vt:i4>720940</vt:i4>
      </vt:variant>
      <vt:variant>
        <vt:i4>198</vt:i4>
      </vt:variant>
      <vt:variant>
        <vt:i4>0</vt:i4>
      </vt:variant>
      <vt:variant>
        <vt:i4>5</vt:i4>
      </vt:variant>
      <vt:variant>
        <vt:lpwstr>https://ec.europa.eu/international-partnerships/system/files/communication-visibility-requirements-2018_en.pdf</vt:lpwstr>
      </vt:variant>
      <vt:variant>
        <vt:lpwstr/>
      </vt:variant>
      <vt:variant>
        <vt:i4>524372</vt:i4>
      </vt:variant>
      <vt:variant>
        <vt:i4>195</vt:i4>
      </vt:variant>
      <vt:variant>
        <vt:i4>0</vt:i4>
      </vt:variant>
      <vt:variant>
        <vt:i4>5</vt:i4>
      </vt:variant>
      <vt:variant>
        <vt:lpwstr>http://ec.europa.eu/europeaid/prag/document.do?locale=en</vt:lpwstr>
      </vt:variant>
      <vt:variant>
        <vt:lpwstr/>
      </vt:variant>
      <vt:variant>
        <vt:i4>1114164</vt:i4>
      </vt:variant>
      <vt:variant>
        <vt:i4>188</vt:i4>
      </vt:variant>
      <vt:variant>
        <vt:i4>0</vt:i4>
      </vt:variant>
      <vt:variant>
        <vt:i4>5</vt:i4>
      </vt:variant>
      <vt:variant>
        <vt:lpwstr/>
      </vt:variant>
      <vt:variant>
        <vt:lpwstr>_Toc75363237</vt:lpwstr>
      </vt:variant>
      <vt:variant>
        <vt:i4>1048628</vt:i4>
      </vt:variant>
      <vt:variant>
        <vt:i4>182</vt:i4>
      </vt:variant>
      <vt:variant>
        <vt:i4>0</vt:i4>
      </vt:variant>
      <vt:variant>
        <vt:i4>5</vt:i4>
      </vt:variant>
      <vt:variant>
        <vt:lpwstr/>
      </vt:variant>
      <vt:variant>
        <vt:lpwstr>_Toc75363236</vt:lpwstr>
      </vt:variant>
      <vt:variant>
        <vt:i4>1245236</vt:i4>
      </vt:variant>
      <vt:variant>
        <vt:i4>176</vt:i4>
      </vt:variant>
      <vt:variant>
        <vt:i4>0</vt:i4>
      </vt:variant>
      <vt:variant>
        <vt:i4>5</vt:i4>
      </vt:variant>
      <vt:variant>
        <vt:lpwstr/>
      </vt:variant>
      <vt:variant>
        <vt:lpwstr>_Toc75363235</vt:lpwstr>
      </vt:variant>
      <vt:variant>
        <vt:i4>1179700</vt:i4>
      </vt:variant>
      <vt:variant>
        <vt:i4>170</vt:i4>
      </vt:variant>
      <vt:variant>
        <vt:i4>0</vt:i4>
      </vt:variant>
      <vt:variant>
        <vt:i4>5</vt:i4>
      </vt:variant>
      <vt:variant>
        <vt:lpwstr/>
      </vt:variant>
      <vt:variant>
        <vt:lpwstr>_Toc75363234</vt:lpwstr>
      </vt:variant>
      <vt:variant>
        <vt:i4>1376308</vt:i4>
      </vt:variant>
      <vt:variant>
        <vt:i4>164</vt:i4>
      </vt:variant>
      <vt:variant>
        <vt:i4>0</vt:i4>
      </vt:variant>
      <vt:variant>
        <vt:i4>5</vt:i4>
      </vt:variant>
      <vt:variant>
        <vt:lpwstr/>
      </vt:variant>
      <vt:variant>
        <vt:lpwstr>_Toc75363233</vt:lpwstr>
      </vt:variant>
      <vt:variant>
        <vt:i4>1310772</vt:i4>
      </vt:variant>
      <vt:variant>
        <vt:i4>158</vt:i4>
      </vt:variant>
      <vt:variant>
        <vt:i4>0</vt:i4>
      </vt:variant>
      <vt:variant>
        <vt:i4>5</vt:i4>
      </vt:variant>
      <vt:variant>
        <vt:lpwstr/>
      </vt:variant>
      <vt:variant>
        <vt:lpwstr>_Toc75363232</vt:lpwstr>
      </vt:variant>
      <vt:variant>
        <vt:i4>1507380</vt:i4>
      </vt:variant>
      <vt:variant>
        <vt:i4>152</vt:i4>
      </vt:variant>
      <vt:variant>
        <vt:i4>0</vt:i4>
      </vt:variant>
      <vt:variant>
        <vt:i4>5</vt:i4>
      </vt:variant>
      <vt:variant>
        <vt:lpwstr/>
      </vt:variant>
      <vt:variant>
        <vt:lpwstr>_Toc75363231</vt:lpwstr>
      </vt:variant>
      <vt:variant>
        <vt:i4>1441844</vt:i4>
      </vt:variant>
      <vt:variant>
        <vt:i4>146</vt:i4>
      </vt:variant>
      <vt:variant>
        <vt:i4>0</vt:i4>
      </vt:variant>
      <vt:variant>
        <vt:i4>5</vt:i4>
      </vt:variant>
      <vt:variant>
        <vt:lpwstr/>
      </vt:variant>
      <vt:variant>
        <vt:lpwstr>_Toc75363230</vt:lpwstr>
      </vt:variant>
      <vt:variant>
        <vt:i4>2031669</vt:i4>
      </vt:variant>
      <vt:variant>
        <vt:i4>140</vt:i4>
      </vt:variant>
      <vt:variant>
        <vt:i4>0</vt:i4>
      </vt:variant>
      <vt:variant>
        <vt:i4>5</vt:i4>
      </vt:variant>
      <vt:variant>
        <vt:lpwstr/>
      </vt:variant>
      <vt:variant>
        <vt:lpwstr>_Toc75363229</vt:lpwstr>
      </vt:variant>
      <vt:variant>
        <vt:i4>1966133</vt:i4>
      </vt:variant>
      <vt:variant>
        <vt:i4>134</vt:i4>
      </vt:variant>
      <vt:variant>
        <vt:i4>0</vt:i4>
      </vt:variant>
      <vt:variant>
        <vt:i4>5</vt:i4>
      </vt:variant>
      <vt:variant>
        <vt:lpwstr/>
      </vt:variant>
      <vt:variant>
        <vt:lpwstr>_Toc75363228</vt:lpwstr>
      </vt:variant>
      <vt:variant>
        <vt:i4>1048630</vt:i4>
      </vt:variant>
      <vt:variant>
        <vt:i4>128</vt:i4>
      </vt:variant>
      <vt:variant>
        <vt:i4>0</vt:i4>
      </vt:variant>
      <vt:variant>
        <vt:i4>5</vt:i4>
      </vt:variant>
      <vt:variant>
        <vt:lpwstr/>
      </vt:variant>
      <vt:variant>
        <vt:lpwstr>_Toc75363216</vt:lpwstr>
      </vt:variant>
      <vt:variant>
        <vt:i4>1245238</vt:i4>
      </vt:variant>
      <vt:variant>
        <vt:i4>122</vt:i4>
      </vt:variant>
      <vt:variant>
        <vt:i4>0</vt:i4>
      </vt:variant>
      <vt:variant>
        <vt:i4>5</vt:i4>
      </vt:variant>
      <vt:variant>
        <vt:lpwstr/>
      </vt:variant>
      <vt:variant>
        <vt:lpwstr>_Toc75363215</vt:lpwstr>
      </vt:variant>
      <vt:variant>
        <vt:i4>1179702</vt:i4>
      </vt:variant>
      <vt:variant>
        <vt:i4>116</vt:i4>
      </vt:variant>
      <vt:variant>
        <vt:i4>0</vt:i4>
      </vt:variant>
      <vt:variant>
        <vt:i4>5</vt:i4>
      </vt:variant>
      <vt:variant>
        <vt:lpwstr/>
      </vt:variant>
      <vt:variant>
        <vt:lpwstr>_Toc75363214</vt:lpwstr>
      </vt:variant>
      <vt:variant>
        <vt:i4>1376310</vt:i4>
      </vt:variant>
      <vt:variant>
        <vt:i4>110</vt:i4>
      </vt:variant>
      <vt:variant>
        <vt:i4>0</vt:i4>
      </vt:variant>
      <vt:variant>
        <vt:i4>5</vt:i4>
      </vt:variant>
      <vt:variant>
        <vt:lpwstr/>
      </vt:variant>
      <vt:variant>
        <vt:lpwstr>_Toc75363213</vt:lpwstr>
      </vt:variant>
      <vt:variant>
        <vt:i4>1310774</vt:i4>
      </vt:variant>
      <vt:variant>
        <vt:i4>104</vt:i4>
      </vt:variant>
      <vt:variant>
        <vt:i4>0</vt:i4>
      </vt:variant>
      <vt:variant>
        <vt:i4>5</vt:i4>
      </vt:variant>
      <vt:variant>
        <vt:lpwstr/>
      </vt:variant>
      <vt:variant>
        <vt:lpwstr>_Toc75363212</vt:lpwstr>
      </vt:variant>
      <vt:variant>
        <vt:i4>1507382</vt:i4>
      </vt:variant>
      <vt:variant>
        <vt:i4>98</vt:i4>
      </vt:variant>
      <vt:variant>
        <vt:i4>0</vt:i4>
      </vt:variant>
      <vt:variant>
        <vt:i4>5</vt:i4>
      </vt:variant>
      <vt:variant>
        <vt:lpwstr/>
      </vt:variant>
      <vt:variant>
        <vt:lpwstr>_Toc75363211</vt:lpwstr>
      </vt:variant>
      <vt:variant>
        <vt:i4>2031671</vt:i4>
      </vt:variant>
      <vt:variant>
        <vt:i4>92</vt:i4>
      </vt:variant>
      <vt:variant>
        <vt:i4>0</vt:i4>
      </vt:variant>
      <vt:variant>
        <vt:i4>5</vt:i4>
      </vt:variant>
      <vt:variant>
        <vt:lpwstr/>
      </vt:variant>
      <vt:variant>
        <vt:lpwstr>_Toc75363209</vt:lpwstr>
      </vt:variant>
      <vt:variant>
        <vt:i4>1966135</vt:i4>
      </vt:variant>
      <vt:variant>
        <vt:i4>86</vt:i4>
      </vt:variant>
      <vt:variant>
        <vt:i4>0</vt:i4>
      </vt:variant>
      <vt:variant>
        <vt:i4>5</vt:i4>
      </vt:variant>
      <vt:variant>
        <vt:lpwstr/>
      </vt:variant>
      <vt:variant>
        <vt:lpwstr>_Toc75363208</vt:lpwstr>
      </vt:variant>
      <vt:variant>
        <vt:i4>1048631</vt:i4>
      </vt:variant>
      <vt:variant>
        <vt:i4>80</vt:i4>
      </vt:variant>
      <vt:variant>
        <vt:i4>0</vt:i4>
      </vt:variant>
      <vt:variant>
        <vt:i4>5</vt:i4>
      </vt:variant>
      <vt:variant>
        <vt:lpwstr/>
      </vt:variant>
      <vt:variant>
        <vt:lpwstr>_Toc75363206</vt:lpwstr>
      </vt:variant>
      <vt:variant>
        <vt:i4>1245239</vt:i4>
      </vt:variant>
      <vt:variant>
        <vt:i4>74</vt:i4>
      </vt:variant>
      <vt:variant>
        <vt:i4>0</vt:i4>
      </vt:variant>
      <vt:variant>
        <vt:i4>5</vt:i4>
      </vt:variant>
      <vt:variant>
        <vt:lpwstr/>
      </vt:variant>
      <vt:variant>
        <vt:lpwstr>_Toc75363205</vt:lpwstr>
      </vt:variant>
      <vt:variant>
        <vt:i4>1507383</vt:i4>
      </vt:variant>
      <vt:variant>
        <vt:i4>68</vt:i4>
      </vt:variant>
      <vt:variant>
        <vt:i4>0</vt:i4>
      </vt:variant>
      <vt:variant>
        <vt:i4>5</vt:i4>
      </vt:variant>
      <vt:variant>
        <vt:lpwstr/>
      </vt:variant>
      <vt:variant>
        <vt:lpwstr>_Toc75363201</vt:lpwstr>
      </vt:variant>
      <vt:variant>
        <vt:i4>1441847</vt:i4>
      </vt:variant>
      <vt:variant>
        <vt:i4>62</vt:i4>
      </vt:variant>
      <vt:variant>
        <vt:i4>0</vt:i4>
      </vt:variant>
      <vt:variant>
        <vt:i4>5</vt:i4>
      </vt:variant>
      <vt:variant>
        <vt:lpwstr/>
      </vt:variant>
      <vt:variant>
        <vt:lpwstr>_Toc75363200</vt:lpwstr>
      </vt:variant>
      <vt:variant>
        <vt:i4>1835070</vt:i4>
      </vt:variant>
      <vt:variant>
        <vt:i4>56</vt:i4>
      </vt:variant>
      <vt:variant>
        <vt:i4>0</vt:i4>
      </vt:variant>
      <vt:variant>
        <vt:i4>5</vt:i4>
      </vt:variant>
      <vt:variant>
        <vt:lpwstr/>
      </vt:variant>
      <vt:variant>
        <vt:lpwstr>_Toc75363199</vt:lpwstr>
      </vt:variant>
      <vt:variant>
        <vt:i4>1900606</vt:i4>
      </vt:variant>
      <vt:variant>
        <vt:i4>50</vt:i4>
      </vt:variant>
      <vt:variant>
        <vt:i4>0</vt:i4>
      </vt:variant>
      <vt:variant>
        <vt:i4>5</vt:i4>
      </vt:variant>
      <vt:variant>
        <vt:lpwstr/>
      </vt:variant>
      <vt:variant>
        <vt:lpwstr>_Toc75363198</vt:lpwstr>
      </vt:variant>
      <vt:variant>
        <vt:i4>1179710</vt:i4>
      </vt:variant>
      <vt:variant>
        <vt:i4>44</vt:i4>
      </vt:variant>
      <vt:variant>
        <vt:i4>0</vt:i4>
      </vt:variant>
      <vt:variant>
        <vt:i4>5</vt:i4>
      </vt:variant>
      <vt:variant>
        <vt:lpwstr/>
      </vt:variant>
      <vt:variant>
        <vt:lpwstr>_Toc75363197</vt:lpwstr>
      </vt:variant>
      <vt:variant>
        <vt:i4>1048638</vt:i4>
      </vt:variant>
      <vt:variant>
        <vt:i4>38</vt:i4>
      </vt:variant>
      <vt:variant>
        <vt:i4>0</vt:i4>
      </vt:variant>
      <vt:variant>
        <vt:i4>5</vt:i4>
      </vt:variant>
      <vt:variant>
        <vt:lpwstr/>
      </vt:variant>
      <vt:variant>
        <vt:lpwstr>_Toc75363195</vt:lpwstr>
      </vt:variant>
      <vt:variant>
        <vt:i4>1114174</vt:i4>
      </vt:variant>
      <vt:variant>
        <vt:i4>32</vt:i4>
      </vt:variant>
      <vt:variant>
        <vt:i4>0</vt:i4>
      </vt:variant>
      <vt:variant>
        <vt:i4>5</vt:i4>
      </vt:variant>
      <vt:variant>
        <vt:lpwstr/>
      </vt:variant>
      <vt:variant>
        <vt:lpwstr>_Toc75363194</vt:lpwstr>
      </vt:variant>
      <vt:variant>
        <vt:i4>1441854</vt:i4>
      </vt:variant>
      <vt:variant>
        <vt:i4>26</vt:i4>
      </vt:variant>
      <vt:variant>
        <vt:i4>0</vt:i4>
      </vt:variant>
      <vt:variant>
        <vt:i4>5</vt:i4>
      </vt:variant>
      <vt:variant>
        <vt:lpwstr/>
      </vt:variant>
      <vt:variant>
        <vt:lpwstr>_Toc75363193</vt:lpwstr>
      </vt:variant>
      <vt:variant>
        <vt:i4>1507390</vt:i4>
      </vt:variant>
      <vt:variant>
        <vt:i4>20</vt:i4>
      </vt:variant>
      <vt:variant>
        <vt:i4>0</vt:i4>
      </vt:variant>
      <vt:variant>
        <vt:i4>5</vt:i4>
      </vt:variant>
      <vt:variant>
        <vt:lpwstr/>
      </vt:variant>
      <vt:variant>
        <vt:lpwstr>_Toc75363192</vt:lpwstr>
      </vt:variant>
      <vt:variant>
        <vt:i4>1310782</vt:i4>
      </vt:variant>
      <vt:variant>
        <vt:i4>14</vt:i4>
      </vt:variant>
      <vt:variant>
        <vt:i4>0</vt:i4>
      </vt:variant>
      <vt:variant>
        <vt:i4>5</vt:i4>
      </vt:variant>
      <vt:variant>
        <vt:lpwstr/>
      </vt:variant>
      <vt:variant>
        <vt:lpwstr>_Toc75363191</vt:lpwstr>
      </vt:variant>
      <vt:variant>
        <vt:i4>1376318</vt:i4>
      </vt:variant>
      <vt:variant>
        <vt:i4>8</vt:i4>
      </vt:variant>
      <vt:variant>
        <vt:i4>0</vt:i4>
      </vt:variant>
      <vt:variant>
        <vt:i4>5</vt:i4>
      </vt:variant>
      <vt:variant>
        <vt:lpwstr/>
      </vt:variant>
      <vt:variant>
        <vt:lpwstr>_Toc75363190</vt:lpwstr>
      </vt:variant>
      <vt:variant>
        <vt:i4>1835071</vt:i4>
      </vt:variant>
      <vt:variant>
        <vt:i4>2</vt:i4>
      </vt:variant>
      <vt:variant>
        <vt:i4>0</vt:i4>
      </vt:variant>
      <vt:variant>
        <vt:i4>5</vt:i4>
      </vt:variant>
      <vt:variant>
        <vt:lpwstr/>
      </vt:variant>
      <vt:variant>
        <vt:lpwstr>_Toc75363189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XXXXXXX</dc:creator>
  <cp:keywords/>
  <dc:description/>
  <cp:lastModifiedBy>NSABIMANA Gilles (EEAS-BUJUMBURA)</cp:lastModifiedBy>
  <cp:revision>5</cp:revision>
  <cp:lastPrinted>2022-05-27T10:19:00Z</cp:lastPrinted>
  <dcterms:created xsi:type="dcterms:W3CDTF">2022-05-27T10:50:00Z</dcterms:created>
  <dcterms:modified xsi:type="dcterms:W3CDTF">2022-06-20T15:07:00Z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y fmtid="{D5CDD505-2E9C-101B-9397-08002B2CF9AE}" pid="5" name="ContentTypeId">
    <vt:lpwstr>0x010100724FDE23FB365D4CB8B2901107175F9F</vt:lpwstr>
  </property>
</Properties>
</file>