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121"/>
        <w:gridCol w:w="2094"/>
        <w:gridCol w:w="2101"/>
        <w:gridCol w:w="2121"/>
      </w:tblGrid>
      <w:tr w:rsidR="00696E1A" w14:paraId="6D3D6F99" w14:textId="77777777" w:rsidTr="00696E1A">
        <w:tc>
          <w:tcPr>
            <w:tcW w:w="2094" w:type="dxa"/>
            <w:vAlign w:val="center"/>
          </w:tcPr>
          <w:p w14:paraId="26848D1A" w14:textId="77777777" w:rsidR="00696E1A" w:rsidRDefault="00696E1A" w:rsidP="009F0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22D2C3" wp14:editId="1BFC74F5">
                  <wp:extent cx="931729" cy="580004"/>
                  <wp:effectExtent l="190500" t="190500" r="192405" b="182245"/>
                  <wp:docPr id="5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45" cy="603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14:paraId="4625ED59" w14:textId="77777777" w:rsidR="00696E1A" w:rsidRDefault="00696E1A" w:rsidP="009F0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1FA6FB" wp14:editId="3C55CC11">
                  <wp:extent cx="952922" cy="576000"/>
                  <wp:effectExtent l="190500" t="190500" r="190500" b="186055"/>
                  <wp:docPr id="5" name="Picture 5" descr="C:\Users\klemensas-ma\AppData\Local\Microsoft\Windows\INetCache\Content.Word\1280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lemensas-ma\AppData\Local\Microsoft\Windows\INetCache\Content.Word\1280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22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vAlign w:val="center"/>
          </w:tcPr>
          <w:p w14:paraId="380F3893" w14:textId="77777777" w:rsidR="00696E1A" w:rsidRDefault="00696E1A" w:rsidP="009F0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827CB2" wp14:editId="22F68E4F">
                  <wp:extent cx="940171" cy="582295"/>
                  <wp:effectExtent l="190500" t="190500" r="184150" b="1987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mania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7"/>
                          <a:stretch/>
                        </pic:blipFill>
                        <pic:spPr bwMode="auto">
                          <a:xfrm>
                            <a:off x="0" y="0"/>
                            <a:ext cx="940171" cy="582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bl" rotWithShape="0">
                              <a:prstClr val="black">
                                <a:alpha val="7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14:paraId="3AFA3B44" w14:textId="77777777" w:rsidR="00696E1A" w:rsidRDefault="00696E1A" w:rsidP="009F0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BE37C6" wp14:editId="076EA749">
                  <wp:extent cx="1319917" cy="949219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90" cy="95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14:paraId="2CC06DB4" w14:textId="77777777" w:rsidR="00696E1A" w:rsidRPr="00D468AD" w:rsidRDefault="00696E1A" w:rsidP="009F0A04">
            <w:pPr>
              <w:jc w:val="center"/>
              <w:rPr>
                <w:noProof/>
                <w:lang w:val="en-US"/>
              </w:rPr>
            </w:pPr>
            <w:r w:rsidRPr="00D468AD">
              <w:rPr>
                <w:noProof/>
              </w:rPr>
              <w:drawing>
                <wp:inline distT="0" distB="0" distL="0" distR="0" wp14:anchorId="3B1454C4" wp14:editId="1604B45A">
                  <wp:extent cx="954157" cy="593725"/>
                  <wp:effectExtent l="190500" t="190500" r="189230" b="187325"/>
                  <wp:docPr id="28" name="Picture 28" descr="C:\Users\klemensas-ma\Desktop\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emensas-ma\Desktop\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879" cy="62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EF3F49" w14:textId="77777777" w:rsidR="00696E1A" w:rsidRDefault="00696E1A" w:rsidP="006F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BB35A" w14:textId="77777777" w:rsidR="006F6A62" w:rsidRDefault="006F6A62" w:rsidP="006F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FC69C0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>EU funded Twinning Project</w:t>
      </w:r>
    </w:p>
    <w:p w14:paraId="4B71AD5C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</w:p>
    <w:p w14:paraId="63148E9E" w14:textId="77777777" w:rsidR="006F6A62" w:rsidRPr="006F6A62" w:rsidRDefault="006F6A62" w:rsidP="0085085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6A62">
        <w:rPr>
          <w:rFonts w:ascii="Arial" w:eastAsia="Calibri" w:hAnsi="Arial" w:cs="Arial"/>
          <w:bCs/>
          <w:sz w:val="28"/>
          <w:szCs w:val="28"/>
        </w:rPr>
        <w:t>“</w:t>
      </w:r>
      <w:r w:rsidR="00850851" w:rsidRPr="00850851">
        <w:rPr>
          <w:rFonts w:ascii="Times New Roman" w:eastAsia="Calibri" w:hAnsi="Times New Roman" w:cs="Times New Roman"/>
          <w:b/>
          <w:sz w:val="32"/>
          <w:szCs w:val="32"/>
        </w:rPr>
        <w:t>Support to the Antimonopoly Committee of Ukraine (AMCU) in further approximation of legal, procedural and case enforcement practices with EU antitrust and merger control practices</w:t>
      </w:r>
      <w:r w:rsidRPr="006F6A62">
        <w:rPr>
          <w:rFonts w:ascii="Times New Roman" w:eastAsia="Calibri" w:hAnsi="Times New Roman" w:cs="Times New Roman"/>
          <w:bCs/>
          <w:sz w:val="28"/>
          <w:szCs w:val="28"/>
        </w:rPr>
        <w:t>”</w:t>
      </w:r>
    </w:p>
    <w:p w14:paraId="26B03F55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Twinning number: </w:t>
      </w:r>
      <w:r w:rsidR="00850851" w:rsidRPr="00850851">
        <w:rPr>
          <w:rFonts w:ascii="Times New Roman" w:eastAsia="Calibri" w:hAnsi="Times New Roman" w:cs="Times New Roman"/>
          <w:color w:val="000000"/>
          <w:sz w:val="24"/>
          <w:szCs w:val="24"/>
        </w:rPr>
        <w:t>UA 19 ENI FI 02 19</w:t>
      </w:r>
    </w:p>
    <w:p w14:paraId="527A63FD" w14:textId="77777777" w:rsidR="006F6A62" w:rsidRDefault="006F6A62"/>
    <w:p w14:paraId="3C5ABF05" w14:textId="77777777" w:rsidR="006F6A62" w:rsidRDefault="006F6A62"/>
    <w:p w14:paraId="005F020E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>Is seeking to recruit</w:t>
      </w:r>
      <w:r w:rsidR="002F72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</w:t>
      </w:r>
      <w:r w:rsidRPr="006F6A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ssistant</w:t>
      </w: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2F728D">
        <w:rPr>
          <w:rFonts w:ascii="Times New Roman" w:eastAsia="Calibri" w:hAnsi="Times New Roman" w:cs="Times New Roman"/>
          <w:color w:val="000000"/>
          <w:sz w:val="24"/>
          <w:szCs w:val="24"/>
        </w:rPr>
        <w:t>the Resident Twinning Advisor (</w:t>
      </w: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>RTA</w:t>
      </w:r>
      <w:r w:rsidR="002F728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7DE8164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6BCEA" w14:textId="6526B144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Duration: </w:t>
      </w:r>
      <w:r w:rsidR="00850851">
        <w:rPr>
          <w:rFonts w:ascii="Times New Roman" w:eastAsia="Calibri" w:hAnsi="Times New Roman" w:cs="Times New Roman"/>
          <w:color w:val="000000"/>
          <w:sz w:val="24"/>
          <w:szCs w:val="24"/>
        </w:rPr>
        <w:t>till 24</w:t>
      </w:r>
      <w:r w:rsidR="00BC25E8" w:rsidRPr="00BC25E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th</w:t>
      </w:r>
      <w:r w:rsidR="00BC2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</w:t>
      </w:r>
      <w:r w:rsidR="00850851">
        <w:rPr>
          <w:rFonts w:ascii="Times New Roman" w:eastAsia="Calibri" w:hAnsi="Times New Roman" w:cs="Times New Roman"/>
          <w:color w:val="000000"/>
          <w:sz w:val="24"/>
          <w:szCs w:val="24"/>
        </w:rPr>
        <w:t>May</w:t>
      </w:r>
      <w:r w:rsidR="00BC2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50851">
        <w:rPr>
          <w:rFonts w:ascii="Times New Roman" w:eastAsia="Calibri" w:hAnsi="Times New Roman" w:cs="Times New Roman"/>
          <w:color w:val="000000"/>
          <w:sz w:val="24"/>
          <w:szCs w:val="24"/>
        </w:rPr>
        <w:t>022</w:t>
      </w: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(indicati</w:t>
      </w:r>
      <w:r w:rsidR="008508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 start date: </w:t>
      </w:r>
      <w:r w:rsidR="00E03C93">
        <w:rPr>
          <w:rFonts w:ascii="Times New Roman" w:eastAsia="Calibri" w:hAnsi="Times New Roman" w:cs="Times New Roman"/>
          <w:color w:val="000000"/>
          <w:sz w:val="24"/>
          <w:szCs w:val="24"/>
        </w:rPr>
        <w:t>end of November</w:t>
      </w:r>
      <w:r w:rsidR="00BC2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E03C9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14:paraId="195A07DF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ECA598" w14:textId="186B7D02" w:rsidR="006F6A62" w:rsidRPr="006F6A62" w:rsidRDefault="006F6A62" w:rsidP="008508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en-GB" w:eastAsia="de-DE"/>
        </w:rPr>
      </w:pP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>Position is</w:t>
      </w:r>
      <w:r w:rsidR="002F72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based in </w:t>
      </w:r>
      <w:r w:rsidR="00850851" w:rsidRPr="00850851">
        <w:rPr>
          <w:rFonts w:ascii="Times New Roman" w:eastAsia="Calibri" w:hAnsi="Times New Roman" w:cs="Times New Roman"/>
          <w:iCs/>
          <w:sz w:val="24"/>
          <w:szCs w:val="24"/>
          <w:lang w:val="en-GB" w:eastAsia="de-DE"/>
        </w:rPr>
        <w:t>4</w:t>
      </w:r>
      <w:r w:rsidR="00850851">
        <w:rPr>
          <w:rFonts w:ascii="Times New Roman" w:eastAsia="Calibri" w:hAnsi="Times New Roman" w:cs="Times New Roman"/>
          <w:iCs/>
          <w:sz w:val="24"/>
          <w:szCs w:val="24"/>
          <w:lang w:val="en-GB" w:eastAsia="de-DE"/>
        </w:rPr>
        <w:t xml:space="preserve">5, Vasyl Lypkivsky Metropolytus, </w:t>
      </w:r>
      <w:r w:rsidR="00850851" w:rsidRPr="00850851">
        <w:rPr>
          <w:rFonts w:ascii="Times New Roman" w:eastAsia="Calibri" w:hAnsi="Times New Roman" w:cs="Times New Roman"/>
          <w:iCs/>
          <w:sz w:val="24"/>
          <w:szCs w:val="24"/>
          <w:lang w:val="en-GB" w:eastAsia="de-DE"/>
        </w:rPr>
        <w:t>Kyiv, 03035, Ukraine</w:t>
      </w:r>
      <w:r w:rsidR="002F728D">
        <w:rPr>
          <w:rFonts w:ascii="Times New Roman" w:eastAsia="Calibri" w:hAnsi="Times New Roman" w:cs="Times New Roman"/>
          <w:iCs/>
          <w:sz w:val="24"/>
          <w:szCs w:val="24"/>
          <w:lang w:val="en-GB" w:eastAsia="de-DE"/>
        </w:rPr>
        <w:t>.</w:t>
      </w:r>
      <w:r w:rsidR="00E03C93">
        <w:rPr>
          <w:rFonts w:ascii="Times New Roman" w:eastAsia="Calibri" w:hAnsi="Times New Roman" w:cs="Times New Roman"/>
          <w:iCs/>
          <w:sz w:val="24"/>
          <w:szCs w:val="24"/>
          <w:lang w:val="en-GB" w:eastAsia="de-DE"/>
        </w:rPr>
        <w:t xml:space="preserve"> </w:t>
      </w:r>
    </w:p>
    <w:p w14:paraId="6A9978CE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Times New Roman"/>
          <w:iCs/>
          <w:lang w:val="en-GB" w:eastAsia="de-DE"/>
        </w:rPr>
      </w:pPr>
    </w:p>
    <w:p w14:paraId="1CBC66B5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A62">
        <w:rPr>
          <w:rFonts w:ascii="Times New Roman" w:eastAsia="Calibri" w:hAnsi="Times New Roman" w:cs="Times New Roman"/>
          <w:color w:val="000000"/>
          <w:sz w:val="24"/>
          <w:szCs w:val="24"/>
        </w:rPr>
        <w:t>Gross monthly salary: 1.5</w:t>
      </w:r>
      <w:r w:rsidR="002F728D">
        <w:rPr>
          <w:rFonts w:ascii="Times New Roman" w:eastAsia="Calibri" w:hAnsi="Times New Roman" w:cs="Times New Roman"/>
          <w:color w:val="000000"/>
          <w:sz w:val="24"/>
          <w:szCs w:val="24"/>
        </w:rPr>
        <w:t>00 EUR</w:t>
      </w:r>
    </w:p>
    <w:p w14:paraId="02BCE880" w14:textId="77777777" w:rsidR="002F728D" w:rsidRPr="002F728D" w:rsidRDefault="002F728D" w:rsidP="002F72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2F72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Contract type: fixed term service contract. </w:t>
      </w:r>
    </w:p>
    <w:p w14:paraId="24303990" w14:textId="77777777" w:rsidR="002F728D" w:rsidRPr="002F728D" w:rsidRDefault="002F728D" w:rsidP="002F72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2F72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The RTA Assistant will report directly and will be supervised by the RTA.</w:t>
      </w:r>
    </w:p>
    <w:p w14:paraId="691D1298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5F346D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2E6AFFF5" w14:textId="77777777" w:rsidR="006F6A62" w:rsidRPr="006F6A62" w:rsidRDefault="00D442A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Tasks of RTA </w:t>
      </w:r>
      <w:r w:rsidR="006E39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="006F6A62" w:rsidRPr="006F6A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ssistant: </w:t>
      </w:r>
    </w:p>
    <w:p w14:paraId="59EA22FC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Act as a principal assistant to the RTA and visiting short term experts; </w:t>
      </w:r>
    </w:p>
    <w:p w14:paraId="064CF43E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Assisting to the RTA with project co-ordination and management; </w:t>
      </w:r>
    </w:p>
    <w:p w14:paraId="5142A811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Assisting to the RTA in organization of experts’ missions, trainings, seminars, workshops, steering committee meetings, and other project events; </w:t>
      </w:r>
    </w:p>
    <w:p w14:paraId="05368133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Overall management of the office administration, including filing, organizing trainings, expert missions, local travels, general desk office work etc.; </w:t>
      </w:r>
    </w:p>
    <w:p w14:paraId="17074005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Assisting in organization of meetings in cooperation with RTA and Beneficiary Country partners, preparing meeting agenda and taking minutes; </w:t>
      </w:r>
    </w:p>
    <w:p w14:paraId="0C2FC607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Drafting and editing of minutes of meetings, assisting to the RTA in drafting and editing monthly, quarterly and final project reports and any other relevant documents; </w:t>
      </w:r>
    </w:p>
    <w:p w14:paraId="1FCCB597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Developing and maintaining close working contacts and relationships with Beneficiary Country officials involved in each of the activities and the project management; </w:t>
      </w:r>
    </w:p>
    <w:p w14:paraId="0B5F1A6E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Assisting in handling of budget accounting; </w:t>
      </w:r>
    </w:p>
    <w:p w14:paraId="5A85A6C1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>Act as a translator and interpreter (</w:t>
      </w:r>
      <w:r w:rsidR="00E41B31">
        <w:rPr>
          <w:rFonts w:ascii="Times New Roman" w:eastAsia="Calibri" w:hAnsi="Times New Roman" w:cs="Times New Roman"/>
          <w:color w:val="000000"/>
          <w:sz w:val="24"/>
          <w:szCs w:val="24"/>
        </w:rPr>
        <w:t>Ukrainian</w:t>
      </w: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English and English to </w:t>
      </w:r>
      <w:r w:rsidR="00E41B31">
        <w:rPr>
          <w:rFonts w:ascii="Times New Roman" w:eastAsia="Calibri" w:hAnsi="Times New Roman" w:cs="Times New Roman"/>
          <w:color w:val="000000"/>
          <w:sz w:val="24"/>
          <w:szCs w:val="24"/>
        </w:rPr>
        <w:t>Ukrainian</w:t>
      </w: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when needed; </w:t>
      </w:r>
    </w:p>
    <w:p w14:paraId="545B2E2D" w14:textId="77777777" w:rsidR="00E655F8" w:rsidRPr="00E655F8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Arrangement of travel, booking accommodation and study visit; </w:t>
      </w:r>
    </w:p>
    <w:p w14:paraId="49075C0C" w14:textId="77777777" w:rsidR="00A86E9D" w:rsidRDefault="00E655F8" w:rsidP="00E655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5F8">
        <w:rPr>
          <w:rFonts w:ascii="Times New Roman" w:eastAsia="Calibri" w:hAnsi="Times New Roman" w:cs="Times New Roman"/>
          <w:color w:val="000000"/>
          <w:sz w:val="24"/>
          <w:szCs w:val="24"/>
        </w:rPr>
        <w:t>Office management, monitoring telephone and general correspondence</w:t>
      </w:r>
      <w:r w:rsidR="00A86E9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A63212F" w14:textId="77777777" w:rsidR="00E655F8" w:rsidRPr="00A86E9D" w:rsidRDefault="00A86E9D" w:rsidP="00E655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E9D">
        <w:rPr>
          <w:rFonts w:ascii="Times New Roman" w:hAnsi="Times New Roman" w:cs="Times New Roman"/>
          <w:sz w:val="24"/>
          <w:szCs w:val="24"/>
          <w:lang w:val="en-GB"/>
        </w:rPr>
        <w:t xml:space="preserve">Perform other tasks as assigned by </w:t>
      </w:r>
      <w:r w:rsidR="00A61ED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86E9D">
        <w:rPr>
          <w:rFonts w:ascii="Times New Roman" w:hAnsi="Times New Roman" w:cs="Times New Roman"/>
          <w:sz w:val="24"/>
          <w:szCs w:val="24"/>
          <w:lang w:val="en-GB"/>
        </w:rPr>
        <w:t>RTA.</w:t>
      </w:r>
      <w:r w:rsidR="00E655F8" w:rsidRPr="00A86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7FCE656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1D380E" w14:textId="77777777" w:rsidR="006F6A62" w:rsidRPr="006F6A62" w:rsidRDefault="006F6A62" w:rsidP="006F6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A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Requirements for </w:t>
      </w:r>
      <w:r w:rsidR="00E41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RTA </w:t>
      </w:r>
      <w:r w:rsidR="006E39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6F6A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ssistant: </w:t>
      </w:r>
    </w:p>
    <w:p w14:paraId="57FC1726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University degree; </w:t>
      </w:r>
    </w:p>
    <w:p w14:paraId="7D10F121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RTA </w:t>
      </w:r>
      <w:r w:rsidR="00673B0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ssistant may not have or recently (past six months) have had any contractual relation with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the beneficiary administration;</w:t>
      </w:r>
    </w:p>
    <w:p w14:paraId="0DFF8783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Excellent command of spoken and written English and </w:t>
      </w:r>
      <w:r w:rsidR="00673B0F">
        <w:rPr>
          <w:rFonts w:ascii="Times New Roman" w:eastAsia="Calibri" w:hAnsi="Times New Roman" w:cs="Times New Roman"/>
          <w:color w:val="000000"/>
          <w:sz w:val="24"/>
          <w:szCs w:val="24"/>
        </w:rPr>
        <w:t>Ukrainian</w:t>
      </w: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language; </w:t>
      </w:r>
    </w:p>
    <w:p w14:paraId="1EFE5E45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Computer literacy (e.g. Word, Excel, PowerPoint, Internet); </w:t>
      </w:r>
    </w:p>
    <w:p w14:paraId="1F7340F4" w14:textId="77777777" w:rsidR="00E71860" w:rsidRPr="00E71860" w:rsidRDefault="00673B0F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the RTA A</w:t>
      </w:r>
      <w:r w:rsidR="00E71860"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>ssistant must be able to work fairly independently as well as part of a team</w:t>
      </w:r>
      <w:r w:rsidR="00E71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be initiative and flexible;</w:t>
      </w:r>
    </w:p>
    <w:p w14:paraId="238F99D9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>Excellent organiza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tional and communication skills;</w:t>
      </w:r>
    </w:p>
    <w:p w14:paraId="570DDF11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>Some unders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tanding of financial management;</w:t>
      </w:r>
    </w:p>
    <w:p w14:paraId="4A3362B8" w14:textId="77777777" w:rsidR="00E71860" w:rsidRPr="00E71860" w:rsidRDefault="00E71860" w:rsidP="00E718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860">
        <w:rPr>
          <w:rFonts w:ascii="Times New Roman" w:eastAsia="Calibri" w:hAnsi="Times New Roman" w:cs="Times New Roman"/>
          <w:color w:val="000000"/>
          <w:sz w:val="24"/>
          <w:szCs w:val="24"/>
        </w:rPr>
        <w:t>Excellent abilities in drafting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ocuments.</w:t>
      </w:r>
    </w:p>
    <w:p w14:paraId="305F1AFD" w14:textId="77777777" w:rsidR="006F6A62" w:rsidRDefault="006F6A62"/>
    <w:p w14:paraId="4B9B3633" w14:textId="77777777" w:rsidR="006F6A62" w:rsidRPr="006F6A62" w:rsidRDefault="006F6A62" w:rsidP="006F6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62">
        <w:rPr>
          <w:rFonts w:ascii="Times New Roman" w:hAnsi="Times New Roman" w:cs="Times New Roman"/>
          <w:b/>
          <w:bCs/>
          <w:sz w:val="24"/>
          <w:szCs w:val="24"/>
        </w:rPr>
        <w:t xml:space="preserve">The following skills will be considered an asset for </w:t>
      </w:r>
      <w:r w:rsidR="00A23521">
        <w:rPr>
          <w:rFonts w:ascii="Times New Roman" w:hAnsi="Times New Roman" w:cs="Times New Roman"/>
          <w:b/>
          <w:bCs/>
          <w:sz w:val="24"/>
          <w:szCs w:val="24"/>
        </w:rPr>
        <w:t xml:space="preserve">RTA </w:t>
      </w:r>
      <w:r w:rsidR="006E39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F6A62">
        <w:rPr>
          <w:rFonts w:ascii="Times New Roman" w:hAnsi="Times New Roman" w:cs="Times New Roman"/>
          <w:b/>
          <w:bCs/>
          <w:sz w:val="24"/>
          <w:szCs w:val="24"/>
        </w:rPr>
        <w:t xml:space="preserve">ssistant: </w:t>
      </w:r>
    </w:p>
    <w:p w14:paraId="1C7B17A6" w14:textId="77777777" w:rsidR="00673B0F" w:rsidRPr="005B5CAA" w:rsidRDefault="00673B0F" w:rsidP="00673B0F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5B5CAA">
        <w:rPr>
          <w:rFonts w:ascii="Times New Roman" w:hAnsi="Times New Roman" w:cs="Times New Roman"/>
        </w:rPr>
        <w:t xml:space="preserve">Experience in EU funded projects, especially as RTA Assistant in a former Twinning project; </w:t>
      </w:r>
    </w:p>
    <w:p w14:paraId="3946FBF8" w14:textId="77777777" w:rsidR="00673B0F" w:rsidRPr="005B5CAA" w:rsidRDefault="00673B0F" w:rsidP="00673B0F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5B5CAA">
        <w:rPr>
          <w:rFonts w:ascii="Times New Roman" w:hAnsi="Times New Roman" w:cs="Times New Roman"/>
        </w:rPr>
        <w:t xml:space="preserve">Communication skills; </w:t>
      </w:r>
    </w:p>
    <w:p w14:paraId="733D2990" w14:textId="77777777" w:rsidR="00673B0F" w:rsidRPr="005B5CAA" w:rsidRDefault="00673B0F" w:rsidP="00673B0F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5B5CAA">
        <w:rPr>
          <w:rFonts w:ascii="Times New Roman" w:hAnsi="Times New Roman" w:cs="Times New Roman"/>
        </w:rPr>
        <w:t xml:space="preserve">Experience of working in an international environment; </w:t>
      </w:r>
    </w:p>
    <w:p w14:paraId="0C707CAA" w14:textId="77777777" w:rsidR="00673B0F" w:rsidRPr="005B5CAA" w:rsidRDefault="00673B0F" w:rsidP="00673B0F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5B5CAA">
        <w:rPr>
          <w:rFonts w:ascii="Times New Roman" w:hAnsi="Times New Roman" w:cs="Times New Roman"/>
        </w:rPr>
        <w:t xml:space="preserve">Knowledge of the </w:t>
      </w:r>
      <w:r w:rsidR="00AC5854">
        <w:rPr>
          <w:rFonts w:ascii="Times New Roman" w:hAnsi="Times New Roman" w:cs="Times New Roman"/>
        </w:rPr>
        <w:t>Lithuanian, German, Romanian</w:t>
      </w:r>
      <w:r w:rsidRPr="005B5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5B5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Russian</w:t>
      </w:r>
      <w:r w:rsidRPr="005B5CAA">
        <w:rPr>
          <w:rFonts w:ascii="Times New Roman" w:hAnsi="Times New Roman" w:cs="Times New Roman"/>
        </w:rPr>
        <w:t xml:space="preserve"> language</w:t>
      </w:r>
      <w:r>
        <w:rPr>
          <w:rFonts w:ascii="Times New Roman" w:hAnsi="Times New Roman" w:cs="Times New Roman"/>
        </w:rPr>
        <w:t>s</w:t>
      </w:r>
      <w:r w:rsidRPr="005B5CAA">
        <w:rPr>
          <w:rFonts w:ascii="Times New Roman" w:hAnsi="Times New Roman" w:cs="Times New Roman"/>
        </w:rPr>
        <w:t xml:space="preserve">; </w:t>
      </w:r>
    </w:p>
    <w:p w14:paraId="526B4944" w14:textId="77777777" w:rsidR="00673B0F" w:rsidRPr="005B5CAA" w:rsidRDefault="00673B0F" w:rsidP="00673B0F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5B5CAA">
        <w:rPr>
          <w:rFonts w:ascii="Times New Roman" w:hAnsi="Times New Roman" w:cs="Times New Roman"/>
        </w:rPr>
        <w:t xml:space="preserve">Knowledge of EU policies and institutions; </w:t>
      </w:r>
    </w:p>
    <w:p w14:paraId="78E6A8CA" w14:textId="77777777" w:rsidR="006F6A62" w:rsidRPr="00673B0F" w:rsidRDefault="00673B0F" w:rsidP="00673B0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B5CAA"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</w:rPr>
        <w:t xml:space="preserve"> </w:t>
      </w:r>
      <w:r w:rsidRPr="005B5CAA">
        <w:rPr>
          <w:rFonts w:ascii="Times New Roman" w:hAnsi="Times New Roman" w:cs="Times New Roman"/>
        </w:rPr>
        <w:t xml:space="preserve">player. </w:t>
      </w:r>
    </w:p>
    <w:p w14:paraId="43E64D96" w14:textId="77777777" w:rsidR="006F6A62" w:rsidRPr="006F6A62" w:rsidRDefault="006F6A62" w:rsidP="006F6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3B453C" w14:textId="4B23A086" w:rsidR="006F6A62" w:rsidRPr="006F6A62" w:rsidRDefault="00A86E9D" w:rsidP="006F6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</w:t>
      </w:r>
      <w:r w:rsidR="006F6A62" w:rsidRPr="006F6A62">
        <w:rPr>
          <w:rFonts w:ascii="Times New Roman" w:hAnsi="Times New Roman" w:cs="Times New Roman"/>
          <w:sz w:val="24"/>
          <w:szCs w:val="24"/>
        </w:rPr>
        <w:t xml:space="preserve">nterested candidates are requested to submit their </w:t>
      </w:r>
      <w:r w:rsidR="006F6A62" w:rsidRPr="006E3904">
        <w:rPr>
          <w:rFonts w:ascii="Times New Roman" w:hAnsi="Times New Roman" w:cs="Times New Roman"/>
          <w:b/>
          <w:sz w:val="24"/>
          <w:szCs w:val="24"/>
        </w:rPr>
        <w:t>CV and a letter of application</w:t>
      </w:r>
      <w:r w:rsidR="006F6A62" w:rsidRPr="006F6A62">
        <w:rPr>
          <w:rFonts w:ascii="Times New Roman" w:hAnsi="Times New Roman" w:cs="Times New Roman"/>
          <w:sz w:val="24"/>
          <w:szCs w:val="24"/>
        </w:rPr>
        <w:t xml:space="preserve"> in English </w:t>
      </w:r>
      <w:r w:rsidR="00AC5854">
        <w:rPr>
          <w:rFonts w:ascii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3C93">
        <w:rPr>
          <w:rFonts w:ascii="Times New Roman" w:hAnsi="Times New Roman" w:cs="Times New Roman"/>
          <w:b/>
          <w:sz w:val="24"/>
          <w:szCs w:val="24"/>
        </w:rPr>
        <w:t>9</w:t>
      </w:r>
      <w:r w:rsidR="006F6A62" w:rsidRPr="006F6A6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C5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93">
        <w:rPr>
          <w:rFonts w:ascii="Times New Roman" w:hAnsi="Times New Roman" w:cs="Times New Roman"/>
          <w:b/>
          <w:sz w:val="24"/>
          <w:szCs w:val="24"/>
        </w:rPr>
        <w:t>November</w:t>
      </w:r>
      <w:r w:rsidR="00AB5EC1">
        <w:rPr>
          <w:rFonts w:ascii="Times New Roman" w:hAnsi="Times New Roman" w:cs="Times New Roman"/>
          <w:b/>
          <w:sz w:val="24"/>
          <w:szCs w:val="24"/>
        </w:rPr>
        <w:t>, 202</w:t>
      </w:r>
      <w:r w:rsidR="00E03C93">
        <w:rPr>
          <w:rFonts w:ascii="Times New Roman" w:hAnsi="Times New Roman" w:cs="Times New Roman"/>
          <w:b/>
          <w:sz w:val="24"/>
          <w:szCs w:val="24"/>
        </w:rPr>
        <w:t>1</w:t>
      </w:r>
      <w:r w:rsidR="006F6A62" w:rsidRPr="006F6A62">
        <w:rPr>
          <w:rFonts w:ascii="Times New Roman" w:hAnsi="Times New Roman" w:cs="Times New Roman"/>
          <w:sz w:val="24"/>
          <w:szCs w:val="24"/>
        </w:rPr>
        <w:t xml:space="preserve"> via e-mail to the following address</w:t>
      </w:r>
      <w:r w:rsidR="001052C2">
        <w:rPr>
          <w:rFonts w:ascii="Times New Roman" w:hAnsi="Times New Roman" w:cs="Times New Roman"/>
          <w:sz w:val="24"/>
          <w:szCs w:val="24"/>
        </w:rPr>
        <w:t>es</w:t>
      </w:r>
      <w:r w:rsidR="006F6A62" w:rsidRPr="006F6A62">
        <w:rPr>
          <w:rFonts w:ascii="Times New Roman" w:hAnsi="Times New Roman" w:cs="Times New Roman"/>
          <w:sz w:val="24"/>
          <w:szCs w:val="24"/>
        </w:rPr>
        <w:t>:</w:t>
      </w:r>
      <w:r w:rsidR="001052C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74614" w:rsidRPr="004B716C">
          <w:rPr>
            <w:rStyle w:val="Hyperlink"/>
            <w:rFonts w:ascii="Times New Roman" w:hAnsi="Times New Roman" w:cs="Times New Roman"/>
            <w:sz w:val="24"/>
            <w:szCs w:val="24"/>
          </w:rPr>
          <w:t>sarunas.pajarskas@kt.gov.lt</w:t>
        </w:r>
      </w:hyperlink>
      <w:r w:rsidR="0017461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/>
      <w:r w:rsidR="001052C2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5" w:history="1">
        <w:r w:rsidR="001052C2" w:rsidRPr="00C46641">
          <w:rPr>
            <w:rStyle w:val="Hyperlink"/>
            <w:rFonts w:ascii="Times New Roman" w:hAnsi="Times New Roman" w:cs="Times New Roman"/>
            <w:sz w:val="24"/>
            <w:szCs w:val="24"/>
          </w:rPr>
          <w:t>d.kontrimavicius@cpva.lt</w:t>
        </w:r>
      </w:hyperlink>
      <w:r w:rsidR="006F6A62" w:rsidRPr="006F6A62">
        <w:rPr>
          <w:rFonts w:ascii="Times New Roman" w:hAnsi="Times New Roman" w:cs="Times New Roman"/>
          <w:bCs/>
          <w:sz w:val="24"/>
          <w:szCs w:val="24"/>
        </w:rPr>
        <w:t>.</w:t>
      </w:r>
      <w:r w:rsidR="006F6A62" w:rsidRPr="006F6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A62" w:rsidRPr="006E3904">
        <w:rPr>
          <w:rFonts w:ascii="Times New Roman" w:hAnsi="Times New Roman" w:cs="Times New Roman"/>
          <w:b/>
          <w:sz w:val="24"/>
          <w:szCs w:val="24"/>
        </w:rPr>
        <w:t>Shortlisted candidates only will be invited to attend an interview</w:t>
      </w:r>
      <w:r w:rsidR="006F6A62" w:rsidRPr="006F6A62">
        <w:rPr>
          <w:rFonts w:ascii="Times New Roman" w:hAnsi="Times New Roman" w:cs="Times New Roman"/>
          <w:sz w:val="24"/>
          <w:szCs w:val="24"/>
        </w:rPr>
        <w:t>. The date and place of the interview will be additionally indicated to the shortlisted candidates.</w:t>
      </w:r>
    </w:p>
    <w:p w14:paraId="7DDC1584" w14:textId="77777777" w:rsidR="006F6A62" w:rsidRPr="006F6A62" w:rsidRDefault="006F6A62" w:rsidP="006F6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A62">
        <w:rPr>
          <w:rFonts w:ascii="Times New Roman" w:hAnsi="Times New Roman" w:cs="Times New Roman"/>
          <w:sz w:val="24"/>
          <w:szCs w:val="24"/>
        </w:rPr>
        <w:t>For any further information please contact</w:t>
      </w:r>
      <w:r w:rsidR="00A86E9D">
        <w:rPr>
          <w:rFonts w:ascii="Times New Roman" w:hAnsi="Times New Roman" w:cs="Times New Roman"/>
          <w:sz w:val="24"/>
          <w:szCs w:val="24"/>
        </w:rPr>
        <w:t xml:space="preserve"> Mr. Sarunas </w:t>
      </w:r>
      <w:r w:rsidR="00A86E9D" w:rsidRPr="00174614">
        <w:rPr>
          <w:rFonts w:ascii="Times New Roman" w:hAnsi="Times New Roman" w:cs="Times New Roman"/>
          <w:sz w:val="24"/>
          <w:szCs w:val="24"/>
        </w:rPr>
        <w:t>Pajarskas</w:t>
      </w:r>
      <w:r w:rsidRPr="00174614">
        <w:rPr>
          <w:rFonts w:ascii="Times New Roman" w:hAnsi="Times New Roman" w:cs="Times New Roman"/>
          <w:sz w:val="24"/>
          <w:szCs w:val="24"/>
        </w:rPr>
        <w:t>,</w:t>
      </w:r>
      <w:r w:rsidRPr="006F6A6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6" w:history="1">
        <w:r w:rsidR="00174614" w:rsidRPr="004B716C">
          <w:rPr>
            <w:rStyle w:val="Hyperlink"/>
            <w:rFonts w:ascii="Times New Roman" w:hAnsi="Times New Roman" w:cs="Times New Roman"/>
            <w:sz w:val="24"/>
            <w:szCs w:val="24"/>
          </w:rPr>
          <w:t>sarunas.pajarskas@kt.gov.lt</w:t>
        </w:r>
      </w:hyperlink>
      <w:r w:rsidR="006E3904">
        <w:rPr>
          <w:rFonts w:ascii="Times New Roman" w:hAnsi="Times New Roman" w:cs="Times New Roman"/>
          <w:sz w:val="24"/>
          <w:szCs w:val="24"/>
        </w:rPr>
        <w:t>, and</w:t>
      </w:r>
      <w:r w:rsidR="001052C2">
        <w:rPr>
          <w:rFonts w:ascii="Times New Roman" w:hAnsi="Times New Roman" w:cs="Times New Roman"/>
          <w:sz w:val="24"/>
          <w:szCs w:val="24"/>
        </w:rPr>
        <w:t xml:space="preserve"> Mr. Dalius Kontrimavičius </w:t>
      </w:r>
      <w:hyperlink r:id="rId17" w:history="1">
        <w:r w:rsidR="001052C2" w:rsidRPr="00C46641">
          <w:rPr>
            <w:rStyle w:val="Hyperlink"/>
            <w:rFonts w:ascii="Times New Roman" w:hAnsi="Times New Roman" w:cs="Times New Roman"/>
            <w:sz w:val="24"/>
            <w:szCs w:val="24"/>
          </w:rPr>
          <w:t>d.kontrimavicius@cpva.lt</w:t>
        </w:r>
      </w:hyperlink>
      <w:r w:rsidRPr="006F6A6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325991" w14:textId="77777777" w:rsidR="006F6A62" w:rsidRDefault="006F6A62"/>
    <w:p w14:paraId="49A3102D" w14:textId="77777777" w:rsidR="00CC636C" w:rsidRDefault="00CC636C" w:rsidP="00696E1A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The above-mentioned Twinning project is an EU funded joint project between </w:t>
      </w:r>
      <w:r w:rsidRPr="00CC636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Lithuania</w:t>
      </w: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represented by </w:t>
      </w:r>
      <w:r w:rsidR="00AC5854" w:rsidRP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Competition Council of the Republic of Lithuania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(</w:t>
      </w:r>
      <w:r w:rsidR="00AC5854" w:rsidRP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CCRL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) together with </w:t>
      </w: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Central</w:t>
      </w:r>
      <w:r w:rsid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Project Management Agency (CPM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</w:t>
      </w: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r w:rsidR="00AC5854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Germany</w:t>
      </w:r>
      <w:r w:rsidRPr="00CC636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,</w:t>
      </w: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represented by </w:t>
      </w:r>
      <w:r w:rsidR="00696E1A" w:rsidRP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Federal Ministry of Economic Affairs and Energy</w:t>
      </w:r>
      <w:r w:rsid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(BMWi) together with </w:t>
      </w:r>
      <w:r w:rsidR="00696E1A" w:rsidRP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Deutsche Gesellschaft für Internationale Zusammenarbeit (GIZ</w:t>
      </w:r>
      <w:r w:rsid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)</w:t>
      </w:r>
      <w:r w:rsid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r w:rsidR="00AC5854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Romania</w:t>
      </w:r>
      <w:r w:rsidR="00AC5854" w:rsidRP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represented by </w:t>
      </w:r>
      <w:r w:rsidR="00696E1A" w:rsidRP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Romanian Competition Council </w:t>
      </w:r>
      <w:r w:rsid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(RCC</w:t>
      </w:r>
      <w:r w:rsidR="00AC5854" w:rsidRP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)</w:t>
      </w:r>
      <w:r w:rsidR="00696E1A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together with </w:t>
      </w:r>
      <w:r w:rsidR="00696E1A" w:rsidRPr="0030455D">
        <w:rPr>
          <w:rFonts w:ascii="Times New Roman" w:hAnsi="Times New Roman"/>
          <w:szCs w:val="24"/>
        </w:rPr>
        <w:t>General Directorate</w:t>
      </w:r>
      <w:r w:rsidR="00696E1A">
        <w:rPr>
          <w:rFonts w:ascii="Times New Roman" w:hAnsi="Times New Roman"/>
          <w:szCs w:val="24"/>
        </w:rPr>
        <w:t xml:space="preserve"> </w:t>
      </w:r>
      <w:r w:rsidR="00696E1A" w:rsidRPr="00833DB4">
        <w:rPr>
          <w:rFonts w:ascii="Times New Roman" w:hAnsi="Times New Roman"/>
          <w:szCs w:val="24"/>
        </w:rPr>
        <w:t>for Mechanisms and Non-reimbursable European Financial Instruments within the Ministry of European Funds</w:t>
      </w:r>
      <w:r w:rsidR="00696E1A" w:rsidRPr="00B56E60">
        <w:rPr>
          <w:rFonts w:ascii="Times New Roman" w:hAnsi="Times New Roman"/>
          <w:szCs w:val="24"/>
        </w:rPr>
        <w:t xml:space="preserve"> (</w:t>
      </w:r>
      <w:r w:rsidR="00696E1A">
        <w:rPr>
          <w:rFonts w:ascii="Times New Roman" w:hAnsi="Times New Roman"/>
          <w:szCs w:val="24"/>
        </w:rPr>
        <w:t>TwTAAA</w:t>
      </w:r>
      <w:r w:rsidR="00696E1A" w:rsidRPr="00B56E60">
        <w:rPr>
          <w:rFonts w:ascii="Times New Roman" w:hAnsi="Times New Roman"/>
          <w:szCs w:val="24"/>
        </w:rPr>
        <w:t>)</w:t>
      </w:r>
      <w:r w:rsidR="00696E1A"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and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Ukraine</w:t>
      </w:r>
      <w:r w:rsidRPr="00CC636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,</w:t>
      </w: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represented by the </w:t>
      </w:r>
      <w:r w:rsidR="00AC5854" w:rsidRP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Antimonopoly Committee of Ukraine</w:t>
      </w:r>
      <w:r w:rsidR="00AC5854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(AMCU).</w:t>
      </w:r>
      <w:r w:rsidRPr="00CC636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FB07BF9" w14:textId="77777777" w:rsidR="00CC636C" w:rsidRPr="00CC636C" w:rsidRDefault="00CC636C" w:rsidP="00CC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14:paraId="0090A8F9" w14:textId="77777777" w:rsidR="00CC636C" w:rsidRPr="00CC636C" w:rsidRDefault="00CC636C" w:rsidP="00CC636C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636C">
        <w:rPr>
          <w:rFonts w:ascii="Times New Roman" w:eastAsia="Calibri" w:hAnsi="Times New Roman" w:cs="Times New Roman"/>
          <w:b/>
          <w:sz w:val="24"/>
          <w:szCs w:val="24"/>
          <w:lang w:val="en-GB"/>
        </w:rPr>
        <w:lastRenderedPageBreak/>
        <w:t>The purpose of the project</w:t>
      </w:r>
      <w:r w:rsidRPr="00CC63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to </w:t>
      </w:r>
      <w:r w:rsidR="00696E1A" w:rsidRPr="00696E1A">
        <w:rPr>
          <w:rFonts w:ascii="Times New Roman" w:eastAsia="Calibri" w:hAnsi="Times New Roman" w:cs="Times New Roman"/>
          <w:sz w:val="24"/>
          <w:szCs w:val="24"/>
          <w:lang w:val="en-GB"/>
        </w:rPr>
        <w:t>increase effectiveness, transparency and consistency of the competition policy in Ukraine on the basis of closer alignment with the EU competition framework, as required by AA/DCFTA.</w:t>
      </w:r>
    </w:p>
    <w:p w14:paraId="48AEFDB2" w14:textId="77777777" w:rsidR="00CC636C" w:rsidRPr="00CC636C" w:rsidRDefault="00CC636C" w:rsidP="00CC636C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63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selected person will be a self-employed independent consultant under a Service Contract and will undertake full responsibility for the payment of all taxes and obligations deriving from the legislation in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force in the Republic of Ukraine</w:t>
      </w:r>
      <w:r w:rsidRPr="00CC63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including for those related to medical and social insurance. The </w:t>
      </w:r>
      <w:r w:rsidR="00E628BA" w:rsidRPr="00CC63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RTA </w:t>
      </w:r>
      <w:r w:rsidR="00E628BA">
        <w:rPr>
          <w:rFonts w:ascii="Times New Roman" w:eastAsia="Calibri" w:hAnsi="Times New Roman" w:cs="Times New Roman"/>
          <w:sz w:val="24"/>
          <w:szCs w:val="24"/>
          <w:lang w:val="en-GB"/>
        </w:rPr>
        <w:t>Assistant</w:t>
      </w:r>
      <w:r w:rsidRPr="00CC63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carry his/her duties and tasks on the base of contract conclude</w:t>
      </w:r>
      <w:r w:rsidR="001E4411">
        <w:rPr>
          <w:rFonts w:ascii="Times New Roman" w:eastAsia="Calibri" w:hAnsi="Times New Roman" w:cs="Times New Roman"/>
          <w:sz w:val="24"/>
          <w:szCs w:val="24"/>
          <w:lang w:val="en-GB"/>
        </w:rPr>
        <w:t>d with the CPM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 and RTA</w:t>
      </w:r>
      <w:r w:rsidRPr="00CC636C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7C477A11" w14:textId="77777777" w:rsidR="00CC636C" w:rsidRDefault="00CC636C"/>
    <w:sectPr w:rsidR="00CC636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BB0B" w14:textId="77777777" w:rsidR="002E4C12" w:rsidRDefault="002E4C12" w:rsidP="006F6A62">
      <w:pPr>
        <w:spacing w:after="0" w:line="240" w:lineRule="auto"/>
      </w:pPr>
      <w:r>
        <w:separator/>
      </w:r>
    </w:p>
  </w:endnote>
  <w:endnote w:type="continuationSeparator" w:id="0">
    <w:p w14:paraId="640FB93A" w14:textId="77777777" w:rsidR="002E4C12" w:rsidRDefault="002E4C12" w:rsidP="006F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AFAB" w14:textId="77777777" w:rsidR="002E4C12" w:rsidRDefault="002E4C12" w:rsidP="006F6A62">
      <w:pPr>
        <w:spacing w:after="0" w:line="240" w:lineRule="auto"/>
      </w:pPr>
      <w:r>
        <w:separator/>
      </w:r>
    </w:p>
  </w:footnote>
  <w:footnote w:type="continuationSeparator" w:id="0">
    <w:p w14:paraId="4D722D4B" w14:textId="77777777" w:rsidR="002E4C12" w:rsidRDefault="002E4C12" w:rsidP="006F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B53"/>
    <w:multiLevelType w:val="hybridMultilevel"/>
    <w:tmpl w:val="F2600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57E3"/>
    <w:multiLevelType w:val="hybridMultilevel"/>
    <w:tmpl w:val="E306D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2DB0"/>
    <w:multiLevelType w:val="hybridMultilevel"/>
    <w:tmpl w:val="08DC4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73E9"/>
    <w:multiLevelType w:val="hybridMultilevel"/>
    <w:tmpl w:val="E416D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C2802"/>
    <w:multiLevelType w:val="hybridMultilevel"/>
    <w:tmpl w:val="259C3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6A73"/>
    <w:multiLevelType w:val="hybridMultilevel"/>
    <w:tmpl w:val="3378F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62"/>
    <w:rsid w:val="001052C2"/>
    <w:rsid w:val="00152513"/>
    <w:rsid w:val="00174614"/>
    <w:rsid w:val="001D036C"/>
    <w:rsid w:val="001E4411"/>
    <w:rsid w:val="0025510D"/>
    <w:rsid w:val="002E4C12"/>
    <w:rsid w:val="002F728D"/>
    <w:rsid w:val="003829CF"/>
    <w:rsid w:val="003D37E6"/>
    <w:rsid w:val="00474F5D"/>
    <w:rsid w:val="004D7998"/>
    <w:rsid w:val="00673B0F"/>
    <w:rsid w:val="00696E1A"/>
    <w:rsid w:val="006C61CC"/>
    <w:rsid w:val="006E3904"/>
    <w:rsid w:val="006F6A62"/>
    <w:rsid w:val="00850851"/>
    <w:rsid w:val="009847A0"/>
    <w:rsid w:val="00987189"/>
    <w:rsid w:val="009D51A5"/>
    <w:rsid w:val="009D73FC"/>
    <w:rsid w:val="00A23521"/>
    <w:rsid w:val="00A61ED0"/>
    <w:rsid w:val="00A86E9D"/>
    <w:rsid w:val="00AB5EC1"/>
    <w:rsid w:val="00AC5854"/>
    <w:rsid w:val="00B00A31"/>
    <w:rsid w:val="00BC25E8"/>
    <w:rsid w:val="00C352B6"/>
    <w:rsid w:val="00CC636C"/>
    <w:rsid w:val="00D442A2"/>
    <w:rsid w:val="00E03C93"/>
    <w:rsid w:val="00E41B31"/>
    <w:rsid w:val="00E628BA"/>
    <w:rsid w:val="00E655F8"/>
    <w:rsid w:val="00E71860"/>
    <w:rsid w:val="00F47E8F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16E22"/>
  <w15:chartTrackingRefBased/>
  <w15:docId w15:val="{67E95188-A199-4E4B-9046-7015383C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A6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62"/>
  </w:style>
  <w:style w:type="paragraph" w:styleId="Footer">
    <w:name w:val="footer"/>
    <w:basedOn w:val="Normal"/>
    <w:link w:val="FooterChar"/>
    <w:uiPriority w:val="99"/>
    <w:unhideWhenUsed/>
    <w:rsid w:val="006F6A6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62"/>
  </w:style>
  <w:style w:type="table" w:styleId="TableGrid">
    <w:name w:val="Table Grid"/>
    <w:basedOn w:val="TableNormal"/>
    <w:uiPriority w:val="39"/>
    <w:rsid w:val="006F6A62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lt-L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A62"/>
    <w:rPr>
      <w:color w:val="0563C1" w:themeColor="hyperlink"/>
      <w:u w:val="single"/>
    </w:rPr>
  </w:style>
  <w:style w:type="paragraph" w:customStyle="1" w:styleId="Default">
    <w:name w:val="Default"/>
    <w:rsid w:val="0067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9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unas.pajarskas@kt.gov.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.kontrimavicius@cpva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runas.pajarskas@kt.gov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.kontrimavicius@cpva.l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257B-1755-4DD5-8ED5-525CCE96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Kontrimavičius</dc:creator>
  <cp:keywords/>
  <dc:description/>
  <cp:lastModifiedBy>Dalius Kontrimavičius</cp:lastModifiedBy>
  <cp:revision>3</cp:revision>
  <dcterms:created xsi:type="dcterms:W3CDTF">2021-11-10T05:50:00Z</dcterms:created>
  <dcterms:modified xsi:type="dcterms:W3CDTF">2021-11-10T05:54:00Z</dcterms:modified>
</cp:coreProperties>
</file>