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CellSpacing w:w="20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55"/>
      </w:tblGrid>
      <w:tr w:rsidR="00247C52" w:rsidRPr="00785E5C" w:rsidTr="006159F0">
        <w:trPr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0B3EF6" w:rsidRPr="00785E5C" w:rsidRDefault="00247C52" w:rsidP="008B4141">
            <w:pPr>
              <w:rPr>
                <w:b/>
              </w:rPr>
            </w:pPr>
            <w:bookmarkStart w:id="0" w:name="_GoBack"/>
            <w:bookmarkEnd w:id="0"/>
            <w:r w:rsidRPr="00785E5C">
              <w:rPr>
                <w:b/>
              </w:rPr>
              <w:t xml:space="preserve">Coordinator </w:t>
            </w:r>
          </w:p>
        </w:tc>
        <w:tc>
          <w:tcPr>
            <w:tcW w:w="7595" w:type="dxa"/>
          </w:tcPr>
          <w:p w:rsidR="00D82F69" w:rsidRPr="00785E5C" w:rsidRDefault="00D82F69" w:rsidP="00D82F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Ingolstadt Uni</w:t>
            </w:r>
            <w:r w:rsidR="00785E5C">
              <w:rPr>
                <w:rFonts w:eastAsiaTheme="minorHAnsi"/>
                <w:lang w:eastAsia="en-US"/>
              </w:rPr>
              <w:t>versity of Applied Sciences,  (German</w:t>
            </w:r>
            <w:r w:rsidR="00294DAB">
              <w:rPr>
                <w:rFonts w:eastAsiaTheme="minorHAnsi"/>
                <w:lang w:eastAsia="en-US"/>
              </w:rPr>
              <w:t>y</w:t>
            </w:r>
            <w:r w:rsidR="00785E5C">
              <w:rPr>
                <w:rFonts w:eastAsiaTheme="minorHAnsi"/>
                <w:lang w:eastAsia="en-US"/>
              </w:rPr>
              <w:t xml:space="preserve">) </w:t>
            </w:r>
          </w:p>
          <w:p w:rsidR="000B3EF6" w:rsidRPr="00A31B61" w:rsidRDefault="00D82F69" w:rsidP="00D82F69">
            <w:pPr>
              <w:jc w:val="both"/>
              <w:rPr>
                <w:smallCaps/>
              </w:rPr>
            </w:pPr>
            <w:r w:rsidRPr="00A31B61">
              <w:rPr>
                <w:rFonts w:eastAsiaTheme="minorHAnsi"/>
                <w:iCs/>
                <w:smallCaps/>
                <w:lang w:eastAsia="en-US"/>
              </w:rPr>
              <w:t>CENTRE OF EXCELLENCE FOR RENEWABLE ENERGY RESEARCH</w:t>
            </w:r>
          </w:p>
        </w:tc>
      </w:tr>
      <w:tr w:rsidR="00247C52" w:rsidRPr="00707468" w:rsidTr="006159F0">
        <w:trPr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247C52" w:rsidRPr="00785E5C" w:rsidRDefault="00247C52" w:rsidP="008B4141">
            <w:pPr>
              <w:rPr>
                <w:b/>
              </w:rPr>
            </w:pPr>
            <w:r w:rsidRPr="00785E5C">
              <w:rPr>
                <w:b/>
              </w:rPr>
              <w:t>Co-Applicant</w:t>
            </w:r>
            <w:r w:rsidR="0066018B">
              <w:rPr>
                <w:b/>
              </w:rPr>
              <w:t>s</w:t>
            </w:r>
            <w:r w:rsidRPr="00785E5C">
              <w:rPr>
                <w:b/>
              </w:rPr>
              <w:t xml:space="preserve"> </w:t>
            </w:r>
          </w:p>
        </w:tc>
        <w:tc>
          <w:tcPr>
            <w:tcW w:w="7595" w:type="dxa"/>
          </w:tcPr>
          <w:p w:rsidR="00D82F69" w:rsidRPr="00785E5C" w:rsidRDefault="00D82F69" w:rsidP="00D82F6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Botswana International University of Science and Technology</w:t>
            </w:r>
          </w:p>
          <w:p w:rsidR="00247C52" w:rsidRPr="00785E5C" w:rsidRDefault="00D82F69" w:rsidP="00D82F69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BIUST (</w:t>
            </w:r>
            <w:proofErr w:type="spellStart"/>
            <w:r w:rsidRPr="00785E5C">
              <w:rPr>
                <w:rFonts w:eastAsiaTheme="minorHAnsi"/>
                <w:lang w:eastAsia="en-US"/>
              </w:rPr>
              <w:t>Botwana</w:t>
            </w:r>
            <w:proofErr w:type="spellEnd"/>
            <w:r w:rsidRPr="00785E5C">
              <w:rPr>
                <w:rFonts w:eastAsiaTheme="minorHAnsi"/>
                <w:lang w:eastAsia="en-US"/>
              </w:rPr>
              <w:t>)</w:t>
            </w:r>
          </w:p>
          <w:p w:rsidR="00D82F69" w:rsidRPr="00785E5C" w:rsidRDefault="00D82F69" w:rsidP="00D82F69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785E5C">
              <w:rPr>
                <w:rFonts w:eastAsiaTheme="minorHAnsi"/>
                <w:lang w:eastAsia="en-US"/>
              </w:rPr>
              <w:t>Gobabeb</w:t>
            </w:r>
            <w:proofErr w:type="spellEnd"/>
            <w:r w:rsidRPr="00785E5C">
              <w:rPr>
                <w:rFonts w:eastAsiaTheme="minorHAnsi"/>
                <w:lang w:eastAsia="en-US"/>
              </w:rPr>
              <w:t xml:space="preserve"> Research &amp; Training Centre –GRT</w:t>
            </w:r>
            <w:r w:rsidR="0066018B">
              <w:rPr>
                <w:rFonts w:eastAsiaTheme="minorHAnsi"/>
                <w:lang w:eastAsia="en-US"/>
              </w:rPr>
              <w:t>C</w:t>
            </w:r>
            <w:r w:rsidRPr="00785E5C">
              <w:rPr>
                <w:rFonts w:eastAsiaTheme="minorHAnsi"/>
                <w:lang w:eastAsia="en-US"/>
              </w:rPr>
              <w:t xml:space="preserve"> (Namibia) </w:t>
            </w:r>
          </w:p>
          <w:p w:rsidR="00D82F69" w:rsidRPr="00785E5C" w:rsidRDefault="00D82F69" w:rsidP="00D82F69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HAnsi"/>
                <w:lang w:val="it-IT" w:eastAsia="en-US"/>
              </w:rPr>
            </w:pPr>
            <w:r w:rsidRPr="00785E5C">
              <w:rPr>
                <w:rFonts w:eastAsiaTheme="minorHAnsi"/>
                <w:lang w:val="it-IT" w:eastAsia="en-US"/>
              </w:rPr>
              <w:t xml:space="preserve">Okavango </w:t>
            </w:r>
            <w:proofErr w:type="spellStart"/>
            <w:r w:rsidRPr="00785E5C">
              <w:rPr>
                <w:rFonts w:eastAsiaTheme="minorHAnsi"/>
                <w:lang w:val="it-IT" w:eastAsia="en-US"/>
              </w:rPr>
              <w:t>Research</w:t>
            </w:r>
            <w:proofErr w:type="spellEnd"/>
            <w:r w:rsidRPr="00785E5C">
              <w:rPr>
                <w:rFonts w:eastAsiaTheme="minorHAnsi"/>
                <w:lang w:val="it-IT" w:eastAsia="en-US"/>
              </w:rPr>
              <w:t xml:space="preserve"> </w:t>
            </w:r>
            <w:proofErr w:type="spellStart"/>
            <w:r w:rsidRPr="00785E5C">
              <w:rPr>
                <w:rFonts w:eastAsiaTheme="minorHAnsi"/>
                <w:lang w:val="it-IT" w:eastAsia="en-US"/>
              </w:rPr>
              <w:t>Institute</w:t>
            </w:r>
            <w:proofErr w:type="spellEnd"/>
            <w:r w:rsidRPr="00785E5C">
              <w:rPr>
                <w:rFonts w:eastAsiaTheme="minorHAnsi"/>
                <w:lang w:val="it-IT" w:eastAsia="en-US"/>
              </w:rPr>
              <w:t xml:space="preserve"> –ORI (</w:t>
            </w:r>
            <w:proofErr w:type="spellStart"/>
            <w:r w:rsidRPr="00785E5C">
              <w:rPr>
                <w:rFonts w:eastAsiaTheme="minorHAnsi"/>
                <w:lang w:val="it-IT" w:eastAsia="en-US"/>
              </w:rPr>
              <w:t>Botwana</w:t>
            </w:r>
            <w:proofErr w:type="spellEnd"/>
            <w:r w:rsidRPr="00785E5C">
              <w:rPr>
                <w:rFonts w:eastAsiaTheme="minorHAnsi"/>
                <w:lang w:val="it-IT" w:eastAsia="en-US"/>
              </w:rPr>
              <w:t>)</w:t>
            </w:r>
          </w:p>
          <w:p w:rsidR="00D82F69" w:rsidRPr="00A31B61" w:rsidRDefault="00D82F69" w:rsidP="00D82F69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HAnsi"/>
                <w:color w:val="0000FF"/>
                <w:lang w:eastAsia="en-US"/>
              </w:rPr>
            </w:pPr>
            <w:r w:rsidRPr="00A31B61">
              <w:rPr>
                <w:rFonts w:eastAsiaTheme="minorHAnsi"/>
                <w:color w:val="0000FF"/>
                <w:lang w:eastAsia="en-US"/>
              </w:rPr>
              <w:t>Namibia University of Science and Tech</w:t>
            </w:r>
            <w:r w:rsidR="0066018B" w:rsidRPr="00A31B61">
              <w:rPr>
                <w:rFonts w:eastAsiaTheme="minorHAnsi"/>
                <w:color w:val="0000FF"/>
                <w:lang w:eastAsia="en-US"/>
              </w:rPr>
              <w:t>no</w:t>
            </w:r>
            <w:r w:rsidRPr="00A31B61">
              <w:rPr>
                <w:rFonts w:eastAsiaTheme="minorHAnsi"/>
                <w:color w:val="0000FF"/>
                <w:lang w:eastAsia="en-US"/>
              </w:rPr>
              <w:t xml:space="preserve">logy –NUST </w:t>
            </w:r>
            <w:r w:rsidR="0066018B" w:rsidRPr="00A31B61">
              <w:rPr>
                <w:rFonts w:eastAsiaTheme="minorHAnsi"/>
                <w:color w:val="0000FF"/>
                <w:lang w:eastAsia="en-US"/>
              </w:rPr>
              <w:t xml:space="preserve"> (N</w:t>
            </w:r>
            <w:r w:rsidRPr="00A31B61">
              <w:rPr>
                <w:rFonts w:eastAsiaTheme="minorHAnsi"/>
                <w:color w:val="0000FF"/>
                <w:lang w:eastAsia="en-US"/>
              </w:rPr>
              <w:t xml:space="preserve">amibia) </w:t>
            </w:r>
          </w:p>
          <w:p w:rsidR="00D82F69" w:rsidRPr="00785E5C" w:rsidRDefault="00D82F69" w:rsidP="00D82F69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HAnsi"/>
                <w:lang w:val="it-IT" w:eastAsia="en-US"/>
              </w:rPr>
            </w:pPr>
            <w:proofErr w:type="spellStart"/>
            <w:r w:rsidRPr="00785E5C">
              <w:rPr>
                <w:rFonts w:eastAsiaTheme="minorHAnsi"/>
                <w:lang w:val="it-IT" w:eastAsia="en-US"/>
              </w:rPr>
              <w:t>University</w:t>
            </w:r>
            <w:proofErr w:type="spellEnd"/>
            <w:r w:rsidRPr="00785E5C">
              <w:rPr>
                <w:rFonts w:eastAsiaTheme="minorHAnsi"/>
                <w:lang w:val="it-IT" w:eastAsia="en-US"/>
              </w:rPr>
              <w:t xml:space="preserve"> of Zambia –UNZA (Zambia)</w:t>
            </w:r>
          </w:p>
        </w:tc>
      </w:tr>
      <w:tr w:rsidR="00247C52" w:rsidRPr="00785E5C" w:rsidTr="006159F0">
        <w:trPr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247C52" w:rsidRPr="00785E5C" w:rsidRDefault="00247C52" w:rsidP="008B4141">
            <w:pPr>
              <w:rPr>
                <w:b/>
              </w:rPr>
            </w:pPr>
            <w:r w:rsidRPr="00785E5C">
              <w:rPr>
                <w:b/>
              </w:rPr>
              <w:t>Title of the action</w:t>
            </w:r>
          </w:p>
        </w:tc>
        <w:tc>
          <w:tcPr>
            <w:tcW w:w="7595" w:type="dxa"/>
          </w:tcPr>
          <w:p w:rsidR="00247C52" w:rsidRPr="00785E5C" w:rsidRDefault="00D82F69" w:rsidP="00D82F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 xml:space="preserve">NEED: </w:t>
            </w:r>
            <w:r w:rsidRPr="00867672">
              <w:rPr>
                <w:rFonts w:eastAsiaTheme="minorHAnsi"/>
                <w:b/>
                <w:lang w:eastAsia="en-US"/>
              </w:rPr>
              <w:t>N</w:t>
            </w:r>
            <w:r w:rsidRPr="00785E5C">
              <w:rPr>
                <w:rFonts w:eastAsiaTheme="minorHAnsi"/>
                <w:lang w:eastAsia="en-US"/>
              </w:rPr>
              <w:t xml:space="preserve">etwork of </w:t>
            </w:r>
            <w:r w:rsidRPr="00867672">
              <w:rPr>
                <w:rFonts w:eastAsiaTheme="minorHAnsi"/>
                <w:b/>
                <w:lang w:eastAsia="en-US"/>
              </w:rPr>
              <w:t>E</w:t>
            </w:r>
            <w:r w:rsidRPr="00785E5C">
              <w:rPr>
                <w:rFonts w:eastAsiaTheme="minorHAnsi"/>
                <w:lang w:eastAsia="en-US"/>
              </w:rPr>
              <w:t xml:space="preserve">xcellence in </w:t>
            </w:r>
            <w:r w:rsidRPr="00867672">
              <w:rPr>
                <w:rFonts w:eastAsiaTheme="minorHAnsi"/>
                <w:b/>
                <w:lang w:eastAsia="en-US"/>
              </w:rPr>
              <w:t>R</w:t>
            </w:r>
            <w:r w:rsidRPr="00785E5C">
              <w:rPr>
                <w:rFonts w:eastAsiaTheme="minorHAnsi"/>
                <w:lang w:eastAsia="en-US"/>
              </w:rPr>
              <w:t xml:space="preserve">enewable </w:t>
            </w:r>
            <w:r w:rsidRPr="00867672">
              <w:rPr>
                <w:rFonts w:eastAsiaTheme="minorHAnsi"/>
                <w:b/>
                <w:lang w:eastAsia="en-US"/>
              </w:rPr>
              <w:t>E</w:t>
            </w:r>
            <w:r w:rsidRPr="00785E5C">
              <w:rPr>
                <w:rFonts w:eastAsiaTheme="minorHAnsi"/>
                <w:lang w:eastAsia="en-US"/>
              </w:rPr>
              <w:t xml:space="preserve">nergy </w:t>
            </w:r>
            <w:r w:rsidRPr="00867672">
              <w:rPr>
                <w:rFonts w:eastAsiaTheme="minorHAnsi"/>
                <w:b/>
                <w:lang w:eastAsia="en-US"/>
              </w:rPr>
              <w:t>T</w:t>
            </w:r>
            <w:r w:rsidRPr="00785E5C">
              <w:rPr>
                <w:rFonts w:eastAsiaTheme="minorHAnsi"/>
                <w:lang w:eastAsia="en-US"/>
              </w:rPr>
              <w:t xml:space="preserve">echnologies for </w:t>
            </w:r>
            <w:r w:rsidRPr="00867672">
              <w:rPr>
                <w:rFonts w:eastAsiaTheme="minorHAnsi"/>
                <w:b/>
                <w:lang w:eastAsia="en-US"/>
              </w:rPr>
              <w:t>D</w:t>
            </w:r>
            <w:r w:rsidRPr="00785E5C">
              <w:rPr>
                <w:rFonts w:eastAsiaTheme="minorHAnsi"/>
                <w:lang w:eastAsia="en-US"/>
              </w:rPr>
              <w:t>evelopment</w:t>
            </w:r>
          </w:p>
        </w:tc>
      </w:tr>
      <w:tr w:rsidR="00247C52" w:rsidRPr="00785E5C" w:rsidTr="006159F0">
        <w:trPr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247C52" w:rsidRPr="00785E5C" w:rsidRDefault="00247C52" w:rsidP="008B4141">
            <w:pPr>
              <w:rPr>
                <w:b/>
              </w:rPr>
            </w:pPr>
            <w:r w:rsidRPr="00785E5C">
              <w:rPr>
                <w:b/>
              </w:rPr>
              <w:t xml:space="preserve">Location </w:t>
            </w:r>
          </w:p>
        </w:tc>
        <w:tc>
          <w:tcPr>
            <w:tcW w:w="7595" w:type="dxa"/>
          </w:tcPr>
          <w:p w:rsidR="00247C52" w:rsidRPr="00785E5C" w:rsidRDefault="00D82F69" w:rsidP="008B4141">
            <w:pPr>
              <w:jc w:val="both"/>
            </w:pPr>
            <w:r w:rsidRPr="00785E5C">
              <w:rPr>
                <w:rFonts w:eastAsiaTheme="minorHAnsi"/>
                <w:lang w:eastAsia="en-US"/>
              </w:rPr>
              <w:t xml:space="preserve">Botswana, </w:t>
            </w:r>
            <w:r w:rsidRPr="00A31B61">
              <w:rPr>
                <w:rFonts w:eastAsiaTheme="minorHAnsi"/>
                <w:color w:val="0000FF"/>
                <w:lang w:eastAsia="en-US"/>
              </w:rPr>
              <w:t>Namibia</w:t>
            </w:r>
            <w:r w:rsidRPr="00785E5C">
              <w:rPr>
                <w:rFonts w:eastAsiaTheme="minorHAnsi"/>
                <w:lang w:eastAsia="en-US"/>
              </w:rPr>
              <w:t xml:space="preserve"> and Zambia</w:t>
            </w:r>
          </w:p>
        </w:tc>
      </w:tr>
      <w:tr w:rsidR="00247C52" w:rsidRPr="00785E5C" w:rsidTr="006159F0">
        <w:trPr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247C52" w:rsidRPr="00785E5C" w:rsidRDefault="00247C52" w:rsidP="008B4141">
            <w:pPr>
              <w:rPr>
                <w:b/>
              </w:rPr>
            </w:pPr>
            <w:r w:rsidRPr="00785E5C">
              <w:rPr>
                <w:b/>
              </w:rPr>
              <w:t>Objectives of the action</w:t>
            </w:r>
          </w:p>
        </w:tc>
        <w:tc>
          <w:tcPr>
            <w:tcW w:w="7595" w:type="dxa"/>
          </w:tcPr>
          <w:p w:rsidR="0052295A" w:rsidRPr="0052295A" w:rsidRDefault="0052295A" w:rsidP="0052295A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52295A">
              <w:rPr>
                <w:rFonts w:eastAsiaTheme="minorHAnsi"/>
                <w:i/>
                <w:lang w:eastAsia="en-US"/>
              </w:rPr>
              <w:t xml:space="preserve">Overall objectives </w:t>
            </w:r>
          </w:p>
          <w:p w:rsidR="00785E5C" w:rsidRPr="0052295A" w:rsidRDefault="00785E5C" w:rsidP="005229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To s</w:t>
            </w:r>
            <w:r w:rsidR="00D82F69" w:rsidRPr="00785E5C">
              <w:rPr>
                <w:rFonts w:eastAsiaTheme="minorHAnsi"/>
                <w:lang w:eastAsia="en-US"/>
              </w:rPr>
              <w:t xml:space="preserve">trengthen the internal </w:t>
            </w:r>
            <w:r w:rsidR="00A31B61">
              <w:t>Science, Technology and Innovation (</w:t>
            </w:r>
            <w:r w:rsidR="00D82F69" w:rsidRPr="00785E5C">
              <w:rPr>
                <w:rFonts w:eastAsiaTheme="minorHAnsi"/>
                <w:lang w:eastAsia="en-US"/>
              </w:rPr>
              <w:t>STI</w:t>
            </w:r>
            <w:r w:rsidR="00A31B61">
              <w:rPr>
                <w:rFonts w:eastAsiaTheme="minorHAnsi"/>
                <w:lang w:eastAsia="en-US"/>
              </w:rPr>
              <w:t>)</w:t>
            </w:r>
            <w:r w:rsidR="00D82F69" w:rsidRPr="00785E5C">
              <w:rPr>
                <w:rFonts w:eastAsiaTheme="minorHAnsi"/>
                <w:lang w:eastAsia="en-US"/>
              </w:rPr>
              <w:t xml:space="preserve"> capacity in the field of renewable energy</w:t>
            </w:r>
            <w:r w:rsidR="0052295A">
              <w:rPr>
                <w:rFonts w:eastAsiaTheme="minorHAnsi"/>
                <w:lang w:eastAsia="en-US"/>
              </w:rPr>
              <w:t xml:space="preserve"> </w:t>
            </w:r>
            <w:r w:rsidR="00D82F69" w:rsidRPr="0052295A">
              <w:rPr>
                <w:rFonts w:eastAsiaTheme="minorHAnsi"/>
                <w:lang w:eastAsia="en-US"/>
              </w:rPr>
              <w:t>technologies (RET</w:t>
            </w:r>
            <w:r w:rsidRPr="0052295A">
              <w:rPr>
                <w:rFonts w:eastAsiaTheme="minorHAnsi"/>
                <w:lang w:eastAsia="en-US"/>
              </w:rPr>
              <w:t>) of Southern African countries</w:t>
            </w:r>
          </w:p>
          <w:p w:rsidR="00D82F69" w:rsidRPr="0052295A" w:rsidRDefault="00D82F69" w:rsidP="005229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To foster a long-lasting cooperation of science and technology (S&amp;T)</w:t>
            </w:r>
            <w:r w:rsidR="0052295A">
              <w:rPr>
                <w:rFonts w:eastAsiaTheme="minorHAnsi"/>
                <w:lang w:eastAsia="en-US"/>
              </w:rPr>
              <w:t xml:space="preserve"> </w:t>
            </w:r>
            <w:r w:rsidRPr="0052295A">
              <w:rPr>
                <w:rFonts w:eastAsiaTheme="minorHAnsi"/>
                <w:lang w:eastAsia="en-US"/>
              </w:rPr>
              <w:t>stakeholders within Southern African partners and the EU</w:t>
            </w:r>
          </w:p>
          <w:p w:rsidR="00247C52" w:rsidRPr="00785E5C" w:rsidRDefault="00D82F69" w:rsidP="00785E5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To create an institutional framework for science, t</w:t>
            </w:r>
            <w:r w:rsidR="00785E5C" w:rsidRPr="00785E5C">
              <w:rPr>
                <w:rFonts w:eastAsiaTheme="minorHAnsi"/>
                <w:lang w:eastAsia="en-US"/>
              </w:rPr>
              <w:t xml:space="preserve">echnology and innovation in </w:t>
            </w:r>
            <w:r w:rsidRPr="00785E5C">
              <w:rPr>
                <w:rFonts w:eastAsiaTheme="minorHAnsi"/>
                <w:lang w:eastAsia="en-US"/>
              </w:rPr>
              <w:t>RET in Southern Africa</w:t>
            </w:r>
          </w:p>
          <w:p w:rsidR="00D82F69" w:rsidRPr="00785E5C" w:rsidRDefault="00D82F69" w:rsidP="00D82F69">
            <w:pPr>
              <w:jc w:val="both"/>
              <w:rPr>
                <w:rFonts w:eastAsiaTheme="minorHAnsi"/>
                <w:lang w:eastAsia="en-US"/>
              </w:rPr>
            </w:pPr>
          </w:p>
          <w:p w:rsidR="00D82F69" w:rsidRPr="00785E5C" w:rsidRDefault="00D82F69" w:rsidP="00D82F6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785E5C">
              <w:rPr>
                <w:rFonts w:eastAsiaTheme="minorHAnsi"/>
                <w:i/>
                <w:iCs/>
                <w:lang w:eastAsia="en-US"/>
              </w:rPr>
              <w:t>Specific objectives</w:t>
            </w:r>
          </w:p>
          <w:p w:rsidR="00785E5C" w:rsidRPr="00785E5C" w:rsidRDefault="00D82F69" w:rsidP="00785E5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To inter-link policy makers, research institutions and stakeholders of the</w:t>
            </w:r>
            <w:r w:rsidR="00785E5C">
              <w:rPr>
                <w:rFonts w:eastAsiaTheme="minorHAnsi"/>
                <w:lang w:eastAsia="en-US"/>
              </w:rPr>
              <w:t xml:space="preserve"> </w:t>
            </w:r>
            <w:r w:rsidRPr="00785E5C">
              <w:rPr>
                <w:rFonts w:eastAsiaTheme="minorHAnsi"/>
                <w:lang w:eastAsia="en-US"/>
              </w:rPr>
              <w:t>private sect</w:t>
            </w:r>
            <w:r w:rsidR="00785E5C" w:rsidRPr="00785E5C">
              <w:rPr>
                <w:rFonts w:eastAsiaTheme="minorHAnsi"/>
                <w:lang w:eastAsia="en-US"/>
              </w:rPr>
              <w:t>or to promote innovation in RET</w:t>
            </w:r>
          </w:p>
          <w:p w:rsidR="00785E5C" w:rsidRPr="00785E5C" w:rsidRDefault="00D82F69" w:rsidP="00785E5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To promote consensus building in the field of S&amp;T policies &amp; planning in</w:t>
            </w:r>
            <w:r w:rsidR="00785E5C">
              <w:rPr>
                <w:rFonts w:eastAsiaTheme="minorHAnsi"/>
                <w:lang w:eastAsia="en-US"/>
              </w:rPr>
              <w:t xml:space="preserve"> </w:t>
            </w:r>
            <w:r w:rsidR="00785E5C" w:rsidRPr="00785E5C">
              <w:rPr>
                <w:rFonts w:eastAsiaTheme="minorHAnsi"/>
                <w:lang w:eastAsia="en-US"/>
              </w:rPr>
              <w:t>RET</w:t>
            </w:r>
          </w:p>
          <w:p w:rsidR="00785E5C" w:rsidRPr="00785E5C" w:rsidRDefault="00D82F69" w:rsidP="00785E5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To enha</w:t>
            </w:r>
            <w:r w:rsidR="00785E5C" w:rsidRPr="00785E5C">
              <w:rPr>
                <w:rFonts w:eastAsiaTheme="minorHAnsi"/>
                <w:lang w:eastAsia="en-US"/>
              </w:rPr>
              <w:t>nce practical education for RET</w:t>
            </w:r>
          </w:p>
          <w:p w:rsidR="00785E5C" w:rsidRPr="00785E5C" w:rsidRDefault="00D82F69" w:rsidP="00785E5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To support accelerated adoption of new technologies into the private sector</w:t>
            </w:r>
            <w:r w:rsidR="00785E5C">
              <w:rPr>
                <w:rFonts w:eastAsiaTheme="minorHAnsi"/>
                <w:lang w:eastAsia="en-US"/>
              </w:rPr>
              <w:t xml:space="preserve"> </w:t>
            </w:r>
            <w:r w:rsidR="00785E5C" w:rsidRPr="00785E5C">
              <w:rPr>
                <w:rFonts w:eastAsiaTheme="minorHAnsi"/>
                <w:lang w:eastAsia="en-US"/>
              </w:rPr>
              <w:t>by RET standards</w:t>
            </w:r>
          </w:p>
          <w:p w:rsidR="00D82F69" w:rsidRPr="00785E5C" w:rsidRDefault="00D82F69" w:rsidP="00785E5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To develop two model regions ('best practice') in order to foster sustainable</w:t>
            </w:r>
            <w:r w:rsidR="00785E5C">
              <w:rPr>
                <w:rFonts w:eastAsiaTheme="minorHAnsi"/>
                <w:lang w:eastAsia="en-US"/>
              </w:rPr>
              <w:t xml:space="preserve"> </w:t>
            </w:r>
            <w:r w:rsidRPr="00785E5C">
              <w:rPr>
                <w:rFonts w:eastAsiaTheme="minorHAnsi"/>
                <w:lang w:eastAsia="en-US"/>
              </w:rPr>
              <w:t xml:space="preserve">national energy and rural </w:t>
            </w:r>
            <w:r w:rsidR="00785E5C" w:rsidRPr="00785E5C">
              <w:rPr>
                <w:rFonts w:eastAsiaTheme="minorHAnsi"/>
                <w:lang w:eastAsia="en-US"/>
              </w:rPr>
              <w:t>development</w:t>
            </w:r>
            <w:r w:rsidRPr="00785E5C">
              <w:rPr>
                <w:rFonts w:eastAsiaTheme="minorHAnsi"/>
                <w:lang w:eastAsia="en-US"/>
              </w:rPr>
              <w:t xml:space="preserve"> policies</w:t>
            </w:r>
          </w:p>
        </w:tc>
      </w:tr>
      <w:tr w:rsidR="00247C52" w:rsidRPr="00785E5C" w:rsidTr="006159F0">
        <w:trPr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0B3EF6" w:rsidRPr="00785E5C" w:rsidRDefault="000B3EF6" w:rsidP="008B4141">
            <w:pPr>
              <w:rPr>
                <w:b/>
              </w:rPr>
            </w:pPr>
            <w:r w:rsidRPr="00785E5C">
              <w:rPr>
                <w:b/>
              </w:rPr>
              <w:t>Target group(s)</w:t>
            </w:r>
            <w:r w:rsidRPr="00785E5C">
              <w:rPr>
                <w:rStyle w:val="FootnoteReference"/>
                <w:b/>
                <w:sz w:val="24"/>
              </w:rPr>
              <w:footnoteReference w:id="1"/>
            </w:r>
          </w:p>
        </w:tc>
        <w:tc>
          <w:tcPr>
            <w:tcW w:w="7595" w:type="dxa"/>
          </w:tcPr>
          <w:p w:rsidR="000B3EF6" w:rsidRPr="00785E5C" w:rsidRDefault="00D82F69" w:rsidP="00D82F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Governmental institutions; research institutions; education sector; private sector; specific stakeholders of the two model regions</w:t>
            </w:r>
          </w:p>
        </w:tc>
      </w:tr>
      <w:tr w:rsidR="00247C52" w:rsidRPr="00785E5C" w:rsidTr="006159F0">
        <w:trPr>
          <w:trHeight w:val="566"/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0B3EF6" w:rsidRPr="00785E5C" w:rsidRDefault="000B3EF6" w:rsidP="008B4141">
            <w:pPr>
              <w:rPr>
                <w:b/>
              </w:rPr>
            </w:pPr>
            <w:r w:rsidRPr="00785E5C">
              <w:rPr>
                <w:b/>
              </w:rPr>
              <w:t>Final beneficiaries</w:t>
            </w:r>
            <w:r w:rsidRPr="00785E5C">
              <w:rPr>
                <w:rStyle w:val="FootnoteReference"/>
                <w:b/>
                <w:sz w:val="24"/>
              </w:rPr>
              <w:footnoteReference w:id="2"/>
            </w:r>
          </w:p>
        </w:tc>
        <w:tc>
          <w:tcPr>
            <w:tcW w:w="7595" w:type="dxa"/>
          </w:tcPr>
          <w:p w:rsidR="00D82F69" w:rsidRPr="00294DAB" w:rsidRDefault="00D82F69" w:rsidP="00294D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Research community through more appropriate research programmes,</w:t>
            </w:r>
            <w:r w:rsidR="00294DAB">
              <w:rPr>
                <w:rFonts w:eastAsiaTheme="minorHAnsi"/>
                <w:lang w:eastAsia="en-US"/>
              </w:rPr>
              <w:t xml:space="preserve"> </w:t>
            </w:r>
            <w:r w:rsidRPr="00294DAB">
              <w:rPr>
                <w:rFonts w:eastAsiaTheme="minorHAnsi"/>
                <w:lang w:eastAsia="en-US"/>
              </w:rPr>
              <w:t>enhanced education and more young researchers</w:t>
            </w:r>
          </w:p>
          <w:p w:rsidR="00D82F69" w:rsidRPr="00294DAB" w:rsidRDefault="00D82F69" w:rsidP="00294D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Industry of RET as well as companies in the local energy sector through</w:t>
            </w:r>
            <w:r w:rsidR="00294DAB">
              <w:rPr>
                <w:rFonts w:eastAsiaTheme="minorHAnsi"/>
                <w:lang w:eastAsia="en-US"/>
              </w:rPr>
              <w:t xml:space="preserve"> </w:t>
            </w:r>
            <w:r w:rsidRPr="00294DAB">
              <w:rPr>
                <w:rFonts w:eastAsiaTheme="minorHAnsi"/>
                <w:lang w:eastAsia="en-US"/>
              </w:rPr>
              <w:t>stimulation based on increased awareness and innovations regarding</w:t>
            </w:r>
            <w:r w:rsidR="00294DAB">
              <w:rPr>
                <w:rFonts w:eastAsiaTheme="minorHAnsi"/>
                <w:lang w:eastAsia="en-US"/>
              </w:rPr>
              <w:t xml:space="preserve"> </w:t>
            </w:r>
            <w:r w:rsidRPr="00294DAB">
              <w:rPr>
                <w:rFonts w:eastAsiaTheme="minorHAnsi"/>
                <w:lang w:eastAsia="en-US"/>
              </w:rPr>
              <w:t>renewable energies</w:t>
            </w:r>
          </w:p>
          <w:p w:rsidR="00294DAB" w:rsidRDefault="00D82F69" w:rsidP="00294D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Economy in Southern Africa through skilled workforce with pract</w:t>
            </w:r>
            <w:r w:rsidR="00785E5C" w:rsidRPr="00785E5C">
              <w:rPr>
                <w:rFonts w:eastAsiaTheme="minorHAnsi"/>
                <w:lang w:eastAsia="en-US"/>
              </w:rPr>
              <w:t xml:space="preserve">ical know-how </w:t>
            </w:r>
            <w:r w:rsidRPr="00785E5C">
              <w:rPr>
                <w:rFonts w:eastAsiaTheme="minorHAnsi"/>
                <w:lang w:eastAsia="en-US"/>
              </w:rPr>
              <w:t>in RET</w:t>
            </w:r>
          </w:p>
          <w:p w:rsidR="000B3EF6" w:rsidRPr="00294DAB" w:rsidRDefault="00D82F69" w:rsidP="00294D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4DAB">
              <w:rPr>
                <w:rFonts w:eastAsiaTheme="minorHAnsi"/>
                <w:lang w:eastAsia="en-US"/>
              </w:rPr>
              <w:t>Society especially in rural areas through increased quality and quantity of</w:t>
            </w:r>
            <w:r w:rsidR="00294DAB" w:rsidRPr="00294DAB">
              <w:rPr>
                <w:rFonts w:eastAsiaTheme="minorHAnsi"/>
                <w:lang w:eastAsia="en-US"/>
              </w:rPr>
              <w:t xml:space="preserve"> </w:t>
            </w:r>
            <w:r w:rsidRPr="00294DAB">
              <w:rPr>
                <w:rFonts w:eastAsiaTheme="minorHAnsi"/>
                <w:lang w:eastAsia="en-US"/>
              </w:rPr>
              <w:t>energy supply and adequate grid connection</w:t>
            </w:r>
          </w:p>
        </w:tc>
      </w:tr>
      <w:tr w:rsidR="00247C52" w:rsidRPr="00785E5C" w:rsidTr="006159F0">
        <w:trPr>
          <w:trHeight w:val="1303"/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0B3EF6" w:rsidRPr="00785E5C" w:rsidRDefault="000B3EF6" w:rsidP="008B4141">
            <w:pPr>
              <w:rPr>
                <w:b/>
              </w:rPr>
            </w:pPr>
            <w:r w:rsidRPr="00785E5C">
              <w:rPr>
                <w:b/>
              </w:rPr>
              <w:lastRenderedPageBreak/>
              <w:t>Estimated results</w:t>
            </w:r>
          </w:p>
        </w:tc>
        <w:tc>
          <w:tcPr>
            <w:tcW w:w="7595" w:type="dxa"/>
          </w:tcPr>
          <w:p w:rsidR="00D82F69" w:rsidRPr="00785E5C" w:rsidRDefault="00D82F69" w:rsidP="00785E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 xml:space="preserve">An institutional framework for 'Network of </w:t>
            </w:r>
            <w:r w:rsidR="00785E5C" w:rsidRPr="00785E5C">
              <w:rPr>
                <w:rFonts w:eastAsiaTheme="minorHAnsi"/>
                <w:lang w:eastAsia="en-US"/>
              </w:rPr>
              <w:t xml:space="preserve">Excellence - NEED' in renewable </w:t>
            </w:r>
            <w:r w:rsidRPr="00785E5C">
              <w:rPr>
                <w:rFonts w:eastAsiaTheme="minorHAnsi"/>
                <w:lang w:eastAsia="en-US"/>
              </w:rPr>
              <w:t>energy science, technology and innovation</w:t>
            </w:r>
          </w:p>
          <w:p w:rsidR="00D82F69" w:rsidRPr="00785E5C" w:rsidRDefault="00D82F69" w:rsidP="00785E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A national research roadmap for RET per target country</w:t>
            </w:r>
          </w:p>
          <w:p w:rsidR="00D82F69" w:rsidRPr="00785E5C" w:rsidRDefault="00D82F69" w:rsidP="00785E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An institutionalised public decision-making proc</w:t>
            </w:r>
            <w:r w:rsidR="00785E5C" w:rsidRPr="00785E5C">
              <w:rPr>
                <w:rFonts w:eastAsiaTheme="minorHAnsi"/>
                <w:lang w:eastAsia="en-US"/>
              </w:rPr>
              <w:t xml:space="preserve">ess to incorporate RET research </w:t>
            </w:r>
            <w:r w:rsidRPr="00785E5C">
              <w:rPr>
                <w:rFonts w:eastAsiaTheme="minorHAnsi"/>
                <w:lang w:eastAsia="en-US"/>
              </w:rPr>
              <w:t>roadmaps into national research policies</w:t>
            </w:r>
          </w:p>
          <w:p w:rsidR="00D82F69" w:rsidRPr="00785E5C" w:rsidRDefault="00D82F69" w:rsidP="00785E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A framework and structure of practical training programmes on renewable</w:t>
            </w:r>
            <w:r w:rsidR="00785E5C">
              <w:rPr>
                <w:rFonts w:eastAsiaTheme="minorHAnsi"/>
                <w:lang w:eastAsia="en-US"/>
              </w:rPr>
              <w:t xml:space="preserve"> </w:t>
            </w:r>
            <w:r w:rsidRPr="00785E5C">
              <w:rPr>
                <w:rFonts w:eastAsiaTheme="minorHAnsi"/>
                <w:lang w:eastAsia="en-US"/>
              </w:rPr>
              <w:t>energies to supplement related higher education</w:t>
            </w:r>
            <w:r w:rsidR="00785E5C" w:rsidRPr="00785E5C">
              <w:rPr>
                <w:rFonts w:eastAsiaTheme="minorHAnsi"/>
                <w:lang w:eastAsia="en-US"/>
              </w:rPr>
              <w:t xml:space="preserve"> at partner universities ('Dual </w:t>
            </w:r>
            <w:r w:rsidRPr="00785E5C">
              <w:rPr>
                <w:rFonts w:eastAsiaTheme="minorHAnsi"/>
                <w:lang w:eastAsia="en-US"/>
              </w:rPr>
              <w:t>Study Programmes')</w:t>
            </w:r>
          </w:p>
          <w:p w:rsidR="00D82F69" w:rsidRPr="00785E5C" w:rsidRDefault="00D82F69" w:rsidP="00785E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Aligned industry standards for a defined set of RET on national / possibly SADC</w:t>
            </w:r>
            <w:r w:rsidR="00785E5C">
              <w:rPr>
                <w:rFonts w:eastAsiaTheme="minorHAnsi"/>
                <w:lang w:eastAsia="en-US"/>
              </w:rPr>
              <w:t xml:space="preserve"> </w:t>
            </w:r>
            <w:r w:rsidRPr="00785E5C">
              <w:rPr>
                <w:rFonts w:eastAsiaTheme="minorHAnsi"/>
                <w:lang w:eastAsia="en-US"/>
              </w:rPr>
              <w:t>level</w:t>
            </w:r>
          </w:p>
          <w:p w:rsidR="00D82F69" w:rsidRPr="00785E5C" w:rsidRDefault="00D82F69" w:rsidP="00785E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A regional energy concept for the Okavango Delta, which is applicable on broad</w:t>
            </w:r>
            <w:r w:rsidR="00785E5C">
              <w:rPr>
                <w:rFonts w:eastAsiaTheme="minorHAnsi"/>
                <w:lang w:eastAsia="en-US"/>
              </w:rPr>
              <w:t xml:space="preserve"> </w:t>
            </w:r>
            <w:r w:rsidRPr="00785E5C">
              <w:rPr>
                <w:rFonts w:eastAsiaTheme="minorHAnsi"/>
                <w:lang w:eastAsia="en-US"/>
              </w:rPr>
              <w:t>scale</w:t>
            </w:r>
          </w:p>
          <w:p w:rsidR="00D82F69" w:rsidRPr="00785E5C" w:rsidRDefault="00D82F69" w:rsidP="00785E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A roadmap for regional transition in sustainable energy production &amp;</w:t>
            </w:r>
            <w:r w:rsidR="00785E5C">
              <w:rPr>
                <w:rFonts w:eastAsiaTheme="minorHAnsi"/>
                <w:lang w:eastAsia="en-US"/>
              </w:rPr>
              <w:t xml:space="preserve"> </w:t>
            </w:r>
            <w:r w:rsidRPr="00785E5C">
              <w:rPr>
                <w:rFonts w:eastAsiaTheme="minorHAnsi"/>
                <w:lang w:eastAsia="en-US"/>
              </w:rPr>
              <w:t>consumption ('Fossil-Free Wetlands')</w:t>
            </w:r>
          </w:p>
          <w:p w:rsidR="00D82F69" w:rsidRPr="00785E5C" w:rsidRDefault="00D82F69" w:rsidP="00785E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 xml:space="preserve">A regional energy concept for </w:t>
            </w:r>
            <w:proofErr w:type="spellStart"/>
            <w:r w:rsidRPr="00785E5C">
              <w:rPr>
                <w:rFonts w:eastAsiaTheme="minorHAnsi"/>
                <w:lang w:eastAsia="en-US"/>
              </w:rPr>
              <w:t>Gobabeb</w:t>
            </w:r>
            <w:proofErr w:type="spellEnd"/>
            <w:r w:rsidRPr="00785E5C">
              <w:rPr>
                <w:rFonts w:eastAsiaTheme="minorHAnsi"/>
                <w:lang w:eastAsia="en-US"/>
              </w:rPr>
              <w:t xml:space="preserve"> Resea</w:t>
            </w:r>
            <w:r w:rsidR="00785E5C" w:rsidRPr="00785E5C">
              <w:rPr>
                <w:rFonts w:eastAsiaTheme="minorHAnsi"/>
                <w:lang w:eastAsia="en-US"/>
              </w:rPr>
              <w:t xml:space="preserve">rch &amp; Training Centre, which is </w:t>
            </w:r>
            <w:r w:rsidRPr="00785E5C">
              <w:rPr>
                <w:rFonts w:eastAsiaTheme="minorHAnsi"/>
                <w:lang w:eastAsia="en-US"/>
              </w:rPr>
              <w:t>applicable on broad scale</w:t>
            </w:r>
          </w:p>
          <w:p w:rsidR="00D82F69" w:rsidRPr="00785E5C" w:rsidRDefault="00D82F69" w:rsidP="00785E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A roadmap for regional transition in sustainable energy production &amp;</w:t>
            </w:r>
            <w:r w:rsidR="00785E5C">
              <w:rPr>
                <w:rFonts w:eastAsiaTheme="minorHAnsi"/>
                <w:lang w:eastAsia="en-US"/>
              </w:rPr>
              <w:t xml:space="preserve"> </w:t>
            </w:r>
            <w:r w:rsidRPr="00785E5C">
              <w:rPr>
                <w:rFonts w:eastAsiaTheme="minorHAnsi"/>
                <w:lang w:eastAsia="en-US"/>
              </w:rPr>
              <w:t>consumption ('Renewable Mini-Grid Drylands')</w:t>
            </w:r>
          </w:p>
          <w:p w:rsidR="000B3EF6" w:rsidRPr="00785E5C" w:rsidRDefault="00D82F69" w:rsidP="00785E5C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785E5C">
              <w:rPr>
                <w:rFonts w:eastAsiaTheme="minorHAnsi"/>
                <w:lang w:eastAsia="en-US"/>
              </w:rPr>
              <w:t>An expert conference on renewable energy science, technology and innovation</w:t>
            </w:r>
          </w:p>
        </w:tc>
      </w:tr>
      <w:tr w:rsidR="00247C52" w:rsidRPr="00785E5C" w:rsidTr="006159F0">
        <w:trPr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0B3EF6" w:rsidRPr="00785E5C" w:rsidRDefault="000B3EF6" w:rsidP="008B4141">
            <w:pPr>
              <w:rPr>
                <w:b/>
              </w:rPr>
            </w:pPr>
            <w:r w:rsidRPr="00785E5C">
              <w:rPr>
                <w:b/>
              </w:rPr>
              <w:t>Main activities</w:t>
            </w:r>
          </w:p>
        </w:tc>
        <w:tc>
          <w:tcPr>
            <w:tcW w:w="7595" w:type="dxa"/>
          </w:tcPr>
          <w:p w:rsidR="00D82F69" w:rsidRPr="00785E5C" w:rsidRDefault="00D82F69" w:rsidP="00D82F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Overall project coordination and network-building</w:t>
            </w:r>
          </w:p>
          <w:p w:rsidR="00D82F69" w:rsidRPr="00785E5C" w:rsidRDefault="00D82F69" w:rsidP="00D82F6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Support formulation of research policies in renewable energies (RE)</w:t>
            </w:r>
          </w:p>
          <w:p w:rsidR="00D82F69" w:rsidRPr="00785E5C" w:rsidRDefault="00D82F69" w:rsidP="00D82F6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Education / adoption of 'Dual Study' concepts to local requirements</w:t>
            </w:r>
          </w:p>
          <w:p w:rsidR="00D82F69" w:rsidRPr="00785E5C" w:rsidRDefault="00D82F69" w:rsidP="00D82F6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Develop RET industry standards</w:t>
            </w:r>
          </w:p>
          <w:p w:rsidR="00D82F69" w:rsidRPr="00785E5C" w:rsidRDefault="00D82F69" w:rsidP="00D82F6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Develop model region 'Fossil-Free Wetlands'</w:t>
            </w:r>
          </w:p>
          <w:p w:rsidR="00D82F69" w:rsidRPr="00785E5C" w:rsidRDefault="00D82F69" w:rsidP="00D82F6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E5C">
              <w:rPr>
                <w:rFonts w:eastAsiaTheme="minorHAnsi"/>
                <w:lang w:eastAsia="en-US"/>
              </w:rPr>
              <w:t>Develop model region 'Renewable Mini-Grid Drylands'</w:t>
            </w:r>
          </w:p>
          <w:p w:rsidR="000B3EF6" w:rsidRPr="00785E5C" w:rsidRDefault="00D82F69" w:rsidP="00D82F69">
            <w:pPr>
              <w:pStyle w:val="ListParagraph"/>
              <w:numPr>
                <w:ilvl w:val="0"/>
                <w:numId w:val="8"/>
              </w:numPr>
              <w:jc w:val="both"/>
            </w:pPr>
            <w:r w:rsidRPr="00785E5C">
              <w:rPr>
                <w:rFonts w:eastAsiaTheme="minorHAnsi"/>
                <w:lang w:eastAsia="en-US"/>
              </w:rPr>
              <w:t>Conduct project results dissemination</w:t>
            </w:r>
          </w:p>
        </w:tc>
      </w:tr>
      <w:tr w:rsidR="00247C52" w:rsidRPr="00785E5C" w:rsidTr="006159F0">
        <w:trPr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247C52" w:rsidRPr="00785E5C" w:rsidRDefault="00247C52" w:rsidP="008B4141">
            <w:pPr>
              <w:rPr>
                <w:b/>
              </w:rPr>
            </w:pPr>
            <w:r w:rsidRPr="00785E5C">
              <w:rPr>
                <w:b/>
              </w:rPr>
              <w:t xml:space="preserve">EU Contribution </w:t>
            </w:r>
          </w:p>
        </w:tc>
        <w:tc>
          <w:tcPr>
            <w:tcW w:w="7595" w:type="dxa"/>
          </w:tcPr>
          <w:p w:rsidR="00247C52" w:rsidRPr="00785E5C" w:rsidRDefault="008B4141" w:rsidP="008B4141">
            <w:pPr>
              <w:jc w:val="both"/>
            </w:pPr>
            <w:r w:rsidRPr="00785E5C">
              <w:t xml:space="preserve">EUR </w:t>
            </w:r>
            <w:r w:rsidR="00D82F69" w:rsidRPr="00785E5C">
              <w:rPr>
                <w:rFonts w:eastAsiaTheme="minorHAnsi"/>
                <w:b/>
                <w:bCs/>
                <w:lang w:eastAsia="en-US"/>
              </w:rPr>
              <w:t>995,252.98</w:t>
            </w:r>
            <w:r w:rsidR="00294DAB">
              <w:rPr>
                <w:rFonts w:eastAsiaTheme="minorHAnsi"/>
                <w:b/>
                <w:bCs/>
                <w:lang w:eastAsia="en-US"/>
              </w:rPr>
              <w:t xml:space="preserve">, </w:t>
            </w:r>
            <w:r w:rsidR="00294DAB" w:rsidRPr="00294DAB">
              <w:rPr>
                <w:rFonts w:eastAsiaTheme="minorHAnsi"/>
                <w:lang w:eastAsia="en-US"/>
              </w:rPr>
              <w:t>European Development Fund (EDF-</w:t>
            </w:r>
            <w:proofErr w:type="spellStart"/>
            <w:r w:rsidR="00294DAB" w:rsidRPr="00294DAB">
              <w:rPr>
                <w:rFonts w:eastAsiaTheme="minorHAnsi"/>
                <w:lang w:eastAsia="en-US"/>
              </w:rPr>
              <w:t>lntra</w:t>
            </w:r>
            <w:proofErr w:type="spellEnd"/>
            <w:r w:rsidR="00294DAB" w:rsidRPr="00294DAB">
              <w:rPr>
                <w:rFonts w:eastAsiaTheme="minorHAnsi"/>
                <w:lang w:eastAsia="en-US"/>
              </w:rPr>
              <w:t xml:space="preserve"> ACP)</w:t>
            </w:r>
          </w:p>
        </w:tc>
      </w:tr>
      <w:tr w:rsidR="00247C52" w:rsidRPr="00785E5C" w:rsidTr="006159F0">
        <w:trPr>
          <w:tblCellSpacing w:w="20" w:type="dxa"/>
        </w:trPr>
        <w:tc>
          <w:tcPr>
            <w:tcW w:w="1925" w:type="dxa"/>
            <w:shd w:val="clear" w:color="auto" w:fill="D9D9D9"/>
            <w:vAlign w:val="center"/>
          </w:tcPr>
          <w:p w:rsidR="00247C52" w:rsidRPr="00785E5C" w:rsidRDefault="00247C52" w:rsidP="008B4141">
            <w:pPr>
              <w:rPr>
                <w:b/>
              </w:rPr>
            </w:pPr>
            <w:r w:rsidRPr="00785E5C">
              <w:rPr>
                <w:b/>
              </w:rPr>
              <w:t xml:space="preserve">Duration </w:t>
            </w:r>
          </w:p>
        </w:tc>
        <w:tc>
          <w:tcPr>
            <w:tcW w:w="7595" w:type="dxa"/>
          </w:tcPr>
          <w:p w:rsidR="00247C52" w:rsidRPr="00785E5C" w:rsidRDefault="00707468" w:rsidP="008B4141">
            <w:pPr>
              <w:jc w:val="both"/>
            </w:pPr>
            <w:r>
              <w:t>42</w:t>
            </w:r>
            <w:r w:rsidR="00247C52" w:rsidRPr="00785E5C">
              <w:t xml:space="preserve"> months , end date of activities </w:t>
            </w:r>
            <w:r w:rsidR="00D82F69" w:rsidRPr="00785E5C">
              <w:rPr>
                <w:color w:val="000000"/>
              </w:rPr>
              <w:t>31/08/2017 </w:t>
            </w:r>
          </w:p>
        </w:tc>
      </w:tr>
    </w:tbl>
    <w:p w:rsidR="00876E5C" w:rsidRPr="00785E5C" w:rsidRDefault="00876E5C"/>
    <w:sectPr w:rsidR="00876E5C" w:rsidRPr="0078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F6" w:rsidRDefault="000B3EF6" w:rsidP="000B3EF6">
      <w:r>
        <w:separator/>
      </w:r>
    </w:p>
  </w:endnote>
  <w:endnote w:type="continuationSeparator" w:id="0">
    <w:p w:rsidR="000B3EF6" w:rsidRDefault="000B3EF6" w:rsidP="000B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F6" w:rsidRDefault="000B3EF6" w:rsidP="000B3EF6">
      <w:r>
        <w:separator/>
      </w:r>
    </w:p>
  </w:footnote>
  <w:footnote w:type="continuationSeparator" w:id="0">
    <w:p w:rsidR="000B3EF6" w:rsidRDefault="000B3EF6" w:rsidP="000B3EF6">
      <w:r>
        <w:continuationSeparator/>
      </w:r>
    </w:p>
  </w:footnote>
  <w:footnote w:id="1">
    <w:p w:rsidR="000B3EF6" w:rsidRDefault="000B3EF6" w:rsidP="000B3E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59">
        <w:rPr>
          <w:b/>
        </w:rPr>
        <w:t>Target groups</w:t>
      </w:r>
      <w:r>
        <w:t xml:space="preserve"> are </w:t>
      </w:r>
      <w:r w:rsidRPr="00D24533">
        <w:t>groups/entities who will directly benefit from the action at the action purpose level</w:t>
      </w:r>
      <w:r>
        <w:t>.</w:t>
      </w:r>
    </w:p>
  </w:footnote>
  <w:footnote w:id="2">
    <w:p w:rsidR="000B3EF6" w:rsidRDefault="000B3EF6" w:rsidP="000B3E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59">
        <w:rPr>
          <w:b/>
        </w:rPr>
        <w:t>Final beneficiaries</w:t>
      </w:r>
      <w:r w:rsidRPr="00D24533">
        <w:t xml:space="preserve"> are those who will benefit from the action in the long term at the level of the society or sector at large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73C"/>
    <w:multiLevelType w:val="hybridMultilevel"/>
    <w:tmpl w:val="E688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97F6C"/>
    <w:multiLevelType w:val="hybridMultilevel"/>
    <w:tmpl w:val="6A64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C1275"/>
    <w:multiLevelType w:val="hybridMultilevel"/>
    <w:tmpl w:val="B5120A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45496"/>
    <w:multiLevelType w:val="hybridMultilevel"/>
    <w:tmpl w:val="6D1EB8B0"/>
    <w:lvl w:ilvl="0" w:tplc="936A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04D9A"/>
    <w:multiLevelType w:val="hybridMultilevel"/>
    <w:tmpl w:val="B3E4C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63F4"/>
    <w:multiLevelType w:val="hybridMultilevel"/>
    <w:tmpl w:val="C6E01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224E8"/>
    <w:multiLevelType w:val="hybridMultilevel"/>
    <w:tmpl w:val="3FC28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31107"/>
    <w:multiLevelType w:val="hybridMultilevel"/>
    <w:tmpl w:val="EE98CB3C"/>
    <w:lvl w:ilvl="0" w:tplc="936A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C4319"/>
    <w:multiLevelType w:val="hybridMultilevel"/>
    <w:tmpl w:val="A718B082"/>
    <w:lvl w:ilvl="0" w:tplc="936A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C5135"/>
    <w:multiLevelType w:val="hybridMultilevel"/>
    <w:tmpl w:val="47B681DE"/>
    <w:lvl w:ilvl="0" w:tplc="936A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F0996"/>
    <w:multiLevelType w:val="hybridMultilevel"/>
    <w:tmpl w:val="BFFCD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B3EF6"/>
    <w:rsid w:val="00002513"/>
    <w:rsid w:val="000B3EF6"/>
    <w:rsid w:val="00247C52"/>
    <w:rsid w:val="00294DAB"/>
    <w:rsid w:val="003605B1"/>
    <w:rsid w:val="0052295A"/>
    <w:rsid w:val="006159F0"/>
    <w:rsid w:val="0066018B"/>
    <w:rsid w:val="00707468"/>
    <w:rsid w:val="00785E5C"/>
    <w:rsid w:val="00824E7B"/>
    <w:rsid w:val="00867672"/>
    <w:rsid w:val="00876E5C"/>
    <w:rsid w:val="008A0D66"/>
    <w:rsid w:val="008B4141"/>
    <w:rsid w:val="00A31B61"/>
    <w:rsid w:val="00D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rsid w:val="000B3EF6"/>
    <w:pPr>
      <w:widowControl w:val="0"/>
      <w:tabs>
        <w:tab w:val="left" w:pos="284"/>
      </w:tabs>
      <w:spacing w:after="80"/>
      <w:ind w:left="284" w:hanging="142"/>
    </w:pPr>
    <w:rPr>
      <w:sz w:val="20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EF6"/>
    <w:rPr>
      <w:rFonts w:ascii="Times New Roman" w:eastAsia="Times New Roman" w:hAnsi="Times New Roman" w:cs="Times New Roman"/>
      <w:sz w:val="20"/>
    </w:rPr>
  </w:style>
  <w:style w:type="character" w:styleId="FootnoteReference">
    <w:name w:val="footnote reference"/>
    <w:basedOn w:val="DefaultParagraphFont"/>
    <w:link w:val="Char2"/>
    <w:uiPriority w:val="99"/>
    <w:rsid w:val="000B3EF6"/>
    <w:rPr>
      <w:rFonts w:ascii="Times New Roman" w:hAnsi="Times New Roman" w:cs="Times New Roman"/>
      <w:sz w:val="16"/>
      <w:vertAlign w:val="superscript"/>
      <w:lang w:val="en-US" w:eastAsia="x-none"/>
    </w:rPr>
  </w:style>
  <w:style w:type="paragraph" w:customStyle="1" w:styleId="Char2">
    <w:name w:val="Char2"/>
    <w:basedOn w:val="Normal"/>
    <w:link w:val="FootnoteReference"/>
    <w:uiPriority w:val="99"/>
    <w:rsid w:val="000B3EF6"/>
    <w:pPr>
      <w:spacing w:after="160" w:line="240" w:lineRule="exact"/>
    </w:pPr>
    <w:rPr>
      <w:rFonts w:eastAsiaTheme="minorHAnsi"/>
      <w:sz w:val="16"/>
      <w:szCs w:val="22"/>
      <w:vertAlign w:val="superscript"/>
      <w:lang w:val="en-US" w:eastAsia="x-none"/>
    </w:rPr>
  </w:style>
  <w:style w:type="character" w:styleId="Hyperlink">
    <w:name w:val="Hyperlink"/>
    <w:basedOn w:val="DefaultParagraphFont"/>
    <w:uiPriority w:val="99"/>
    <w:semiHidden/>
    <w:unhideWhenUsed/>
    <w:rsid w:val="00247C52"/>
    <w:rPr>
      <w:i w:val="0"/>
      <w:iCs w:val="0"/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B4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rsid w:val="000B3EF6"/>
    <w:pPr>
      <w:widowControl w:val="0"/>
      <w:tabs>
        <w:tab w:val="left" w:pos="284"/>
      </w:tabs>
      <w:spacing w:after="80"/>
      <w:ind w:left="284" w:hanging="142"/>
    </w:pPr>
    <w:rPr>
      <w:sz w:val="20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EF6"/>
    <w:rPr>
      <w:rFonts w:ascii="Times New Roman" w:eastAsia="Times New Roman" w:hAnsi="Times New Roman" w:cs="Times New Roman"/>
      <w:sz w:val="20"/>
    </w:rPr>
  </w:style>
  <w:style w:type="character" w:styleId="FootnoteReference">
    <w:name w:val="footnote reference"/>
    <w:basedOn w:val="DefaultParagraphFont"/>
    <w:link w:val="Char2"/>
    <w:uiPriority w:val="99"/>
    <w:rsid w:val="000B3EF6"/>
    <w:rPr>
      <w:rFonts w:ascii="Times New Roman" w:hAnsi="Times New Roman" w:cs="Times New Roman"/>
      <w:sz w:val="16"/>
      <w:vertAlign w:val="superscript"/>
      <w:lang w:val="en-US" w:eastAsia="x-none"/>
    </w:rPr>
  </w:style>
  <w:style w:type="paragraph" w:customStyle="1" w:styleId="Char2">
    <w:name w:val="Char2"/>
    <w:basedOn w:val="Normal"/>
    <w:link w:val="FootnoteReference"/>
    <w:uiPriority w:val="99"/>
    <w:rsid w:val="000B3EF6"/>
    <w:pPr>
      <w:spacing w:after="160" w:line="240" w:lineRule="exact"/>
    </w:pPr>
    <w:rPr>
      <w:rFonts w:eastAsiaTheme="minorHAnsi"/>
      <w:sz w:val="16"/>
      <w:szCs w:val="22"/>
      <w:vertAlign w:val="superscript"/>
      <w:lang w:val="en-US" w:eastAsia="x-none"/>
    </w:rPr>
  </w:style>
  <w:style w:type="character" w:styleId="Hyperlink">
    <w:name w:val="Hyperlink"/>
    <w:basedOn w:val="DefaultParagraphFont"/>
    <w:uiPriority w:val="99"/>
    <w:semiHidden/>
    <w:unhideWhenUsed/>
    <w:rsid w:val="00247C52"/>
    <w:rPr>
      <w:i w:val="0"/>
      <w:iCs w:val="0"/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B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3155</Characters>
  <Application>Microsoft Office Word</Application>
  <DocSecurity>4</DocSecurity>
  <Lines>157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ENDJALA Titus (EEAS-WINDHOEK)</dc:creator>
  <cp:lastModifiedBy>LEWIS Susan-Marie (EEAS-WINDHOEK)</cp:lastModifiedBy>
  <cp:revision>2</cp:revision>
  <dcterms:created xsi:type="dcterms:W3CDTF">2017-08-02T13:59:00Z</dcterms:created>
  <dcterms:modified xsi:type="dcterms:W3CDTF">2017-08-02T13:59:00Z</dcterms:modified>
</cp:coreProperties>
</file>