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1814"/>
        <w:gridCol w:w="7655"/>
      </w:tblGrid>
      <w:tr w:rsidR="00AA6744" w:rsidRPr="00A24E75" w:rsidTr="00F16666">
        <w:trPr>
          <w:trHeight w:val="1236"/>
        </w:trPr>
        <w:tc>
          <w:tcPr>
            <w:tcW w:w="1814" w:type="dxa"/>
            <w:hideMark/>
          </w:tcPr>
          <w:p w:rsidR="00AA6744" w:rsidRDefault="00AA6744" w:rsidP="00F16666">
            <w:pPr>
              <w:pStyle w:val="ZCom"/>
            </w:pPr>
            <w:r w:rsidRPr="003D39BD">
              <w:rPr>
                <w:noProof/>
                <w:sz w:val="20"/>
                <w:lang w:val="en-GB" w:eastAsia="en-GB"/>
              </w:rPr>
              <w:drawing>
                <wp:inline distT="0" distB="0" distL="0" distR="0">
                  <wp:extent cx="1009650"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679450"/>
                          </a:xfrm>
                          <a:prstGeom prst="rect">
                            <a:avLst/>
                          </a:prstGeom>
                          <a:noFill/>
                          <a:ln>
                            <a:noFill/>
                          </a:ln>
                        </pic:spPr>
                      </pic:pic>
                    </a:graphicData>
                  </a:graphic>
                </wp:inline>
              </w:drawing>
            </w:r>
          </w:p>
        </w:tc>
        <w:tc>
          <w:tcPr>
            <w:tcW w:w="7655" w:type="dxa"/>
          </w:tcPr>
          <w:p w:rsidR="00AA6744" w:rsidRDefault="00AA6744" w:rsidP="00F16666">
            <w:pPr>
              <w:pStyle w:val="ZCom"/>
            </w:pPr>
            <w:r>
              <w:t>UNION EUROPÉENNE</w:t>
            </w:r>
          </w:p>
          <w:p w:rsidR="00AA6744" w:rsidRDefault="00AA6744" w:rsidP="00F16666">
            <w:pPr>
              <w:pStyle w:val="ZDGName"/>
            </w:pPr>
            <w:r>
              <w:t>DELEGATION EN TUNISIE</w:t>
            </w:r>
          </w:p>
          <w:p w:rsidR="00AA6744" w:rsidRDefault="00AA6744" w:rsidP="00F16666">
            <w:pPr>
              <w:pStyle w:val="ZDGName"/>
            </w:pPr>
          </w:p>
          <w:p w:rsidR="00AA6744" w:rsidRDefault="00AA6744" w:rsidP="00F16666">
            <w:pPr>
              <w:pStyle w:val="ZDGName"/>
            </w:pPr>
          </w:p>
          <w:p w:rsidR="00AA6744" w:rsidRDefault="00A24E75" w:rsidP="00F16666">
            <w:pPr>
              <w:pStyle w:val="ZDGName"/>
            </w:pPr>
            <w:r>
              <w:t>Section Finance Contrats &amp; Audit</w:t>
            </w:r>
            <w:bookmarkStart w:id="0" w:name="_GoBack"/>
            <w:bookmarkEnd w:id="0"/>
            <w:r w:rsidR="00AA6744">
              <w:t xml:space="preserve"> </w:t>
            </w:r>
          </w:p>
        </w:tc>
      </w:tr>
    </w:tbl>
    <w:p w:rsidR="00AA6744" w:rsidRPr="00AA6744" w:rsidRDefault="00AA6744" w:rsidP="00AA6744">
      <w:pPr>
        <w:ind w:left="5772" w:firstLine="708"/>
        <w:rPr>
          <w:sz w:val="24"/>
          <w:lang w:val="fr-BE"/>
        </w:rPr>
      </w:pPr>
      <w:r w:rsidRPr="00AA6744">
        <w:rPr>
          <w:sz w:val="24"/>
          <w:lang w:val="fr-BE"/>
        </w:rPr>
        <w:t xml:space="preserve">Tunis, le </w:t>
      </w:r>
      <w:r>
        <w:rPr>
          <w:sz w:val="24"/>
          <w:lang w:val="fr-BE"/>
        </w:rPr>
        <w:t>08/12</w:t>
      </w:r>
      <w:r w:rsidRPr="00AA6744">
        <w:rPr>
          <w:sz w:val="24"/>
          <w:lang w:val="fr-BE"/>
        </w:rPr>
        <w:t>/2021</w:t>
      </w:r>
    </w:p>
    <w:p w:rsidR="00AA6744" w:rsidRPr="00AA6744" w:rsidRDefault="00AA6744" w:rsidP="00AA6744">
      <w:pPr>
        <w:ind w:left="993" w:hanging="993"/>
        <w:rPr>
          <w:bCs/>
          <w:sz w:val="24"/>
          <w:szCs w:val="24"/>
          <w:lang w:val="fr-BE"/>
        </w:rPr>
      </w:pPr>
      <w:r w:rsidRPr="00AA6744">
        <w:rPr>
          <w:sz w:val="24"/>
          <w:lang w:val="fr-BE"/>
        </w:rPr>
        <w:t xml:space="preserve"> </w:t>
      </w:r>
    </w:p>
    <w:p w:rsidR="00AA6744" w:rsidRDefault="00AA6744" w:rsidP="00AA6744">
      <w:pPr>
        <w:spacing w:after="120"/>
        <w:ind w:left="851" w:hanging="851"/>
        <w:jc w:val="center"/>
        <w:rPr>
          <w:b/>
          <w:bCs/>
          <w:sz w:val="32"/>
          <w:szCs w:val="32"/>
          <w:lang w:val="fr-BE"/>
        </w:rPr>
      </w:pPr>
    </w:p>
    <w:p w:rsidR="00AA6744" w:rsidRPr="00457F2D" w:rsidRDefault="00AA6744" w:rsidP="00AA6744">
      <w:pPr>
        <w:spacing w:after="120"/>
        <w:ind w:left="851" w:hanging="851"/>
        <w:jc w:val="center"/>
        <w:rPr>
          <w:b/>
          <w:bCs/>
          <w:sz w:val="32"/>
          <w:szCs w:val="32"/>
          <w:lang w:val="fr-BE"/>
        </w:rPr>
      </w:pPr>
      <w:r w:rsidRPr="00457F2D">
        <w:rPr>
          <w:b/>
          <w:bCs/>
          <w:sz w:val="32"/>
          <w:szCs w:val="32"/>
          <w:lang w:val="fr-BE"/>
        </w:rPr>
        <w:t xml:space="preserve">SESSION D’INFORMATION SUR LES SUBVENTIONS DE L’UE </w:t>
      </w:r>
    </w:p>
    <w:p w:rsidR="00AA6744" w:rsidRPr="00457F2D" w:rsidRDefault="0095394D" w:rsidP="00AA6744">
      <w:pPr>
        <w:spacing w:after="120"/>
        <w:ind w:left="851" w:hanging="851"/>
        <w:jc w:val="center"/>
        <w:rPr>
          <w:b/>
          <w:bCs/>
          <w:sz w:val="24"/>
          <w:szCs w:val="24"/>
          <w:lang w:val="fr-BE"/>
        </w:rPr>
      </w:pPr>
      <w:r w:rsidRPr="00457F2D">
        <w:rPr>
          <w:b/>
          <w:bCs/>
          <w:sz w:val="24"/>
          <w:szCs w:val="24"/>
          <w:lang w:val="fr-BE"/>
        </w:rPr>
        <w:t>QUESTIONS-</w:t>
      </w:r>
      <w:r w:rsidR="00AA6744" w:rsidRPr="00457F2D">
        <w:rPr>
          <w:b/>
          <w:bCs/>
          <w:sz w:val="24"/>
          <w:szCs w:val="24"/>
          <w:lang w:val="fr-BE"/>
        </w:rPr>
        <w:t>REPONSES EN COMPLEMENT DU POWERPOINT</w:t>
      </w:r>
    </w:p>
    <w:p w:rsidR="00AA6744" w:rsidRPr="00AA6744" w:rsidRDefault="00AA6744" w:rsidP="00AA6744">
      <w:pPr>
        <w:spacing w:after="120"/>
        <w:ind w:left="851" w:hanging="851"/>
        <w:jc w:val="center"/>
        <w:rPr>
          <w:b/>
          <w:bCs/>
          <w:sz w:val="24"/>
          <w:szCs w:val="24"/>
          <w:lang w:val="fr-BE"/>
        </w:rPr>
      </w:pPr>
    </w:p>
    <w:p w:rsidR="001A0C04" w:rsidRDefault="001A0C04" w:rsidP="001A0C04">
      <w:pPr>
        <w:jc w:val="both"/>
        <w:rPr>
          <w:lang w:val="fr-BE"/>
        </w:rPr>
      </w:pPr>
    </w:p>
    <w:p w:rsidR="001A0C04" w:rsidRPr="00457F2D" w:rsidRDefault="001A0C04" w:rsidP="00457F2D">
      <w:pPr>
        <w:pBdr>
          <w:bottom w:val="single" w:sz="4" w:space="1" w:color="auto"/>
        </w:pBdr>
        <w:rPr>
          <w:b/>
          <w:bCs/>
          <w:color w:val="0070C0"/>
          <w:sz w:val="28"/>
          <w:szCs w:val="28"/>
          <w:lang w:val="fr-BE"/>
        </w:rPr>
      </w:pPr>
      <w:r w:rsidRPr="00457F2D">
        <w:rPr>
          <w:b/>
          <w:bCs/>
          <w:color w:val="0070C0"/>
          <w:sz w:val="28"/>
          <w:szCs w:val="28"/>
          <w:lang w:val="fr-BE"/>
        </w:rPr>
        <w:t>ROLE DU COORDONNATEUR / BENEFICIAIRE &amp; CO-BENEFICIAIRES</w:t>
      </w:r>
    </w:p>
    <w:p w:rsidR="0095394D" w:rsidRDefault="0095394D" w:rsidP="001A0C04">
      <w:pPr>
        <w:jc w:val="both"/>
        <w:rPr>
          <w:b/>
          <w:bCs/>
          <w:u w:val="single"/>
          <w:lang w:val="fr-BE"/>
        </w:rPr>
      </w:pPr>
    </w:p>
    <w:p w:rsidR="001A0C04" w:rsidRPr="00457F2D" w:rsidRDefault="001A0C04" w:rsidP="001A0C04">
      <w:pPr>
        <w:pStyle w:val="ListParagraph"/>
        <w:numPr>
          <w:ilvl w:val="0"/>
          <w:numId w:val="1"/>
        </w:numPr>
        <w:jc w:val="both"/>
        <w:rPr>
          <w:b/>
          <w:bCs/>
          <w:color w:val="0070C0"/>
          <w:sz w:val="28"/>
          <w:szCs w:val="28"/>
          <w:lang w:val="fr-BE"/>
        </w:rPr>
      </w:pPr>
      <w:r w:rsidRPr="00457F2D">
        <w:rPr>
          <w:b/>
          <w:bCs/>
          <w:color w:val="0070C0"/>
          <w:sz w:val="28"/>
          <w:szCs w:val="28"/>
          <w:lang w:val="fr-BE"/>
        </w:rPr>
        <w:t xml:space="preserve">L’entité affiliée a-t-elle le droit de signer un contrat avec un cabinet </w:t>
      </w:r>
      <w:proofErr w:type="gramStart"/>
      <w:r w:rsidRPr="00457F2D">
        <w:rPr>
          <w:b/>
          <w:bCs/>
          <w:color w:val="0070C0"/>
          <w:sz w:val="28"/>
          <w:szCs w:val="28"/>
          <w:lang w:val="fr-BE"/>
        </w:rPr>
        <w:t>d’audit</w:t>
      </w:r>
      <w:proofErr w:type="gramEnd"/>
      <w:r w:rsidRPr="00457F2D">
        <w:rPr>
          <w:b/>
          <w:bCs/>
          <w:color w:val="0070C0"/>
          <w:sz w:val="28"/>
          <w:szCs w:val="28"/>
          <w:lang w:val="fr-BE"/>
        </w:rPr>
        <w:t xml:space="preserve"> à qui sera confié les audits et vérifications des dépenses et subventions octroyées à des OSC suite </w:t>
      </w:r>
      <w:r w:rsidR="0095394D" w:rsidRPr="00457F2D">
        <w:rPr>
          <w:b/>
          <w:bCs/>
          <w:color w:val="0070C0"/>
          <w:sz w:val="28"/>
          <w:szCs w:val="28"/>
          <w:lang w:val="fr-BE"/>
        </w:rPr>
        <w:t xml:space="preserve">à un </w:t>
      </w:r>
      <w:r w:rsidRPr="00457F2D">
        <w:rPr>
          <w:b/>
          <w:bCs/>
          <w:color w:val="0070C0"/>
          <w:sz w:val="28"/>
          <w:szCs w:val="28"/>
          <w:lang w:val="fr-BE"/>
        </w:rPr>
        <w:t>appel à propositions – est-ce de la sous-traitance</w:t>
      </w:r>
      <w:r w:rsidR="0095394D" w:rsidRPr="00457F2D">
        <w:rPr>
          <w:b/>
          <w:bCs/>
          <w:color w:val="0070C0"/>
          <w:sz w:val="28"/>
          <w:szCs w:val="28"/>
          <w:lang w:val="fr-BE"/>
        </w:rPr>
        <w:t xml:space="preserve"> </w:t>
      </w:r>
      <w:r w:rsidRPr="00457F2D">
        <w:rPr>
          <w:b/>
          <w:bCs/>
          <w:color w:val="0070C0"/>
          <w:sz w:val="28"/>
          <w:szCs w:val="28"/>
          <w:lang w:val="fr-BE"/>
        </w:rPr>
        <w:t>?</w:t>
      </w:r>
    </w:p>
    <w:p w:rsidR="0095394D" w:rsidRDefault="001A0C04" w:rsidP="001A0C04">
      <w:pPr>
        <w:pStyle w:val="ListParagraph"/>
        <w:jc w:val="both"/>
        <w:rPr>
          <w:lang w:val="fr-BE"/>
        </w:rPr>
      </w:pPr>
      <w:r>
        <w:rPr>
          <w:lang w:val="fr-BE"/>
        </w:rPr>
        <w:t>Non, ce n’est pas de</w:t>
      </w:r>
      <w:r w:rsidR="00D55FDB">
        <w:rPr>
          <w:lang w:val="fr-BE"/>
        </w:rPr>
        <w:t xml:space="preserve"> la</w:t>
      </w:r>
      <w:r>
        <w:rPr>
          <w:lang w:val="fr-BE"/>
        </w:rPr>
        <w:t xml:space="preserve"> sous-traitance si l’entité affiliée se charge de mettre en l’œuvre une partie de l’action et si l’auditeur mentionné dans le contrat remplit les conditions d’éligibilité. Néanmoins, selon l’Art. 1.6 des CG, celle-ci est une responsabilité du Coordinateur. </w:t>
      </w:r>
    </w:p>
    <w:p w:rsidR="001A0C04" w:rsidRDefault="001A0C04" w:rsidP="001A0C04">
      <w:pPr>
        <w:pStyle w:val="ListParagraph"/>
        <w:jc w:val="both"/>
        <w:rPr>
          <w:lang w:val="fr-BE"/>
        </w:rPr>
      </w:pPr>
      <w:r>
        <w:rPr>
          <w:lang w:val="fr-BE"/>
        </w:rPr>
        <w:t xml:space="preserve">Un seul et unique rapport de vérification de dépenses incluant toutes les dépenses des bénéficiaires et leurs </w:t>
      </w:r>
      <w:r w:rsidR="0095394D">
        <w:rPr>
          <w:lang w:val="fr-BE"/>
        </w:rPr>
        <w:t>affiliés doit être présenté à l’Administration contractante</w:t>
      </w:r>
      <w:r>
        <w:rPr>
          <w:lang w:val="fr-BE"/>
        </w:rPr>
        <w:t xml:space="preserve">. </w:t>
      </w:r>
      <w:r w:rsidR="0095394D">
        <w:rPr>
          <w:lang w:val="fr-BE"/>
        </w:rPr>
        <w:t>Par ailleurs</w:t>
      </w:r>
      <w:r>
        <w:rPr>
          <w:lang w:val="fr-BE"/>
        </w:rPr>
        <w:t>, la sélection d</w:t>
      </w:r>
      <w:r w:rsidR="0095394D">
        <w:rPr>
          <w:lang w:val="fr-BE"/>
        </w:rPr>
        <w:t>u cabinet</w:t>
      </w:r>
      <w:r>
        <w:rPr>
          <w:lang w:val="fr-BE"/>
        </w:rPr>
        <w:t xml:space="preserve"> </w:t>
      </w:r>
      <w:r w:rsidR="0095394D">
        <w:rPr>
          <w:lang w:val="fr-BE"/>
        </w:rPr>
        <w:t>d</w:t>
      </w:r>
      <w:r>
        <w:rPr>
          <w:lang w:val="fr-BE"/>
        </w:rPr>
        <w:t>’audit doit respecter les principes de l’An</w:t>
      </w:r>
      <w:r w:rsidR="0095394D">
        <w:rPr>
          <w:lang w:val="fr-BE"/>
        </w:rPr>
        <w:t>nexe IV du contrat de subvention</w:t>
      </w:r>
      <w:r>
        <w:rPr>
          <w:lang w:val="fr-BE"/>
        </w:rPr>
        <w:t xml:space="preserve">. Cet </w:t>
      </w:r>
      <w:r w:rsidR="00D55FDB">
        <w:rPr>
          <w:lang w:val="fr-BE"/>
        </w:rPr>
        <w:t>auditeur doit nécessairement être</w:t>
      </w:r>
      <w:r>
        <w:rPr>
          <w:lang w:val="fr-BE"/>
        </w:rPr>
        <w:t xml:space="preserve"> distinct de l’auditeur statutaire (commissaire aux comptes).</w:t>
      </w:r>
    </w:p>
    <w:p w:rsidR="0095394D" w:rsidRDefault="0095394D" w:rsidP="001A0C04">
      <w:pPr>
        <w:pStyle w:val="ListParagraph"/>
        <w:jc w:val="both"/>
        <w:rPr>
          <w:lang w:val="fr-BE"/>
        </w:rPr>
      </w:pPr>
    </w:p>
    <w:p w:rsidR="001A0C04" w:rsidRDefault="0095394D" w:rsidP="001A0C04">
      <w:pPr>
        <w:pStyle w:val="ListParagraph"/>
        <w:numPr>
          <w:ilvl w:val="0"/>
          <w:numId w:val="2"/>
        </w:numPr>
        <w:jc w:val="both"/>
        <w:rPr>
          <w:lang w:val="fr-BE"/>
        </w:rPr>
      </w:pPr>
      <w:r w:rsidRPr="00457F2D">
        <w:rPr>
          <w:b/>
          <w:bCs/>
          <w:color w:val="0070C0"/>
          <w:sz w:val="28"/>
          <w:szCs w:val="28"/>
          <w:lang w:val="fr-BE"/>
        </w:rPr>
        <w:t>Merci de d</w:t>
      </w:r>
      <w:r w:rsidR="001A0C04" w:rsidRPr="00457F2D">
        <w:rPr>
          <w:b/>
          <w:bCs/>
          <w:color w:val="0070C0"/>
          <w:sz w:val="28"/>
          <w:szCs w:val="28"/>
          <w:lang w:val="fr-BE"/>
        </w:rPr>
        <w:t>éfinir les types d’affiliés ?</w:t>
      </w:r>
      <w:r w:rsidR="001A0C04">
        <w:rPr>
          <w:lang w:val="fr-BE"/>
        </w:rPr>
        <w:t xml:space="preserve"> une entité affiliée (AE) est une entité qui a un </w:t>
      </w:r>
      <w:r w:rsidR="001A0C04">
        <w:rPr>
          <w:u w:val="single"/>
          <w:lang w:val="fr-BE"/>
        </w:rPr>
        <w:t>lien structurel</w:t>
      </w:r>
      <w:r w:rsidR="001A0C04">
        <w:rPr>
          <w:lang w:val="fr-BE"/>
        </w:rPr>
        <w:t xml:space="preserve"> (existant avant la mise en œuvre de l’action) avec une des parties au contrat (le bénéficiaire principal dit coordinateur ou un de ses </w:t>
      </w:r>
      <w:proofErr w:type="spellStart"/>
      <w:r w:rsidR="001A0C04">
        <w:rPr>
          <w:lang w:val="fr-BE"/>
        </w:rPr>
        <w:t>co</w:t>
      </w:r>
      <w:proofErr w:type="spellEnd"/>
      <w:r w:rsidR="001A0C04">
        <w:rPr>
          <w:lang w:val="fr-BE"/>
        </w:rPr>
        <w:t xml:space="preserve">-bénéficiaires). Ce lien peut être « capitalistique » ou de contrôle ou encore de </w:t>
      </w:r>
      <w:proofErr w:type="spellStart"/>
      <w:r w:rsidR="001A0C04">
        <w:rPr>
          <w:i/>
          <w:iCs/>
          <w:lang w:val="fr-BE"/>
        </w:rPr>
        <w:t>membership</w:t>
      </w:r>
      <w:proofErr w:type="spellEnd"/>
      <w:r w:rsidR="001A0C04">
        <w:rPr>
          <w:lang w:val="fr-BE"/>
        </w:rPr>
        <w:t xml:space="preserve"> (exemple : réseau d’associations « </w:t>
      </w:r>
      <w:r w:rsidR="001A0C04">
        <w:rPr>
          <w:i/>
          <w:iCs/>
          <w:lang w:val="fr-BE"/>
        </w:rPr>
        <w:t>lambda</w:t>
      </w:r>
      <w:r w:rsidR="001A0C04">
        <w:rPr>
          <w:lang w:val="fr-BE"/>
        </w:rPr>
        <w:t> » et une association x membre du réseau « </w:t>
      </w:r>
      <w:r w:rsidR="001A0C04">
        <w:rPr>
          <w:i/>
          <w:iCs/>
          <w:lang w:val="fr-BE"/>
        </w:rPr>
        <w:t>lambda</w:t>
      </w:r>
      <w:r w:rsidR="001A0C04">
        <w:rPr>
          <w:lang w:val="fr-BE"/>
        </w:rPr>
        <w:t xml:space="preserve"> »). Attention : les AE ne sont pas parties au contrat mais doivent </w:t>
      </w:r>
      <w:r w:rsidR="00974A5D">
        <w:rPr>
          <w:lang w:val="fr-BE"/>
        </w:rPr>
        <w:t>être</w:t>
      </w:r>
      <w:r w:rsidR="001A0C04">
        <w:rPr>
          <w:lang w:val="fr-BE"/>
        </w:rPr>
        <w:t xml:space="preserve"> mentionnées à l’art. 7 des conditions particulières. Elles sont impliquées dans la mise en œuvre et leurs dépenses sont éligibles au même titre que le coordinateur et ses </w:t>
      </w:r>
      <w:proofErr w:type="spellStart"/>
      <w:r w:rsidR="001A0C04">
        <w:rPr>
          <w:lang w:val="fr-BE"/>
        </w:rPr>
        <w:t>co</w:t>
      </w:r>
      <w:proofErr w:type="spellEnd"/>
      <w:r w:rsidR="001A0C04">
        <w:rPr>
          <w:lang w:val="fr-BE"/>
        </w:rPr>
        <w:t xml:space="preserve">-bénéficiaires (car répondent aux mêmes critères d’éligibilité).  A ne pas confondre avec les entités dites </w:t>
      </w:r>
      <w:r w:rsidR="001A0C04">
        <w:rPr>
          <w:b/>
          <w:bCs/>
          <w:lang w:val="fr-BE"/>
        </w:rPr>
        <w:t>associées</w:t>
      </w:r>
      <w:r w:rsidR="005538EB">
        <w:rPr>
          <w:lang w:val="fr-BE"/>
        </w:rPr>
        <w:t xml:space="preserve"> qui</w:t>
      </w:r>
      <w:r w:rsidR="001A0C04">
        <w:rPr>
          <w:lang w:val="fr-BE"/>
        </w:rPr>
        <w:t xml:space="preserve"> ne sont pas partie</w:t>
      </w:r>
      <w:r w:rsidR="008105B4">
        <w:rPr>
          <w:lang w:val="fr-BE"/>
        </w:rPr>
        <w:t>s</w:t>
      </w:r>
      <w:r w:rsidR="001A0C04">
        <w:rPr>
          <w:lang w:val="fr-BE"/>
        </w:rPr>
        <w:t xml:space="preserve"> au contrat</w:t>
      </w:r>
      <w:r w:rsidR="005538EB">
        <w:rPr>
          <w:lang w:val="fr-BE"/>
        </w:rPr>
        <w:t xml:space="preserve"> et dont les dépenses ne sont éligibles car</w:t>
      </w:r>
      <w:r w:rsidR="001A0C04">
        <w:rPr>
          <w:lang w:val="fr-BE"/>
        </w:rPr>
        <w:t xml:space="preserve"> elles </w:t>
      </w:r>
      <w:r w:rsidR="005538EB">
        <w:rPr>
          <w:lang w:val="fr-BE"/>
        </w:rPr>
        <w:t>ne reçoivent pas</w:t>
      </w:r>
      <w:r w:rsidR="001A0C04">
        <w:rPr>
          <w:lang w:val="fr-BE"/>
        </w:rPr>
        <w:t xml:space="preserve"> de fonds de l’UE à l’exception des c</w:t>
      </w:r>
      <w:r w:rsidR="008105B4">
        <w:rPr>
          <w:lang w:val="fr-BE"/>
        </w:rPr>
        <w:t>oûts de voyages/</w:t>
      </w:r>
      <w:proofErr w:type="spellStart"/>
      <w:r w:rsidR="008105B4">
        <w:rPr>
          <w:lang w:val="fr-BE"/>
        </w:rPr>
        <w:t>perdiem</w:t>
      </w:r>
      <w:proofErr w:type="spellEnd"/>
      <w:r w:rsidR="008105B4">
        <w:rPr>
          <w:lang w:val="fr-BE"/>
        </w:rPr>
        <w:t xml:space="preserve"> si jugé</w:t>
      </w:r>
      <w:r w:rsidR="001A0C04">
        <w:rPr>
          <w:lang w:val="fr-BE"/>
        </w:rPr>
        <w:t xml:space="preserve">s utiles à la mise en œuvre de l’action/d’une activité. </w:t>
      </w:r>
      <w:r w:rsidR="005538EB">
        <w:rPr>
          <w:lang w:val="fr-BE"/>
        </w:rPr>
        <w:t xml:space="preserve"> </w:t>
      </w:r>
    </w:p>
    <w:p w:rsidR="001A0C04" w:rsidRDefault="001A0C04" w:rsidP="001A0C04">
      <w:pPr>
        <w:jc w:val="both"/>
        <w:rPr>
          <w:lang w:val="fr-BE"/>
        </w:rPr>
      </w:pPr>
    </w:p>
    <w:p w:rsidR="00466D3A" w:rsidRDefault="00466D3A" w:rsidP="00457F2D">
      <w:pPr>
        <w:pBdr>
          <w:bottom w:val="single" w:sz="4" w:space="1" w:color="auto"/>
        </w:pBdr>
        <w:jc w:val="both"/>
        <w:rPr>
          <w:b/>
          <w:bCs/>
          <w:color w:val="0070C0"/>
          <w:sz w:val="28"/>
          <w:szCs w:val="28"/>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EQUIPEMENTS ET TRANSFERT DES ACTIFS</w:t>
      </w:r>
    </w:p>
    <w:p w:rsidR="005538EB" w:rsidRDefault="005538EB" w:rsidP="001A0C04">
      <w:pPr>
        <w:jc w:val="both"/>
        <w:rPr>
          <w:b/>
          <w:bCs/>
          <w:color w:val="0070C0"/>
          <w:u w:val="single"/>
          <w:lang w:val="fr-BE"/>
        </w:rPr>
      </w:pPr>
    </w:p>
    <w:p w:rsidR="00A235C9" w:rsidRPr="00A235C9" w:rsidRDefault="001A0C04" w:rsidP="001A0C04">
      <w:pPr>
        <w:pStyle w:val="ListParagraph"/>
        <w:numPr>
          <w:ilvl w:val="0"/>
          <w:numId w:val="2"/>
        </w:numPr>
        <w:jc w:val="both"/>
        <w:rPr>
          <w:b/>
          <w:bCs/>
          <w:lang w:val="fr-BE"/>
        </w:rPr>
      </w:pPr>
      <w:r w:rsidRPr="00457F2D">
        <w:rPr>
          <w:b/>
          <w:bCs/>
          <w:color w:val="0070C0"/>
          <w:sz w:val="28"/>
          <w:szCs w:val="28"/>
          <w:lang w:val="fr-BE"/>
        </w:rPr>
        <w:t>Y-a-t-il un modèle de transfert de</w:t>
      </w:r>
      <w:r w:rsidR="005538EB" w:rsidRPr="00457F2D">
        <w:rPr>
          <w:b/>
          <w:bCs/>
          <w:color w:val="0070C0"/>
          <w:sz w:val="28"/>
          <w:szCs w:val="28"/>
          <w:lang w:val="fr-BE"/>
        </w:rPr>
        <w:t>s</w:t>
      </w:r>
      <w:r w:rsidRPr="00457F2D">
        <w:rPr>
          <w:b/>
          <w:bCs/>
          <w:color w:val="0070C0"/>
          <w:sz w:val="28"/>
          <w:szCs w:val="28"/>
          <w:lang w:val="fr-BE"/>
        </w:rPr>
        <w:t xml:space="preserve"> </w:t>
      </w:r>
      <w:r w:rsidR="005538EB" w:rsidRPr="00457F2D">
        <w:rPr>
          <w:b/>
          <w:bCs/>
          <w:color w:val="0070C0"/>
          <w:sz w:val="28"/>
          <w:szCs w:val="28"/>
          <w:lang w:val="fr-BE"/>
        </w:rPr>
        <w:t xml:space="preserve">actifs </w:t>
      </w:r>
      <w:r w:rsidRPr="00457F2D">
        <w:rPr>
          <w:b/>
          <w:bCs/>
          <w:color w:val="0070C0"/>
          <w:sz w:val="28"/>
          <w:szCs w:val="28"/>
          <w:lang w:val="fr-BE"/>
        </w:rPr>
        <w:t>à suivre ?</w:t>
      </w:r>
      <w:r w:rsidRPr="00457F2D">
        <w:rPr>
          <w:b/>
          <w:bCs/>
          <w:color w:val="0070C0"/>
          <w:lang w:val="fr-BE"/>
        </w:rPr>
        <w:t xml:space="preserve"> </w:t>
      </w:r>
      <w:r w:rsidR="005538EB" w:rsidRPr="005538EB">
        <w:rPr>
          <w:bCs/>
          <w:lang w:val="fr-BE"/>
        </w:rPr>
        <w:t>Oui, l’</w:t>
      </w:r>
      <w:r>
        <w:rPr>
          <w:lang w:val="fr-BE"/>
        </w:rPr>
        <w:t xml:space="preserve">Annexe IX des conditions particulières (un tableau à compléter et faire signer par l’entité </w:t>
      </w:r>
      <w:r w:rsidR="005538EB">
        <w:rPr>
          <w:lang w:val="fr-BE"/>
        </w:rPr>
        <w:t>bénéficiaire</w:t>
      </w:r>
      <w:r>
        <w:rPr>
          <w:lang w:val="fr-BE"/>
        </w:rPr>
        <w:t>). Attention, cette annexe est nécessaire pour les biens et équipements dont le prix unitaire</w:t>
      </w:r>
      <w:r w:rsidR="00BC0B70">
        <w:rPr>
          <w:lang w:val="fr-BE"/>
        </w:rPr>
        <w:t xml:space="preserve"> est égal ou supérieur à 5.000</w:t>
      </w:r>
      <w:r>
        <w:rPr>
          <w:lang w:val="fr-BE"/>
        </w:rPr>
        <w:t>€.</w:t>
      </w:r>
    </w:p>
    <w:p w:rsidR="001A0C04" w:rsidRPr="00457F2D" w:rsidRDefault="001A0C04" w:rsidP="001A0C04">
      <w:pPr>
        <w:pStyle w:val="ListParagraph"/>
        <w:numPr>
          <w:ilvl w:val="0"/>
          <w:numId w:val="2"/>
        </w:numPr>
        <w:jc w:val="both"/>
        <w:rPr>
          <w:b/>
          <w:bCs/>
          <w:lang w:val="fr-BE"/>
        </w:rPr>
      </w:pPr>
      <w:r>
        <w:rPr>
          <w:lang w:val="fr-BE"/>
        </w:rPr>
        <w:lastRenderedPageBreak/>
        <w:t>Pour autant, le tr</w:t>
      </w:r>
      <w:r w:rsidR="00457F2D">
        <w:rPr>
          <w:lang w:val="fr-BE"/>
        </w:rPr>
        <w:t xml:space="preserve">ansfert de TOUS les équipements, </w:t>
      </w:r>
      <w:r w:rsidRPr="00457F2D">
        <w:rPr>
          <w:b/>
          <w:lang w:val="fr-BE"/>
        </w:rPr>
        <w:t>quel que soit leur montant</w:t>
      </w:r>
      <w:r w:rsidR="00457F2D">
        <w:rPr>
          <w:lang w:val="fr-BE"/>
        </w:rPr>
        <w:t>,</w:t>
      </w:r>
      <w:r>
        <w:rPr>
          <w:lang w:val="fr-BE"/>
        </w:rPr>
        <w:t xml:space="preserve"> est obligatoire (pas de preuve pour ceux dont le coût</w:t>
      </w:r>
      <w:r w:rsidR="00BC0B70">
        <w:rPr>
          <w:lang w:val="fr-BE"/>
        </w:rPr>
        <w:t xml:space="preserve"> unitaire est inférieur à 5.000</w:t>
      </w:r>
      <w:r>
        <w:rPr>
          <w:lang w:val="fr-BE"/>
        </w:rPr>
        <w:t>€, la base d</w:t>
      </w:r>
      <w:r w:rsidR="00A235C9">
        <w:rPr>
          <w:lang w:val="fr-BE"/>
        </w:rPr>
        <w:t>éclarative du rapport narratif</w:t>
      </w:r>
      <w:r w:rsidR="00457F2D">
        <w:rPr>
          <w:lang w:val="fr-BE"/>
        </w:rPr>
        <w:t xml:space="preserve"> </w:t>
      </w:r>
      <w:r>
        <w:rPr>
          <w:lang w:val="fr-BE"/>
        </w:rPr>
        <w:t>+ vérification de dépenses suffisent).</w:t>
      </w:r>
    </w:p>
    <w:p w:rsidR="00457F2D" w:rsidRDefault="00457F2D" w:rsidP="00457F2D">
      <w:pPr>
        <w:pStyle w:val="ListParagraph"/>
        <w:jc w:val="both"/>
        <w:rPr>
          <w:b/>
          <w:bCs/>
          <w:lang w:val="fr-BE"/>
        </w:rPr>
      </w:pPr>
    </w:p>
    <w:p w:rsidR="001A0C04" w:rsidRDefault="001A0C04" w:rsidP="001A0C04">
      <w:pPr>
        <w:pStyle w:val="ListParagraph"/>
        <w:numPr>
          <w:ilvl w:val="0"/>
          <w:numId w:val="2"/>
        </w:numPr>
        <w:jc w:val="both"/>
        <w:rPr>
          <w:lang w:val="fr-BE"/>
        </w:rPr>
      </w:pPr>
      <w:r w:rsidRPr="00457F2D">
        <w:rPr>
          <w:b/>
          <w:bCs/>
          <w:color w:val="0070C0"/>
          <w:sz w:val="28"/>
          <w:szCs w:val="28"/>
          <w:lang w:val="fr-BE"/>
        </w:rPr>
        <w:t>P</w:t>
      </w:r>
      <w:r w:rsidR="00457F2D">
        <w:rPr>
          <w:b/>
          <w:bCs/>
          <w:color w:val="0070C0"/>
          <w:sz w:val="28"/>
          <w:szCs w:val="28"/>
          <w:lang w:val="fr-BE"/>
        </w:rPr>
        <w:t>eut-on ne pas transférer l</w:t>
      </w:r>
      <w:r w:rsidRPr="00457F2D">
        <w:rPr>
          <w:b/>
          <w:bCs/>
          <w:color w:val="0070C0"/>
          <w:sz w:val="28"/>
          <w:szCs w:val="28"/>
          <w:lang w:val="fr-BE"/>
        </w:rPr>
        <w:t>es équipements achetés dans le cadre d’un projet UE</w:t>
      </w:r>
      <w:r w:rsidR="00457F2D">
        <w:rPr>
          <w:b/>
          <w:bCs/>
          <w:color w:val="0070C0"/>
          <w:sz w:val="28"/>
          <w:szCs w:val="28"/>
          <w:lang w:val="fr-BE"/>
        </w:rPr>
        <w:t xml:space="preserve"> ? </w:t>
      </w:r>
      <w:r w:rsidRPr="00457F2D">
        <w:rPr>
          <w:b/>
          <w:bCs/>
          <w:color w:val="0070C0"/>
          <w:sz w:val="28"/>
          <w:szCs w:val="28"/>
          <w:lang w:val="fr-BE"/>
        </w:rPr>
        <w:t xml:space="preserve">A-t-on besoin d’une autorisation préalable ? </w:t>
      </w:r>
      <w:r w:rsidR="00457F2D">
        <w:rPr>
          <w:b/>
          <w:bCs/>
          <w:color w:val="0070C0"/>
          <w:sz w:val="28"/>
          <w:szCs w:val="28"/>
          <w:lang w:val="fr-BE"/>
        </w:rPr>
        <w:t>(</w:t>
      </w:r>
      <w:proofErr w:type="gramStart"/>
      <w:r w:rsidRPr="00457F2D">
        <w:rPr>
          <w:b/>
          <w:bCs/>
          <w:color w:val="0070C0"/>
          <w:sz w:val="28"/>
          <w:szCs w:val="28"/>
          <w:lang w:val="fr-BE"/>
        </w:rPr>
        <w:t>ex.</w:t>
      </w:r>
      <w:proofErr w:type="gramEnd"/>
      <w:r w:rsidRPr="00457F2D">
        <w:rPr>
          <w:b/>
          <w:bCs/>
          <w:color w:val="0070C0"/>
          <w:sz w:val="28"/>
          <w:szCs w:val="28"/>
          <w:lang w:val="fr-BE"/>
        </w:rPr>
        <w:t xml:space="preserve"> pour des ordinateurs </w:t>
      </w:r>
      <w:r w:rsidR="00457F2D">
        <w:rPr>
          <w:b/>
          <w:bCs/>
          <w:color w:val="0070C0"/>
          <w:sz w:val="28"/>
          <w:szCs w:val="28"/>
          <w:lang w:val="fr-BE"/>
        </w:rPr>
        <w:t>du fait</w:t>
      </w:r>
      <w:r w:rsidRPr="00457F2D">
        <w:rPr>
          <w:b/>
          <w:bCs/>
          <w:color w:val="0070C0"/>
          <w:sz w:val="28"/>
          <w:szCs w:val="28"/>
          <w:lang w:val="fr-BE"/>
        </w:rPr>
        <w:t xml:space="preserve"> des données confidentielles</w:t>
      </w:r>
      <w:r w:rsidR="00457F2D">
        <w:rPr>
          <w:b/>
          <w:bCs/>
          <w:color w:val="0070C0"/>
          <w:sz w:val="28"/>
          <w:szCs w:val="28"/>
          <w:lang w:val="fr-BE"/>
        </w:rPr>
        <w:t>).</w:t>
      </w:r>
      <w:r w:rsidRPr="00457F2D">
        <w:rPr>
          <w:b/>
          <w:bCs/>
          <w:color w:val="0070C0"/>
          <w:sz w:val="28"/>
          <w:szCs w:val="28"/>
          <w:lang w:val="fr-BE"/>
        </w:rPr>
        <w:t xml:space="preserve"> Si une association locale est </w:t>
      </w:r>
      <w:proofErr w:type="spellStart"/>
      <w:r w:rsidRPr="00457F2D">
        <w:rPr>
          <w:b/>
          <w:bCs/>
          <w:color w:val="0070C0"/>
          <w:sz w:val="28"/>
          <w:szCs w:val="28"/>
          <w:lang w:val="fr-BE"/>
        </w:rPr>
        <w:t>co</w:t>
      </w:r>
      <w:proofErr w:type="spellEnd"/>
      <w:r w:rsidRPr="00457F2D">
        <w:rPr>
          <w:b/>
          <w:bCs/>
          <w:color w:val="0070C0"/>
          <w:sz w:val="28"/>
          <w:szCs w:val="28"/>
          <w:lang w:val="fr-BE"/>
        </w:rPr>
        <w:t>-bénéficiaire peut-elle garder les équipements ?</w:t>
      </w:r>
      <w:r>
        <w:rPr>
          <w:b/>
          <w:bCs/>
          <w:lang w:val="fr-BE"/>
        </w:rPr>
        <w:t xml:space="preserve"> </w:t>
      </w:r>
      <w:r>
        <w:rPr>
          <w:lang w:val="fr-BE"/>
        </w:rPr>
        <w:t xml:space="preserve">L’art. 7 des CG prévoit que TOUS les biens et équipements, sans exception, acquis dans le cadre du contrat soient transférés en fin d’action aux bénéficiaires </w:t>
      </w:r>
      <w:r>
        <w:rPr>
          <w:u w:val="single"/>
          <w:lang w:val="fr-BE"/>
        </w:rPr>
        <w:t>finaux</w:t>
      </w:r>
      <w:r>
        <w:rPr>
          <w:lang w:val="fr-BE"/>
        </w:rPr>
        <w:t>. Il est toujours préférable de consulter l’administration contractante au préalable ou dès l’établissement du contrat (éventuellement dérogation dans l’art. 7 à considérer). Une décision</w:t>
      </w:r>
      <w:r w:rsidR="00457F2D">
        <w:rPr>
          <w:lang w:val="fr-BE"/>
        </w:rPr>
        <w:t xml:space="preserve"> peut être prise au cas par cas si celle-ci est dûment justifiée.</w:t>
      </w:r>
    </w:p>
    <w:p w:rsidR="00457F2D" w:rsidRPr="00457F2D" w:rsidRDefault="00457F2D" w:rsidP="00457F2D">
      <w:pPr>
        <w:pStyle w:val="ListParagraph"/>
        <w:rPr>
          <w:lang w:val="fr-BE"/>
        </w:rPr>
      </w:pPr>
    </w:p>
    <w:p w:rsidR="001A0C04" w:rsidRDefault="001A0C04" w:rsidP="001A0C04">
      <w:pPr>
        <w:pStyle w:val="ListParagraph"/>
        <w:numPr>
          <w:ilvl w:val="0"/>
          <w:numId w:val="2"/>
        </w:numPr>
        <w:jc w:val="both"/>
        <w:rPr>
          <w:lang w:val="fr-BE"/>
        </w:rPr>
      </w:pPr>
      <w:r w:rsidRPr="00457F2D">
        <w:rPr>
          <w:b/>
          <w:bCs/>
          <w:color w:val="0070C0"/>
          <w:sz w:val="28"/>
          <w:szCs w:val="28"/>
          <w:lang w:val="fr-BE"/>
        </w:rPr>
        <w:t>Dans le cas d’achat d’un véhicule, peut-on garder la propriété pour un deuxième projet ?</w:t>
      </w:r>
      <w:r w:rsidRPr="00457F2D">
        <w:rPr>
          <w:b/>
          <w:bCs/>
          <w:color w:val="0070C0"/>
          <w:lang w:val="fr-BE"/>
        </w:rPr>
        <w:t xml:space="preserve"> </w:t>
      </w:r>
      <w:r>
        <w:rPr>
          <w:lang w:val="fr-BE"/>
        </w:rPr>
        <w:t>Si les deux projets sont financés par l’UE et si cela permet de ne pas racheter le</w:t>
      </w:r>
      <w:r w:rsidR="008F1449">
        <w:rPr>
          <w:lang w:val="fr-BE"/>
        </w:rPr>
        <w:t>(</w:t>
      </w:r>
      <w:r>
        <w:rPr>
          <w:lang w:val="fr-BE"/>
        </w:rPr>
        <w:t>s</w:t>
      </w:r>
      <w:r w:rsidR="008F1449">
        <w:rPr>
          <w:lang w:val="fr-BE"/>
        </w:rPr>
        <w:t>)</w:t>
      </w:r>
      <w:r>
        <w:rPr>
          <w:lang w:val="fr-BE"/>
        </w:rPr>
        <w:t xml:space="preserve"> même</w:t>
      </w:r>
      <w:r w:rsidR="008F1449">
        <w:rPr>
          <w:lang w:val="fr-BE"/>
        </w:rPr>
        <w:t>(</w:t>
      </w:r>
      <w:r>
        <w:rPr>
          <w:lang w:val="fr-BE"/>
        </w:rPr>
        <w:t>s</w:t>
      </w:r>
      <w:r w:rsidR="008F1449">
        <w:rPr>
          <w:lang w:val="fr-BE"/>
        </w:rPr>
        <w:t>)</w:t>
      </w:r>
      <w:r>
        <w:rPr>
          <w:lang w:val="fr-BE"/>
        </w:rPr>
        <w:t xml:space="preserve"> équipements dans le second projet</w:t>
      </w:r>
      <w:r w:rsidR="008F1449">
        <w:rPr>
          <w:lang w:val="fr-BE"/>
        </w:rPr>
        <w:t>, en effet, ce serait une option.</w:t>
      </w:r>
      <w:r>
        <w:rPr>
          <w:lang w:val="fr-BE"/>
        </w:rPr>
        <w:t xml:space="preserve"> Le transfert devra néanmoins s’opérer en fin de mise en œuvre</w:t>
      </w:r>
      <w:r w:rsidR="008F1449">
        <w:rPr>
          <w:lang w:val="fr-BE"/>
        </w:rPr>
        <w:t xml:space="preserve"> du 2eme projet.</w:t>
      </w:r>
      <w:r>
        <w:rPr>
          <w:lang w:val="fr-BE"/>
        </w:rPr>
        <w:t xml:space="preserve"> Dans tous les cas, une demande motivée est nécessaire pour obtenir l’accord de l’administration contractante</w:t>
      </w:r>
      <w:r w:rsidR="008F1449">
        <w:rPr>
          <w:lang w:val="fr-BE"/>
        </w:rPr>
        <w:t xml:space="preserve"> (voire le mentionner dans les CP)</w:t>
      </w:r>
      <w:r>
        <w:rPr>
          <w:lang w:val="fr-BE"/>
        </w:rPr>
        <w:t>.</w:t>
      </w:r>
    </w:p>
    <w:p w:rsidR="008F1449" w:rsidRPr="008F1449" w:rsidRDefault="008F1449" w:rsidP="008F1449">
      <w:pPr>
        <w:jc w:val="both"/>
        <w:rPr>
          <w:lang w:val="fr-BE"/>
        </w:rPr>
      </w:pPr>
    </w:p>
    <w:p w:rsidR="001A0C04" w:rsidRPr="008F1449" w:rsidRDefault="001A0C04" w:rsidP="00BC0B70">
      <w:pPr>
        <w:pStyle w:val="ListParagraph"/>
        <w:numPr>
          <w:ilvl w:val="0"/>
          <w:numId w:val="2"/>
        </w:numPr>
        <w:jc w:val="both"/>
        <w:rPr>
          <w:b/>
          <w:bCs/>
          <w:lang w:val="fr-BE"/>
        </w:rPr>
      </w:pPr>
      <w:r w:rsidRPr="008F1449">
        <w:rPr>
          <w:b/>
          <w:bCs/>
          <w:color w:val="0070C0"/>
          <w:sz w:val="28"/>
          <w:szCs w:val="28"/>
          <w:lang w:val="fr-BE"/>
        </w:rPr>
        <w:t>Peut-on transférer de biens (PC, camera</w:t>
      </w:r>
      <w:r w:rsidR="00BC0B70" w:rsidRPr="008F1449">
        <w:rPr>
          <w:b/>
          <w:bCs/>
          <w:color w:val="0070C0"/>
          <w:sz w:val="28"/>
          <w:szCs w:val="28"/>
          <w:lang w:val="fr-BE"/>
        </w:rPr>
        <w:t>..., infé</w:t>
      </w:r>
      <w:r w:rsidRPr="008F1449">
        <w:rPr>
          <w:b/>
          <w:bCs/>
          <w:color w:val="0070C0"/>
          <w:sz w:val="28"/>
          <w:szCs w:val="28"/>
          <w:lang w:val="fr-BE"/>
        </w:rPr>
        <w:t>rieurs à 5.000€) aux associations affiliées ?</w:t>
      </w:r>
      <w:r w:rsidRPr="008F1449">
        <w:rPr>
          <w:b/>
          <w:bCs/>
          <w:color w:val="0070C0"/>
          <w:lang w:val="fr-BE"/>
        </w:rPr>
        <w:t xml:space="preserve"> </w:t>
      </w:r>
      <w:r>
        <w:rPr>
          <w:lang w:val="fr-BE"/>
        </w:rPr>
        <w:t>les AE</w:t>
      </w:r>
      <w:r w:rsidRPr="00BA7C27">
        <w:rPr>
          <w:lang w:val="fr-BE"/>
        </w:rPr>
        <w:t>, en principe</w:t>
      </w:r>
      <w:r>
        <w:rPr>
          <w:color w:val="1F497D"/>
          <w:lang w:val="fr-BE"/>
        </w:rPr>
        <w:t>,</w:t>
      </w:r>
      <w:r>
        <w:rPr>
          <w:lang w:val="fr-BE"/>
        </w:rPr>
        <w:t xml:space="preserve"> ne sont pas les bénéficiaires finaux de l’action mais une décision au cas par cas est possible s’il n’y a pas de bénéficiaires finaux à qui faire le transfert. A convenir avec l’Administration contractante au préalable (à la signature du contrat ou avant la fin de l’action).</w:t>
      </w:r>
    </w:p>
    <w:p w:rsidR="008F1449" w:rsidRPr="008F1449" w:rsidRDefault="008F1449" w:rsidP="008F1449">
      <w:pPr>
        <w:jc w:val="both"/>
        <w:rPr>
          <w:b/>
          <w:bCs/>
          <w:lang w:val="fr-BE"/>
        </w:rPr>
      </w:pPr>
    </w:p>
    <w:p w:rsidR="001A0C04" w:rsidRDefault="008F1449" w:rsidP="001A0C04">
      <w:pPr>
        <w:pStyle w:val="ListParagraph"/>
        <w:numPr>
          <w:ilvl w:val="0"/>
          <w:numId w:val="2"/>
        </w:numPr>
        <w:jc w:val="both"/>
        <w:rPr>
          <w:lang w:val="fr-BE"/>
        </w:rPr>
      </w:pPr>
      <w:r>
        <w:rPr>
          <w:b/>
          <w:bCs/>
          <w:color w:val="0070C0"/>
          <w:sz w:val="28"/>
          <w:szCs w:val="28"/>
          <w:lang w:val="fr-BE"/>
        </w:rPr>
        <w:t>La r</w:t>
      </w:r>
      <w:r w:rsidR="001A0C04" w:rsidRPr="008F1449">
        <w:rPr>
          <w:b/>
          <w:bCs/>
          <w:color w:val="0070C0"/>
          <w:sz w:val="28"/>
          <w:szCs w:val="28"/>
          <w:lang w:val="fr-BE"/>
        </w:rPr>
        <w:t xml:space="preserve">ègle d’origine et </w:t>
      </w:r>
      <w:r>
        <w:rPr>
          <w:b/>
          <w:bCs/>
          <w:color w:val="0070C0"/>
          <w:sz w:val="28"/>
          <w:szCs w:val="28"/>
          <w:lang w:val="fr-BE"/>
        </w:rPr>
        <w:t xml:space="preserve">le </w:t>
      </w:r>
      <w:r w:rsidR="001A0C04" w:rsidRPr="008F1449">
        <w:rPr>
          <w:b/>
          <w:bCs/>
          <w:color w:val="0070C0"/>
          <w:sz w:val="28"/>
          <w:szCs w:val="28"/>
          <w:lang w:val="fr-BE"/>
        </w:rPr>
        <w:t xml:space="preserve">seuil de 100.000€ </w:t>
      </w:r>
      <w:r>
        <w:rPr>
          <w:b/>
          <w:bCs/>
          <w:color w:val="0070C0"/>
          <w:sz w:val="28"/>
          <w:szCs w:val="28"/>
          <w:lang w:val="fr-BE"/>
        </w:rPr>
        <w:t xml:space="preserve">sont-ils appliqués </w:t>
      </w:r>
      <w:r w:rsidR="00BC0B70" w:rsidRPr="008F1449">
        <w:rPr>
          <w:b/>
          <w:bCs/>
          <w:color w:val="0070C0"/>
          <w:sz w:val="28"/>
          <w:szCs w:val="28"/>
          <w:lang w:val="fr-BE"/>
        </w:rPr>
        <w:t xml:space="preserve">par </w:t>
      </w:r>
      <w:r w:rsidR="001A0C04" w:rsidRPr="008F1449">
        <w:rPr>
          <w:b/>
          <w:bCs/>
          <w:color w:val="0070C0"/>
          <w:sz w:val="28"/>
          <w:szCs w:val="28"/>
          <w:lang w:val="fr-BE"/>
        </w:rPr>
        <w:t>lot ou par équipement ?</w:t>
      </w:r>
      <w:r w:rsidR="001A0C04">
        <w:rPr>
          <w:b/>
          <w:bCs/>
          <w:lang w:val="fr-BE"/>
        </w:rPr>
        <w:t xml:space="preserve"> </w:t>
      </w:r>
      <w:r w:rsidR="001A0C04">
        <w:rPr>
          <w:lang w:val="fr-BE"/>
        </w:rPr>
        <w:t xml:space="preserve">par lot ou par appel d’offres si composé d’un seul lot. </w:t>
      </w:r>
      <w:r>
        <w:rPr>
          <w:lang w:val="fr-BE"/>
        </w:rPr>
        <w:t xml:space="preserve">Toute </w:t>
      </w:r>
      <w:r w:rsidR="001A0C04">
        <w:rPr>
          <w:lang w:val="fr-BE"/>
        </w:rPr>
        <w:t>division artificielle pour passer les</w:t>
      </w:r>
      <w:r w:rsidR="00BC0B70">
        <w:rPr>
          <w:lang w:val="fr-BE"/>
        </w:rPr>
        <w:t xml:space="preserve"> lots sous la barre des 100.000</w:t>
      </w:r>
      <w:r w:rsidR="001A0C04">
        <w:rPr>
          <w:lang w:val="fr-BE"/>
        </w:rPr>
        <w:t>€.</w:t>
      </w:r>
    </w:p>
    <w:p w:rsidR="001A0C04" w:rsidRDefault="001A0C04" w:rsidP="001A0C04">
      <w:pPr>
        <w:jc w:val="both"/>
        <w:rPr>
          <w:lang w:val="fr-BE"/>
        </w:rPr>
      </w:pPr>
    </w:p>
    <w:p w:rsidR="00466D3A" w:rsidRDefault="00466D3A" w:rsidP="00457F2D">
      <w:pPr>
        <w:pBdr>
          <w:bottom w:val="single" w:sz="4" w:space="1" w:color="auto"/>
        </w:pBdr>
        <w:jc w:val="both"/>
        <w:rPr>
          <w:b/>
          <w:bCs/>
          <w:color w:val="0070C0"/>
          <w:sz w:val="28"/>
          <w:szCs w:val="28"/>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RAPPORTS ET PAIEMENTS</w:t>
      </w:r>
    </w:p>
    <w:p w:rsidR="00466D3A" w:rsidRDefault="00466D3A" w:rsidP="00466D3A">
      <w:pPr>
        <w:pStyle w:val="ListParagraph"/>
        <w:jc w:val="both"/>
        <w:rPr>
          <w:b/>
          <w:bCs/>
          <w:lang w:val="fr-BE"/>
        </w:rPr>
      </w:pPr>
    </w:p>
    <w:p w:rsidR="001A0C04" w:rsidRPr="00466D3A" w:rsidRDefault="001A0C04" w:rsidP="001A0C04">
      <w:pPr>
        <w:pStyle w:val="ListParagraph"/>
        <w:numPr>
          <w:ilvl w:val="0"/>
          <w:numId w:val="3"/>
        </w:numPr>
        <w:jc w:val="both"/>
        <w:rPr>
          <w:b/>
          <w:bCs/>
          <w:color w:val="0070C0"/>
          <w:sz w:val="28"/>
          <w:szCs w:val="28"/>
          <w:lang w:val="fr-BE"/>
        </w:rPr>
      </w:pPr>
      <w:r w:rsidRPr="00466D3A">
        <w:rPr>
          <w:b/>
          <w:bCs/>
          <w:color w:val="0070C0"/>
          <w:sz w:val="28"/>
          <w:szCs w:val="28"/>
          <w:lang w:val="fr-BE"/>
        </w:rPr>
        <w:t>Concernant l’échéance de remise des rapports. Est-ce qu’elle est de 12 mois même si 70% de la contribution n’est pas atteint</w:t>
      </w:r>
      <w:r w:rsidR="00BC0B70" w:rsidRPr="00466D3A">
        <w:rPr>
          <w:b/>
          <w:bCs/>
          <w:color w:val="0070C0"/>
          <w:sz w:val="28"/>
          <w:szCs w:val="28"/>
          <w:lang w:val="fr-BE"/>
        </w:rPr>
        <w:t>e</w:t>
      </w:r>
      <w:r w:rsidRPr="00466D3A">
        <w:rPr>
          <w:b/>
          <w:bCs/>
          <w:color w:val="0070C0"/>
          <w:sz w:val="28"/>
          <w:szCs w:val="28"/>
          <w:lang w:val="fr-BE"/>
        </w:rPr>
        <w:t xml:space="preserve"> ? Parfois les réponses diffèrent d’une délégation à </w:t>
      </w:r>
      <w:r w:rsidR="00466D3A">
        <w:rPr>
          <w:b/>
          <w:bCs/>
          <w:color w:val="0070C0"/>
          <w:sz w:val="28"/>
          <w:szCs w:val="28"/>
          <w:lang w:val="fr-BE"/>
        </w:rPr>
        <w:t>l’</w:t>
      </w:r>
      <w:r w:rsidRPr="00466D3A">
        <w:rPr>
          <w:b/>
          <w:bCs/>
          <w:color w:val="0070C0"/>
          <w:sz w:val="28"/>
          <w:szCs w:val="28"/>
          <w:lang w:val="fr-BE"/>
        </w:rPr>
        <w:t>autre.</w:t>
      </w:r>
    </w:p>
    <w:p w:rsidR="00466D3A" w:rsidRDefault="001A0C04" w:rsidP="001A0C04">
      <w:pPr>
        <w:pStyle w:val="ListParagraph"/>
        <w:jc w:val="both"/>
        <w:rPr>
          <w:lang w:val="fr-BE"/>
        </w:rPr>
      </w:pPr>
      <w:r>
        <w:rPr>
          <w:lang w:val="fr-BE"/>
        </w:rPr>
        <w:t xml:space="preserve">Le rapport intermédiaire est dû 60 jours après 12 mois de mise en œuvre et ce, </w:t>
      </w:r>
      <w:r>
        <w:rPr>
          <w:b/>
          <w:bCs/>
          <w:lang w:val="fr-BE"/>
        </w:rPr>
        <w:t>quel que soit le niveau de consommation du préfinancement reçu</w:t>
      </w:r>
      <w:r>
        <w:rPr>
          <w:lang w:val="fr-BE"/>
        </w:rPr>
        <w:t>. Si un préfinancement est deman</w:t>
      </w:r>
      <w:r w:rsidR="00DC46C1">
        <w:rPr>
          <w:lang w:val="fr-BE"/>
        </w:rPr>
        <w:t xml:space="preserve">dé, le seuil de consommation de </w:t>
      </w:r>
      <w:r>
        <w:rPr>
          <w:lang w:val="fr-BE"/>
        </w:rPr>
        <w:t>70% du premier préfinancement (ou 70% du préfinancement antérieur et 100% du premier) sera vérifié</w:t>
      </w:r>
      <w:r w:rsidR="00466D3A">
        <w:rPr>
          <w:lang w:val="fr-BE"/>
        </w:rPr>
        <w:t xml:space="preserve"> pour confirmer le droit à un autre préfinancement</w:t>
      </w:r>
      <w:r>
        <w:rPr>
          <w:lang w:val="fr-BE"/>
        </w:rPr>
        <w:t>.</w:t>
      </w:r>
      <w:r w:rsidR="00466D3A">
        <w:rPr>
          <w:lang w:val="fr-BE"/>
        </w:rPr>
        <w:t xml:space="preserve"> Mais cela ne change rien à l’obligation de </w:t>
      </w:r>
      <w:proofErr w:type="spellStart"/>
      <w:r w:rsidR="00466D3A">
        <w:rPr>
          <w:lang w:val="fr-BE"/>
        </w:rPr>
        <w:t>reporting</w:t>
      </w:r>
      <w:proofErr w:type="spellEnd"/>
      <w:r w:rsidR="00466D3A">
        <w:rPr>
          <w:lang w:val="fr-BE"/>
        </w:rPr>
        <w:t xml:space="preserve"> après les 12 mois de mise en œuvre.</w:t>
      </w:r>
      <w:r>
        <w:rPr>
          <w:lang w:val="fr-BE"/>
        </w:rPr>
        <w:t xml:space="preserve"> </w:t>
      </w:r>
    </w:p>
    <w:p w:rsidR="001A0C04" w:rsidRDefault="001A0C04" w:rsidP="001A0C04">
      <w:pPr>
        <w:pStyle w:val="ListParagraph"/>
        <w:jc w:val="both"/>
        <w:rPr>
          <w:lang w:val="fr-BE"/>
        </w:rPr>
      </w:pPr>
      <w:r>
        <w:rPr>
          <w:lang w:val="fr-BE"/>
        </w:rPr>
        <w:t xml:space="preserve">Un rapport peut ne pas être accompagné par une demande de paiement mais une demande de paiement doit toujours être accompagnée </w:t>
      </w:r>
      <w:r w:rsidR="00466D3A">
        <w:rPr>
          <w:lang w:val="fr-BE"/>
        </w:rPr>
        <w:t>d’un</w:t>
      </w:r>
      <w:r>
        <w:rPr>
          <w:lang w:val="fr-BE"/>
        </w:rPr>
        <w:t xml:space="preserve"> rapport. Si l’avancement du projet est </w:t>
      </w:r>
      <w:r w:rsidR="00DC46C1">
        <w:rPr>
          <w:lang w:val="fr-BE"/>
        </w:rPr>
        <w:t>retardé, long ou compliqué</w:t>
      </w:r>
      <w:r>
        <w:rPr>
          <w:lang w:val="fr-BE"/>
        </w:rPr>
        <w:t xml:space="preserve">, la présentation du rapport </w:t>
      </w:r>
      <w:r w:rsidR="00466D3A">
        <w:rPr>
          <w:lang w:val="fr-BE"/>
        </w:rPr>
        <w:t>devient justement</w:t>
      </w:r>
      <w:r>
        <w:rPr>
          <w:lang w:val="fr-BE"/>
        </w:rPr>
        <w:t xml:space="preserve"> essentielle pour faire état de la situation et proposer des solutions.</w:t>
      </w:r>
    </w:p>
    <w:p w:rsidR="001A0C04" w:rsidRDefault="001A0C04" w:rsidP="001A0C04">
      <w:pPr>
        <w:pStyle w:val="Default"/>
        <w:numPr>
          <w:ilvl w:val="0"/>
          <w:numId w:val="3"/>
        </w:numPr>
        <w:jc w:val="both"/>
        <w:rPr>
          <w:rFonts w:ascii="Calibri" w:hAnsi="Calibri" w:cs="Calibri"/>
          <w:sz w:val="22"/>
          <w:szCs w:val="22"/>
          <w:lang w:val="fr-BE"/>
        </w:rPr>
      </w:pPr>
      <w:r w:rsidRPr="00466D3A">
        <w:rPr>
          <w:rFonts w:ascii="Calibri" w:hAnsi="Calibri" w:cs="Calibri"/>
          <w:b/>
          <w:bCs/>
          <w:color w:val="0070C0"/>
          <w:sz w:val="28"/>
          <w:szCs w:val="28"/>
          <w:lang w:val="fr-BE"/>
        </w:rPr>
        <w:lastRenderedPageBreak/>
        <w:t xml:space="preserve">Est-ce que les coûts liés à la préparation des rapports sont éligibles après la mise en œuvre </w:t>
      </w:r>
      <w:r w:rsidRPr="00466D3A">
        <w:rPr>
          <w:rFonts w:ascii="Calibri" w:hAnsi="Calibri" w:cs="Calibri"/>
          <w:b/>
          <w:color w:val="0070C0"/>
          <w:sz w:val="28"/>
          <w:szCs w:val="28"/>
          <w:lang w:val="fr-BE"/>
        </w:rPr>
        <w:t xml:space="preserve">? </w:t>
      </w:r>
      <w:r>
        <w:rPr>
          <w:rFonts w:ascii="Calibri" w:hAnsi="Calibri" w:cs="Calibri"/>
          <w:sz w:val="22"/>
          <w:szCs w:val="22"/>
          <w:lang w:val="fr-BE"/>
        </w:rPr>
        <w:t>Voir Art. 14.1 a) iii) des GC « </w:t>
      </w:r>
      <w:r>
        <w:rPr>
          <w:rFonts w:ascii="Calibri" w:hAnsi="Calibri" w:cs="Calibri"/>
          <w:i/>
          <w:iCs/>
          <w:sz w:val="22"/>
          <w:szCs w:val="22"/>
          <w:lang w:val="fr-BE"/>
        </w:rPr>
        <w:t>Les coûts éligibles sont les frais réels supportés par le(s) bénéficiaire(s) qui remplissent l’ensemble des critères suivants: a) ils sont supportés pendant la période de mise en œuvre de l’action définie à l’article 2 des conditions particulières. Plus précisément: (…) (iii) une exception est prévue pour les frais liés aux rapports finaux</w:t>
      </w:r>
      <w:r>
        <w:rPr>
          <w:rFonts w:ascii="Calibri" w:hAnsi="Calibri" w:cs="Calibri"/>
          <w:sz w:val="22"/>
          <w:szCs w:val="22"/>
          <w:lang w:val="fr-BE"/>
        </w:rPr>
        <w:t> ». Donc dans certains cas, oui, ils peuvent être éligibles sous réserve des CG.</w:t>
      </w:r>
    </w:p>
    <w:p w:rsidR="00466D3A" w:rsidRDefault="00466D3A" w:rsidP="00466D3A">
      <w:pPr>
        <w:pStyle w:val="Default"/>
        <w:ind w:left="720"/>
        <w:jc w:val="both"/>
        <w:rPr>
          <w:rFonts w:ascii="Calibri" w:hAnsi="Calibri" w:cs="Calibri"/>
          <w:sz w:val="22"/>
          <w:szCs w:val="22"/>
          <w:lang w:val="fr-BE"/>
        </w:rPr>
      </w:pPr>
    </w:p>
    <w:p w:rsidR="001A0C04" w:rsidRDefault="001A0C04" w:rsidP="001A0C04">
      <w:pPr>
        <w:pStyle w:val="ListParagraph"/>
        <w:numPr>
          <w:ilvl w:val="0"/>
          <w:numId w:val="3"/>
        </w:numPr>
        <w:jc w:val="both"/>
        <w:rPr>
          <w:lang w:val="fr-BE"/>
        </w:rPr>
      </w:pPr>
      <w:r w:rsidRPr="00466D3A">
        <w:rPr>
          <w:b/>
          <w:bCs/>
          <w:color w:val="0070C0"/>
          <w:sz w:val="28"/>
          <w:szCs w:val="28"/>
          <w:lang w:val="fr-BE"/>
        </w:rPr>
        <w:t>Si un rapport (fait par un consultant/contractant) est livré après la mise en œuvre, est-il éligible ?</w:t>
      </w:r>
      <w:r w:rsidRPr="00466D3A">
        <w:rPr>
          <w:b/>
          <w:bCs/>
          <w:color w:val="0070C0"/>
          <w:lang w:val="fr-BE"/>
        </w:rPr>
        <w:t xml:space="preserve"> </w:t>
      </w:r>
      <w:r>
        <w:rPr>
          <w:lang w:val="fr-BE"/>
        </w:rPr>
        <w:t xml:space="preserve">En ligne avec la définition de coûts encourus, les services doivent être </w:t>
      </w:r>
      <w:r w:rsidRPr="00466D3A">
        <w:rPr>
          <w:b/>
          <w:lang w:val="fr-BE"/>
        </w:rPr>
        <w:t>réalisés</w:t>
      </w:r>
      <w:r>
        <w:rPr>
          <w:lang w:val="fr-BE"/>
        </w:rPr>
        <w:t xml:space="preserve">/livrés/approuvés </w:t>
      </w:r>
      <w:r w:rsidRPr="00466D3A">
        <w:rPr>
          <w:b/>
          <w:lang w:val="fr-BE"/>
        </w:rPr>
        <w:t>pendant la période de mise en œuvre</w:t>
      </w:r>
      <w:r>
        <w:rPr>
          <w:lang w:val="fr-BE"/>
        </w:rPr>
        <w:t xml:space="preserve"> (avant la date de fin des activités). Par conséquent, un rapport reçu après la fin d’activités </w:t>
      </w:r>
      <w:r w:rsidR="00672A1B">
        <w:rPr>
          <w:lang w:val="fr-BE"/>
        </w:rPr>
        <w:t>est</w:t>
      </w:r>
      <w:r>
        <w:rPr>
          <w:lang w:val="fr-BE"/>
        </w:rPr>
        <w:t xml:space="preserve"> éligible s’il fait référence à des services réalisés et approuvés AVANT la date de fin des activités.  </w:t>
      </w:r>
    </w:p>
    <w:p w:rsidR="001A0C04" w:rsidRDefault="001A0C04" w:rsidP="001A0C04">
      <w:pPr>
        <w:pStyle w:val="ListParagraph"/>
        <w:jc w:val="both"/>
        <w:rPr>
          <w:lang w:val="fr-BE"/>
        </w:rPr>
      </w:pPr>
      <w:r>
        <w:rPr>
          <w:lang w:val="fr-BE"/>
        </w:rPr>
        <w:t xml:space="preserve">Pour les coûts </w:t>
      </w:r>
      <w:r w:rsidR="00672A1B">
        <w:rPr>
          <w:lang w:val="fr-BE"/>
        </w:rPr>
        <w:t xml:space="preserve">pouvant être </w:t>
      </w:r>
      <w:r>
        <w:rPr>
          <w:lang w:val="fr-BE"/>
        </w:rPr>
        <w:t>éligibles après la date de fin des activités (voir question précédentes et Art 14.1).</w:t>
      </w:r>
    </w:p>
    <w:p w:rsidR="00672A1B" w:rsidRDefault="00672A1B" w:rsidP="001A0C04">
      <w:pPr>
        <w:pStyle w:val="ListParagraph"/>
        <w:jc w:val="both"/>
        <w:rPr>
          <w:lang w:val="fr-BE"/>
        </w:rPr>
      </w:pPr>
    </w:p>
    <w:p w:rsidR="001A0C04" w:rsidRDefault="001A0C04" w:rsidP="005C6D6D">
      <w:pPr>
        <w:ind w:left="720"/>
        <w:jc w:val="both"/>
        <w:rPr>
          <w:lang w:val="fr-BE"/>
        </w:rPr>
      </w:pPr>
      <w:r>
        <w:rPr>
          <w:b/>
          <w:bCs/>
          <w:lang w:val="fr-BE"/>
        </w:rPr>
        <w:t>Attention à la définition de dépenses encourues</w:t>
      </w:r>
      <w:r>
        <w:rPr>
          <w:lang w:val="fr-BE"/>
        </w:rPr>
        <w:t> : Voir Art. 14.1 a) i) et ii) des GC coûts « </w:t>
      </w:r>
      <w:r>
        <w:rPr>
          <w:i/>
          <w:iCs/>
          <w:lang w:val="fr-BE"/>
        </w:rPr>
        <w:t xml:space="preserve">supportés pendant la période de mise en œuvre de l’action (…) Services et à des travaux doivent porter sur des activités réalisées durant la période de mise en œuvre. Les coûts afférents à des fournitures doivent concerner la livraison et l’installation de matériels durant la période de mise en œuvre. La signature d’un marché, la passation d’une commande ou l’engagement d’une dépense pendant la période de mise en </w:t>
      </w:r>
      <w:r w:rsidR="005C6D6D">
        <w:rPr>
          <w:i/>
          <w:iCs/>
          <w:lang w:val="fr-BE"/>
        </w:rPr>
        <w:t>œuvre</w:t>
      </w:r>
      <w:r>
        <w:rPr>
          <w:i/>
          <w:iCs/>
          <w:lang w:val="fr-BE"/>
        </w:rPr>
        <w:t xml:space="preserve"> en vue d’une prestation future de services, d’une exécution future de travaux ou d’une livraison future de fournitures ne répond pas à cette exigence. Les transferts de fonds entre le coordonnateur et/ou les autres bénéficiaires et/ou les entités affiliées ne sont pas considérés comme des frais supportés</w:t>
      </w:r>
      <w:r>
        <w:rPr>
          <w:lang w:val="fr-BE"/>
        </w:rPr>
        <w:t xml:space="preserve"> ». </w:t>
      </w:r>
      <w:r>
        <w:rPr>
          <w:i/>
          <w:iCs/>
          <w:lang w:val="fr-BE"/>
        </w:rPr>
        <w:t>« </w:t>
      </w:r>
      <w:r w:rsidR="005C6D6D">
        <w:rPr>
          <w:i/>
          <w:iCs/>
          <w:lang w:val="fr-BE"/>
        </w:rPr>
        <w:t>Les</w:t>
      </w:r>
      <w:r>
        <w:rPr>
          <w:i/>
          <w:iCs/>
          <w:lang w:val="fr-BE"/>
        </w:rPr>
        <w:t xml:space="preserve"> frais supportés devraient être payés avant la soumission des rapports finaux. Ils peuvent être payés ultérieurement, pour autant qu’ils soient mentionnés dans le rapport final, avec la date de paiement </w:t>
      </w:r>
      <w:r w:rsidR="005C6D6D">
        <w:rPr>
          <w:i/>
          <w:iCs/>
          <w:lang w:val="fr-BE"/>
        </w:rPr>
        <w:t>estimée</w:t>
      </w:r>
      <w:r w:rsidR="005C6D6D">
        <w:rPr>
          <w:lang w:val="fr-BE"/>
        </w:rPr>
        <w:t xml:space="preserve"> »</w:t>
      </w:r>
      <w:r>
        <w:rPr>
          <w:lang w:val="fr-BE"/>
        </w:rPr>
        <w:t xml:space="preserve">. </w:t>
      </w:r>
    </w:p>
    <w:p w:rsidR="00672A1B" w:rsidRDefault="00672A1B" w:rsidP="005C6D6D">
      <w:pPr>
        <w:ind w:left="720"/>
        <w:jc w:val="both"/>
        <w:rPr>
          <w:lang w:val="fr-BE"/>
        </w:rPr>
      </w:pPr>
    </w:p>
    <w:p w:rsidR="001A0C04" w:rsidRPr="00672A1B" w:rsidRDefault="001A0C04" w:rsidP="001A0C04">
      <w:pPr>
        <w:pStyle w:val="ListParagraph"/>
        <w:numPr>
          <w:ilvl w:val="0"/>
          <w:numId w:val="4"/>
        </w:numPr>
        <w:jc w:val="both"/>
        <w:rPr>
          <w:b/>
          <w:bCs/>
          <w:color w:val="0070C0"/>
          <w:sz w:val="28"/>
          <w:szCs w:val="28"/>
          <w:lang w:val="fr-BE"/>
        </w:rPr>
      </w:pPr>
      <w:r w:rsidRPr="00672A1B">
        <w:rPr>
          <w:b/>
          <w:bCs/>
          <w:color w:val="0070C0"/>
          <w:sz w:val="28"/>
          <w:szCs w:val="28"/>
          <w:lang w:val="fr-BE"/>
        </w:rPr>
        <w:t xml:space="preserve">Qu’est-ce qu’on peut faire de </w:t>
      </w:r>
      <w:r w:rsidR="005C6D6D" w:rsidRPr="00672A1B">
        <w:rPr>
          <w:b/>
          <w:bCs/>
          <w:color w:val="0070C0"/>
          <w:sz w:val="28"/>
          <w:szCs w:val="28"/>
          <w:lang w:val="fr-BE"/>
        </w:rPr>
        <w:t>reliquats non dépensés en fin de</w:t>
      </w:r>
      <w:r w:rsidRPr="00672A1B">
        <w:rPr>
          <w:b/>
          <w:bCs/>
          <w:color w:val="0070C0"/>
          <w:sz w:val="28"/>
          <w:szCs w:val="28"/>
          <w:lang w:val="fr-BE"/>
        </w:rPr>
        <w:t xml:space="preserve"> projet ?</w:t>
      </w:r>
    </w:p>
    <w:p w:rsidR="001A0C04" w:rsidRDefault="001A0C04" w:rsidP="001A0C04">
      <w:pPr>
        <w:pStyle w:val="ListParagraph"/>
        <w:jc w:val="both"/>
        <w:rPr>
          <w:lang w:val="fr-BE"/>
        </w:rPr>
      </w:pPr>
      <w:r>
        <w:rPr>
          <w:lang w:val="fr-BE"/>
        </w:rPr>
        <w:t xml:space="preserve">Le budget de l’action est estimatif (ni un maximum ni un minimum). En fin d’action, le % de cofinancement est appliqué aux dépenses déclarées et considérées comme éligibles. </w:t>
      </w:r>
    </w:p>
    <w:p w:rsidR="001A0C04" w:rsidRDefault="001A0C04" w:rsidP="001A0C04">
      <w:pPr>
        <w:pStyle w:val="ListParagraph"/>
        <w:jc w:val="both"/>
        <w:rPr>
          <w:lang w:val="fr-BE"/>
        </w:rPr>
      </w:pPr>
      <w:r>
        <w:rPr>
          <w:lang w:val="fr-BE"/>
        </w:rPr>
        <w:t>Il ne faut pas rajouter</w:t>
      </w:r>
      <w:r w:rsidR="00916C4F">
        <w:rPr>
          <w:lang w:val="fr-BE"/>
        </w:rPr>
        <w:t>,</w:t>
      </w:r>
      <w:r>
        <w:rPr>
          <w:lang w:val="fr-BE"/>
        </w:rPr>
        <w:t xml:space="preserve"> </w:t>
      </w:r>
      <w:r w:rsidR="00916C4F">
        <w:rPr>
          <w:lang w:val="fr-BE"/>
        </w:rPr>
        <w:t xml:space="preserve">unilatéralement, </w:t>
      </w:r>
      <w:r>
        <w:rPr>
          <w:lang w:val="fr-BE"/>
        </w:rPr>
        <w:t xml:space="preserve">des activités/dépenses non agrées dans la </w:t>
      </w:r>
      <w:proofErr w:type="spellStart"/>
      <w:r>
        <w:rPr>
          <w:lang w:val="fr-BE"/>
        </w:rPr>
        <w:t>D</w:t>
      </w:r>
      <w:r w:rsidR="00916C4F">
        <w:rPr>
          <w:lang w:val="fr-BE"/>
        </w:rPr>
        <w:t>o</w:t>
      </w:r>
      <w:r>
        <w:rPr>
          <w:lang w:val="fr-BE"/>
        </w:rPr>
        <w:t>A</w:t>
      </w:r>
      <w:proofErr w:type="spellEnd"/>
      <w:r>
        <w:rPr>
          <w:lang w:val="fr-BE"/>
        </w:rPr>
        <w:t xml:space="preserve"> ou dans le budget même s’il reste </w:t>
      </w:r>
      <w:r w:rsidR="00916C4F">
        <w:rPr>
          <w:lang w:val="fr-BE"/>
        </w:rPr>
        <w:t>un</w:t>
      </w:r>
      <w:r>
        <w:rPr>
          <w:lang w:val="fr-BE"/>
        </w:rPr>
        <w:t xml:space="preserve"> reliquat.</w:t>
      </w:r>
      <w:r>
        <w:rPr>
          <w:color w:val="1F497D"/>
          <w:lang w:val="fr-BE"/>
        </w:rPr>
        <w:t xml:space="preserve"> </w:t>
      </w:r>
      <w:r>
        <w:rPr>
          <w:lang w:val="fr-BE"/>
        </w:rPr>
        <w:t>Aucune demande d’avenant y compris d’extension de la période de mise en œuvre opérationnelle ne peut : 1) prévoir des activités additionnelles, 2) remettre en question la décision d’octroi et 3) avoir pour seule fin l’utilisation du reliquat.</w:t>
      </w:r>
    </w:p>
    <w:p w:rsidR="00916C4F" w:rsidRPr="00916C4F" w:rsidRDefault="00916C4F" w:rsidP="00916C4F">
      <w:pPr>
        <w:jc w:val="both"/>
        <w:rPr>
          <w:lang w:val="fr-BE"/>
        </w:rPr>
      </w:pPr>
    </w:p>
    <w:p w:rsidR="001A0C04" w:rsidRPr="00916C4F" w:rsidRDefault="001A0C04" w:rsidP="001A0C04">
      <w:pPr>
        <w:pStyle w:val="ListParagraph"/>
        <w:numPr>
          <w:ilvl w:val="0"/>
          <w:numId w:val="3"/>
        </w:numPr>
        <w:jc w:val="both"/>
        <w:rPr>
          <w:b/>
          <w:bCs/>
          <w:color w:val="0070C0"/>
          <w:sz w:val="28"/>
          <w:szCs w:val="28"/>
          <w:lang w:val="fr-BE"/>
        </w:rPr>
      </w:pPr>
      <w:r w:rsidRPr="00916C4F">
        <w:rPr>
          <w:b/>
          <w:bCs/>
          <w:color w:val="0070C0"/>
          <w:sz w:val="28"/>
          <w:szCs w:val="28"/>
          <w:lang w:val="fr-BE"/>
        </w:rPr>
        <w:t xml:space="preserve">Quelle est la responsabilité financière des </w:t>
      </w:r>
      <w:proofErr w:type="spellStart"/>
      <w:r w:rsidRPr="00916C4F">
        <w:rPr>
          <w:b/>
          <w:bCs/>
          <w:color w:val="0070C0"/>
          <w:sz w:val="28"/>
          <w:szCs w:val="28"/>
          <w:lang w:val="fr-BE"/>
        </w:rPr>
        <w:t>co</w:t>
      </w:r>
      <w:proofErr w:type="spellEnd"/>
      <w:r w:rsidRPr="00916C4F">
        <w:rPr>
          <w:b/>
          <w:bCs/>
          <w:color w:val="0070C0"/>
          <w:sz w:val="28"/>
          <w:szCs w:val="28"/>
          <w:lang w:val="fr-BE"/>
        </w:rPr>
        <w:t>-bénéficiaires ? Est-ce qu’ils doivent aussi soumettre un rapport ?</w:t>
      </w:r>
    </w:p>
    <w:p w:rsidR="001A0C04" w:rsidRDefault="001A0C04" w:rsidP="001A0C04">
      <w:pPr>
        <w:pStyle w:val="ListParagraph"/>
        <w:jc w:val="both"/>
        <w:rPr>
          <w:lang w:val="fr-BE"/>
        </w:rPr>
      </w:pPr>
      <w:r>
        <w:rPr>
          <w:lang w:val="fr-BE"/>
        </w:rPr>
        <w:t xml:space="preserve">Les bénéficiaires du contrat sont </w:t>
      </w:r>
      <w:r>
        <w:rPr>
          <w:u w:val="single"/>
          <w:lang w:val="fr-BE"/>
        </w:rPr>
        <w:t>solidairement</w:t>
      </w:r>
      <w:r>
        <w:rPr>
          <w:lang w:val="fr-BE"/>
        </w:rPr>
        <w:t xml:space="preserve"> responsables, vis-à-vis l'administration contractante, de l’exécution de l’action.</w:t>
      </w:r>
      <w:r w:rsidR="00916C4F">
        <w:rPr>
          <w:lang w:val="fr-BE"/>
        </w:rPr>
        <w:t xml:space="preserve"> Un seul et unique rapport est fourni avec la contribution des </w:t>
      </w:r>
      <w:proofErr w:type="spellStart"/>
      <w:r w:rsidR="00916C4F">
        <w:rPr>
          <w:lang w:val="fr-BE"/>
        </w:rPr>
        <w:t>co</w:t>
      </w:r>
      <w:proofErr w:type="spellEnd"/>
      <w:r w:rsidR="00916C4F">
        <w:rPr>
          <w:lang w:val="fr-BE"/>
        </w:rPr>
        <w:t>-bénéficiaires.</w:t>
      </w:r>
      <w:r>
        <w:rPr>
          <w:lang w:val="fr-BE"/>
        </w:rPr>
        <w:t xml:space="preserve"> </w:t>
      </w:r>
      <w:proofErr w:type="spellStart"/>
      <w:r>
        <w:rPr>
          <w:lang w:val="fr-BE"/>
        </w:rPr>
        <w:t>Cf</w:t>
      </w:r>
      <w:proofErr w:type="spellEnd"/>
      <w:r>
        <w:rPr>
          <w:lang w:val="fr-BE"/>
        </w:rPr>
        <w:t xml:space="preserve"> Art. 1.5 c </w:t>
      </w:r>
      <w:r>
        <w:rPr>
          <w:i/>
          <w:iCs/>
          <w:lang w:val="fr-BE"/>
        </w:rPr>
        <w:t>« transmet(</w:t>
      </w:r>
      <w:proofErr w:type="spellStart"/>
      <w:r>
        <w:rPr>
          <w:i/>
          <w:iCs/>
          <w:lang w:val="fr-BE"/>
        </w:rPr>
        <w:t>tent</w:t>
      </w:r>
      <w:proofErr w:type="spellEnd"/>
      <w:r>
        <w:rPr>
          <w:i/>
          <w:iCs/>
          <w:lang w:val="fr-BE"/>
        </w:rPr>
        <w:t>) au coordonnateur les données nécessaires pour rédiger les rapports, les états financiers et toute autre information ou tout autre document requis par le présent contrat et ses annexes, ainsi que toute information nécessaire en cas d’audit, de vérification, de suivi ou d’évaluation, selon les modalités prévues à l’article 16</w:t>
      </w:r>
      <w:r>
        <w:rPr>
          <w:lang w:val="fr-BE"/>
        </w:rPr>
        <w:t xml:space="preserve">; ». Le coordinateur reste responsable devant la Commission européenne. </w:t>
      </w:r>
      <w:proofErr w:type="spellStart"/>
      <w:r>
        <w:rPr>
          <w:lang w:val="fr-BE"/>
        </w:rPr>
        <w:t>Cf</w:t>
      </w:r>
      <w:proofErr w:type="spellEnd"/>
      <w:r>
        <w:rPr>
          <w:lang w:val="fr-BE"/>
        </w:rPr>
        <w:t xml:space="preserve"> Art. 1.6 g) le coordinateur « </w:t>
      </w:r>
      <w:r>
        <w:rPr>
          <w:i/>
          <w:iCs/>
          <w:lang w:val="fr-BE"/>
        </w:rPr>
        <w:t xml:space="preserve">assume la pleine responsabilité financière de la mise en </w:t>
      </w:r>
      <w:proofErr w:type="spellStart"/>
      <w:r>
        <w:rPr>
          <w:i/>
          <w:iCs/>
          <w:lang w:val="fr-BE"/>
        </w:rPr>
        <w:t>oeuvre</w:t>
      </w:r>
      <w:proofErr w:type="spellEnd"/>
      <w:r>
        <w:rPr>
          <w:i/>
          <w:iCs/>
          <w:lang w:val="fr-BE"/>
        </w:rPr>
        <w:t xml:space="preserve"> de l’action dans le respect du présent contrat</w:t>
      </w:r>
      <w:r w:rsidR="005C6D6D">
        <w:rPr>
          <w:lang w:val="fr-BE"/>
        </w:rPr>
        <w:t xml:space="preserve"> </w:t>
      </w:r>
      <w:r>
        <w:rPr>
          <w:lang w:val="fr-BE"/>
        </w:rPr>
        <w:t>»</w:t>
      </w:r>
      <w:r w:rsidR="005C6D6D">
        <w:rPr>
          <w:lang w:val="fr-BE"/>
        </w:rPr>
        <w:t>.</w:t>
      </w:r>
    </w:p>
    <w:p w:rsidR="001A0C04" w:rsidRDefault="001A0C04" w:rsidP="001A0C04">
      <w:pPr>
        <w:jc w:val="both"/>
        <w:rPr>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AUDITS – VERIFICATION DE DEPENSES</w:t>
      </w:r>
    </w:p>
    <w:p w:rsidR="00916C4F" w:rsidRPr="00916C4F" w:rsidRDefault="00916C4F" w:rsidP="00916C4F">
      <w:pPr>
        <w:pStyle w:val="ListParagraph"/>
        <w:jc w:val="both"/>
        <w:rPr>
          <w:lang w:val="fr-BE"/>
        </w:rPr>
      </w:pPr>
    </w:p>
    <w:p w:rsidR="001A0C04" w:rsidRDefault="001A0C04" w:rsidP="001A0C04">
      <w:pPr>
        <w:pStyle w:val="ListParagraph"/>
        <w:numPr>
          <w:ilvl w:val="0"/>
          <w:numId w:val="3"/>
        </w:numPr>
        <w:jc w:val="both"/>
        <w:rPr>
          <w:lang w:val="fr-BE"/>
        </w:rPr>
      </w:pPr>
      <w:r w:rsidRPr="00916C4F">
        <w:rPr>
          <w:b/>
          <w:bCs/>
          <w:color w:val="0070C0"/>
          <w:sz w:val="28"/>
          <w:szCs w:val="28"/>
          <w:lang w:val="fr-BE"/>
        </w:rPr>
        <w:t>Si le bénéficiaire est une entreprise publique qu’elle est déjà soumis</w:t>
      </w:r>
      <w:r w:rsidR="0005295E" w:rsidRPr="00916C4F">
        <w:rPr>
          <w:b/>
          <w:bCs/>
          <w:color w:val="0070C0"/>
          <w:sz w:val="28"/>
          <w:szCs w:val="28"/>
          <w:lang w:val="fr-BE"/>
        </w:rPr>
        <w:t>e</w:t>
      </w:r>
      <w:r w:rsidRPr="00916C4F">
        <w:rPr>
          <w:b/>
          <w:bCs/>
          <w:color w:val="0070C0"/>
          <w:sz w:val="28"/>
          <w:szCs w:val="28"/>
          <w:lang w:val="fr-BE"/>
        </w:rPr>
        <w:t xml:space="preserve"> à un contrôle interne annuel le 31/12 de chaque année, a-t-elle aussi besoin de soumettre le rapport d’audit de l’UE ?</w:t>
      </w:r>
      <w:r w:rsidRPr="00916C4F">
        <w:rPr>
          <w:b/>
          <w:bCs/>
          <w:color w:val="0070C0"/>
          <w:lang w:val="fr-BE"/>
        </w:rPr>
        <w:t xml:space="preserve"> </w:t>
      </w:r>
      <w:r>
        <w:rPr>
          <w:lang w:val="fr-BE"/>
        </w:rPr>
        <w:t xml:space="preserve">Oui. L’obligation vis-à-vis de l’état tunisien est différente de celle vis-à-vis de l’administration contractante. Le </w:t>
      </w:r>
      <w:proofErr w:type="spellStart"/>
      <w:r>
        <w:rPr>
          <w:lang w:val="fr-BE"/>
        </w:rPr>
        <w:t>template</w:t>
      </w:r>
      <w:proofErr w:type="spellEnd"/>
      <w:r>
        <w:rPr>
          <w:lang w:val="fr-BE"/>
        </w:rPr>
        <w:t xml:space="preserve"> de la vérification </w:t>
      </w:r>
      <w:r w:rsidR="00916C4F">
        <w:rPr>
          <w:lang w:val="fr-BE"/>
        </w:rPr>
        <w:t xml:space="preserve">de dépenses </w:t>
      </w:r>
      <w:r>
        <w:rPr>
          <w:lang w:val="fr-BE"/>
        </w:rPr>
        <w:t xml:space="preserve">de l’UE est fourni et doit être utilisé. L’auditeur </w:t>
      </w:r>
      <w:r w:rsidR="0005295E">
        <w:rPr>
          <w:lang w:val="fr-BE"/>
        </w:rPr>
        <w:t xml:space="preserve">doit être une entité qui </w:t>
      </w:r>
      <w:r w:rsidR="00916C4F">
        <w:rPr>
          <w:lang w:val="fr-BE"/>
        </w:rPr>
        <w:t>remplit</w:t>
      </w:r>
      <w:r>
        <w:rPr>
          <w:lang w:val="fr-BE"/>
        </w:rPr>
        <w:t xml:space="preserve"> les conditions mentionnées dans les lignes directrices fournies. Le rapport de vérification de dépenses est fourni avec le rapport final uniquement, sauf si la contribution de l’UE est supérieure ou égale à 5.000.000 €, et dans ce cas, le rapport de vérification de dépenses selon le </w:t>
      </w:r>
      <w:proofErr w:type="spellStart"/>
      <w:r>
        <w:rPr>
          <w:lang w:val="fr-BE"/>
        </w:rPr>
        <w:t>template</w:t>
      </w:r>
      <w:proofErr w:type="spellEnd"/>
      <w:r>
        <w:rPr>
          <w:lang w:val="fr-BE"/>
        </w:rPr>
        <w:t xml:space="preserve"> fourni est attendu avec chaque rapport intermédiaire. Attention, dans le cas en l’espèce on parle de deux audits différents : </w:t>
      </w:r>
      <w:r w:rsidR="00916C4F">
        <w:rPr>
          <w:lang w:val="fr-BE"/>
        </w:rPr>
        <w:t xml:space="preserve">l’UE audite </w:t>
      </w:r>
      <w:proofErr w:type="gramStart"/>
      <w:r w:rsidR="00916C4F">
        <w:rPr>
          <w:lang w:val="fr-BE"/>
        </w:rPr>
        <w:t xml:space="preserve">l’action  </w:t>
      </w:r>
      <w:r>
        <w:rPr>
          <w:lang w:val="fr-BE"/>
        </w:rPr>
        <w:t>et</w:t>
      </w:r>
      <w:proofErr w:type="gramEnd"/>
      <w:r>
        <w:rPr>
          <w:lang w:val="fr-BE"/>
        </w:rPr>
        <w:t xml:space="preserve"> l’autre audite l’entité.  </w:t>
      </w:r>
    </w:p>
    <w:p w:rsidR="001A0C04" w:rsidRDefault="001A0C04" w:rsidP="001A0C04">
      <w:pPr>
        <w:jc w:val="both"/>
        <w:rPr>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MODIFICATION DES CONTRATS</w:t>
      </w:r>
    </w:p>
    <w:p w:rsidR="00916C4F" w:rsidRDefault="00916C4F" w:rsidP="00916C4F">
      <w:pPr>
        <w:pStyle w:val="ListParagraph"/>
        <w:jc w:val="both"/>
        <w:rPr>
          <w:b/>
          <w:bCs/>
          <w:lang w:val="fr-BE"/>
        </w:rPr>
      </w:pPr>
    </w:p>
    <w:p w:rsidR="001A0C04" w:rsidRPr="00916C4F" w:rsidRDefault="001A0C04" w:rsidP="001A0C04">
      <w:pPr>
        <w:pStyle w:val="ListParagraph"/>
        <w:numPr>
          <w:ilvl w:val="0"/>
          <w:numId w:val="3"/>
        </w:numPr>
        <w:jc w:val="both"/>
        <w:rPr>
          <w:b/>
          <w:bCs/>
          <w:lang w:val="fr-BE"/>
        </w:rPr>
      </w:pPr>
      <w:r w:rsidRPr="00916C4F">
        <w:rPr>
          <w:b/>
          <w:bCs/>
          <w:color w:val="0070C0"/>
          <w:sz w:val="28"/>
          <w:szCs w:val="28"/>
          <w:lang w:val="fr-BE"/>
        </w:rPr>
        <w:t>Dans le cas d’une variation budgétaire de &lt;25%, faut-il un accord de la DUE ? Doit-on déposer quelque chose ?</w:t>
      </w:r>
      <w:r>
        <w:rPr>
          <w:b/>
          <w:bCs/>
          <w:lang w:val="fr-BE"/>
        </w:rPr>
        <w:t xml:space="preserve"> </w:t>
      </w:r>
      <w:r>
        <w:rPr>
          <w:lang w:val="fr-BE"/>
        </w:rPr>
        <w:t>Il ne faut pas un avenant écrit au préalable si &lt; 25%</w:t>
      </w:r>
      <w:r w:rsidR="0005295E">
        <w:rPr>
          <w:lang w:val="fr-BE"/>
        </w:rPr>
        <w:t>.</w:t>
      </w:r>
    </w:p>
    <w:p w:rsidR="00916C4F" w:rsidRDefault="00916C4F" w:rsidP="00916C4F">
      <w:pPr>
        <w:pStyle w:val="ListParagraph"/>
        <w:jc w:val="both"/>
        <w:rPr>
          <w:b/>
          <w:bCs/>
          <w:lang w:val="fr-BE"/>
        </w:rPr>
      </w:pPr>
    </w:p>
    <w:p w:rsidR="001A0C04" w:rsidRPr="00916C4F" w:rsidRDefault="001A0C04" w:rsidP="001A0C04">
      <w:pPr>
        <w:pStyle w:val="ListParagraph"/>
        <w:numPr>
          <w:ilvl w:val="0"/>
          <w:numId w:val="3"/>
        </w:numPr>
        <w:jc w:val="both"/>
        <w:rPr>
          <w:b/>
          <w:bCs/>
          <w:lang w:val="fr-BE"/>
        </w:rPr>
      </w:pPr>
      <w:r w:rsidRPr="00916C4F">
        <w:rPr>
          <w:b/>
          <w:bCs/>
          <w:color w:val="0070C0"/>
          <w:sz w:val="28"/>
          <w:szCs w:val="28"/>
          <w:lang w:val="fr-BE"/>
        </w:rPr>
        <w:t>Dans le rapport financier, peut-on ajouter une ligne au budget de façon unilatérale ?</w:t>
      </w:r>
      <w:r w:rsidRPr="00916C4F">
        <w:rPr>
          <w:b/>
          <w:bCs/>
          <w:color w:val="0070C0"/>
          <w:lang w:val="fr-BE"/>
        </w:rPr>
        <w:t xml:space="preserve"> </w:t>
      </w:r>
      <w:r>
        <w:rPr>
          <w:lang w:val="fr-BE"/>
        </w:rPr>
        <w:t xml:space="preserve">oui si </w:t>
      </w:r>
      <w:r w:rsidR="00916C4F">
        <w:rPr>
          <w:lang w:val="fr-BE"/>
        </w:rPr>
        <w:t xml:space="preserve">la variation de la rubrique est </w:t>
      </w:r>
      <w:r>
        <w:rPr>
          <w:lang w:val="fr-BE"/>
        </w:rPr>
        <w:t xml:space="preserve">&lt; </w:t>
      </w:r>
      <w:r w:rsidR="00916C4F">
        <w:rPr>
          <w:lang w:val="fr-BE"/>
        </w:rPr>
        <w:t xml:space="preserve">+/- </w:t>
      </w:r>
      <w:r>
        <w:rPr>
          <w:lang w:val="fr-BE"/>
        </w:rPr>
        <w:t xml:space="preserve">25%. Ce sera une </w:t>
      </w:r>
      <w:r w:rsidR="00916C4F">
        <w:rPr>
          <w:lang w:val="fr-BE"/>
        </w:rPr>
        <w:t xml:space="preserve">simple </w:t>
      </w:r>
      <w:r>
        <w:rPr>
          <w:lang w:val="fr-BE"/>
        </w:rPr>
        <w:t>réallocation</w:t>
      </w:r>
      <w:r w:rsidR="00916C4F">
        <w:rPr>
          <w:lang w:val="fr-BE"/>
        </w:rPr>
        <w:t xml:space="preserve"> à renseigner au plus tard au moment du prochain rapport (voir colonne réallocation dans le rapport)</w:t>
      </w:r>
      <w:r>
        <w:rPr>
          <w:lang w:val="fr-BE"/>
        </w:rPr>
        <w:t>.</w:t>
      </w:r>
    </w:p>
    <w:p w:rsidR="00916C4F" w:rsidRPr="00916C4F" w:rsidRDefault="00916C4F" w:rsidP="00916C4F">
      <w:pPr>
        <w:jc w:val="both"/>
        <w:rPr>
          <w:b/>
          <w:bCs/>
          <w:lang w:val="fr-BE"/>
        </w:rPr>
      </w:pPr>
    </w:p>
    <w:p w:rsidR="001A0C04" w:rsidRPr="00D10C0D" w:rsidRDefault="001A0C04" w:rsidP="001A0C04">
      <w:pPr>
        <w:pStyle w:val="ListParagraph"/>
        <w:numPr>
          <w:ilvl w:val="0"/>
          <w:numId w:val="3"/>
        </w:numPr>
        <w:jc w:val="both"/>
        <w:rPr>
          <w:color w:val="0070C0"/>
          <w:sz w:val="28"/>
          <w:szCs w:val="28"/>
          <w:lang w:val="fr-BE"/>
        </w:rPr>
      </w:pPr>
      <w:r w:rsidRPr="00D10C0D">
        <w:rPr>
          <w:b/>
          <w:bCs/>
          <w:color w:val="0070C0"/>
          <w:sz w:val="28"/>
          <w:szCs w:val="28"/>
          <w:lang w:val="fr-BE"/>
        </w:rPr>
        <w:t>25% de changement du budget: Quelles conditions</w:t>
      </w:r>
      <w:r w:rsidR="00D10C0D">
        <w:rPr>
          <w:b/>
          <w:bCs/>
          <w:color w:val="0070C0"/>
          <w:sz w:val="28"/>
          <w:szCs w:val="28"/>
          <w:lang w:val="fr-BE"/>
        </w:rPr>
        <w:t> ?</w:t>
      </w:r>
      <w:r w:rsidRPr="00D10C0D">
        <w:rPr>
          <w:b/>
          <w:bCs/>
          <w:color w:val="0070C0"/>
          <w:sz w:val="28"/>
          <w:szCs w:val="28"/>
          <w:lang w:val="fr-BE"/>
        </w:rPr>
        <w:t xml:space="preserve"> Les changements mineurs peuvent être faits en unilatéral ? Simple email ?</w:t>
      </w:r>
    </w:p>
    <w:p w:rsidR="001A0C04" w:rsidRDefault="001A0C04" w:rsidP="001A0C04">
      <w:pPr>
        <w:ind w:left="720"/>
        <w:jc w:val="both"/>
        <w:rPr>
          <w:lang w:val="fr-BE"/>
        </w:rPr>
      </w:pPr>
      <w:r>
        <w:rPr>
          <w:lang w:val="fr-BE"/>
        </w:rPr>
        <w:t xml:space="preserve">La variation entre rubrique est calculée en plus ou en moins par rapport au budget initial de la rubrique. </w:t>
      </w:r>
    </w:p>
    <w:p w:rsidR="001A0C04" w:rsidRDefault="001A0C04" w:rsidP="001A0C04">
      <w:pPr>
        <w:ind w:left="720"/>
        <w:jc w:val="both"/>
        <w:rPr>
          <w:lang w:val="fr-BE"/>
        </w:rPr>
      </w:pPr>
      <w:r>
        <w:rPr>
          <w:lang w:val="fr-BE"/>
        </w:rPr>
        <w:t xml:space="preserve">Aucun arrangement verbal ne peut engager l’Administration contractante. </w:t>
      </w:r>
    </w:p>
    <w:p w:rsidR="001A0C04" w:rsidRDefault="001A0C04" w:rsidP="001A0C04">
      <w:pPr>
        <w:ind w:left="720"/>
        <w:jc w:val="both"/>
        <w:rPr>
          <w:lang w:val="fr-BE"/>
        </w:rPr>
      </w:pPr>
      <w:r>
        <w:rPr>
          <w:lang w:val="fr-BE"/>
        </w:rPr>
        <w:t xml:space="preserve">Un avenant doit être transmis au moins 30j avant que les modifications demandées ne soient exécutées. La rétroactivité est à justifier. </w:t>
      </w:r>
    </w:p>
    <w:p w:rsidR="001A0C04" w:rsidRDefault="001A0C04" w:rsidP="001A0C04">
      <w:pPr>
        <w:ind w:left="720"/>
        <w:jc w:val="both"/>
        <w:rPr>
          <w:lang w:val="fr-BE"/>
        </w:rPr>
      </w:pPr>
      <w:r>
        <w:rPr>
          <w:lang w:val="fr-BE"/>
        </w:rPr>
        <w:t>Un avenant formel n’est pas requis si la variation est &lt; 25% entre rubriques, si limitée à des mouvements au sein d’une même rubrique. Néanmoins, si la réallocation p</w:t>
      </w:r>
      <w:r w:rsidR="00D04E49">
        <w:rPr>
          <w:lang w:val="fr-BE"/>
        </w:rPr>
        <w:t xml:space="preserve">eut être faite et l’information </w:t>
      </w:r>
      <w:r>
        <w:rPr>
          <w:lang w:val="fr-BE"/>
        </w:rPr>
        <w:t>communiquée au prochain rapport au plus tard) grâce à la colonne « réallocation » du rapport (</w:t>
      </w:r>
      <w:proofErr w:type="spellStart"/>
      <w:r>
        <w:rPr>
          <w:lang w:val="fr-BE"/>
        </w:rPr>
        <w:t>template</w:t>
      </w:r>
      <w:proofErr w:type="spellEnd"/>
      <w:r>
        <w:rPr>
          <w:lang w:val="fr-BE"/>
        </w:rPr>
        <w:t>), elle sera validée avec</w:t>
      </w:r>
      <w:r w:rsidR="00D04E49">
        <w:rPr>
          <w:lang w:val="fr-BE"/>
        </w:rPr>
        <w:t xml:space="preserve"> le rapport intermédiaire/final</w:t>
      </w:r>
      <w:r>
        <w:rPr>
          <w:lang w:val="fr-BE"/>
        </w:rPr>
        <w:t xml:space="preserve"> (jusque-là risque de refus continue de courir pour le bénéficiaire). </w:t>
      </w:r>
    </w:p>
    <w:p w:rsidR="001A0C04" w:rsidRDefault="001A0C04" w:rsidP="001A0C04">
      <w:pPr>
        <w:ind w:left="720"/>
        <w:jc w:val="both"/>
        <w:rPr>
          <w:lang w:val="fr-BE"/>
        </w:rPr>
      </w:pPr>
      <w:r>
        <w:rPr>
          <w:lang w:val="fr-BE"/>
        </w:rPr>
        <w:t xml:space="preserve">Attention à l’impact sur la DA / cadre logique voire sur le budget. Une première réallocation peut être &lt; à 25% mais une seconde ou une troisième (cumulées) pour faire basculer le % de variation même si individuellement &lt; 25%, en cumulé de telles variations unilatérales peuvent finir par &gt; 25% (exemple 10% + 10% + 10% = 30% !). </w:t>
      </w:r>
    </w:p>
    <w:p w:rsidR="00D10C0D" w:rsidRDefault="00D10C0D" w:rsidP="001A0C04">
      <w:pPr>
        <w:ind w:left="720"/>
        <w:jc w:val="both"/>
        <w:rPr>
          <w:lang w:val="fr-BE"/>
        </w:rPr>
      </w:pPr>
    </w:p>
    <w:p w:rsidR="001A0C04" w:rsidRDefault="001A0C04" w:rsidP="001A0C04">
      <w:pPr>
        <w:ind w:left="720"/>
        <w:jc w:val="both"/>
        <w:rPr>
          <w:lang w:val="fr-BE"/>
        </w:rPr>
      </w:pPr>
      <w:r>
        <w:rPr>
          <w:lang w:val="fr-BE"/>
        </w:rPr>
        <w:t>Les notifications de changement du compte bancaire ou de l’auditeur ne nécessitent pas d’avenant – simple courrier (justification pour auditeur).</w:t>
      </w:r>
    </w:p>
    <w:p w:rsidR="00D10C0D" w:rsidRDefault="00D10C0D" w:rsidP="001A0C04">
      <w:pPr>
        <w:ind w:left="720"/>
        <w:jc w:val="both"/>
        <w:rPr>
          <w:lang w:val="fr-BE"/>
        </w:rPr>
      </w:pPr>
    </w:p>
    <w:p w:rsidR="00D10C0D" w:rsidRDefault="00D10C0D" w:rsidP="001A0C04">
      <w:pPr>
        <w:ind w:left="720"/>
        <w:jc w:val="both"/>
        <w:rPr>
          <w:lang w:val="fr-BE"/>
        </w:rPr>
      </w:pPr>
    </w:p>
    <w:p w:rsidR="00D10C0D" w:rsidRDefault="00D10C0D" w:rsidP="001A0C04">
      <w:pPr>
        <w:ind w:left="720"/>
        <w:jc w:val="both"/>
        <w:rPr>
          <w:lang w:val="fr-BE"/>
        </w:rPr>
      </w:pPr>
    </w:p>
    <w:p w:rsidR="001A0C04" w:rsidRDefault="001A0C04" w:rsidP="001A0C04">
      <w:pPr>
        <w:jc w:val="both"/>
        <w:rPr>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SOUTIENS FINANCIERS AUX TIERS / SUBVENTIONS EN CASCADE</w:t>
      </w:r>
    </w:p>
    <w:p w:rsidR="00D10C0D" w:rsidRDefault="00D10C0D" w:rsidP="00D10C0D">
      <w:pPr>
        <w:pStyle w:val="ListParagraph"/>
        <w:jc w:val="both"/>
        <w:rPr>
          <w:b/>
          <w:bCs/>
          <w:lang w:val="fr-BE"/>
        </w:rPr>
      </w:pPr>
    </w:p>
    <w:p w:rsidR="001A0C04" w:rsidRPr="00D10C0D" w:rsidRDefault="001A0C04" w:rsidP="001A0C04">
      <w:pPr>
        <w:pStyle w:val="ListParagraph"/>
        <w:numPr>
          <w:ilvl w:val="0"/>
          <w:numId w:val="5"/>
        </w:numPr>
        <w:jc w:val="both"/>
        <w:rPr>
          <w:b/>
          <w:bCs/>
          <w:color w:val="0070C0"/>
          <w:sz w:val="28"/>
          <w:szCs w:val="28"/>
          <w:lang w:val="fr-BE"/>
        </w:rPr>
      </w:pPr>
      <w:r w:rsidRPr="00D10C0D">
        <w:rPr>
          <w:b/>
          <w:bCs/>
          <w:color w:val="0070C0"/>
          <w:sz w:val="28"/>
          <w:szCs w:val="28"/>
          <w:lang w:val="fr-BE"/>
        </w:rPr>
        <w:t xml:space="preserve">Quel impact par rapport à la fluctuation du taux de change dans le cas des montants des subventions aux tiers ? est-ce que les montants excédents sont inéligibles ? </w:t>
      </w:r>
    </w:p>
    <w:p w:rsidR="001A0C04" w:rsidRDefault="001A0C04" w:rsidP="001A0C04">
      <w:pPr>
        <w:ind w:left="720"/>
        <w:jc w:val="both"/>
        <w:rPr>
          <w:lang w:val="fr-BE"/>
        </w:rPr>
      </w:pPr>
      <w:r>
        <w:rPr>
          <w:lang w:val="fr-BE"/>
        </w:rPr>
        <w:t>Le montant en EUR ou</w:t>
      </w:r>
      <w:r>
        <w:rPr>
          <w:color w:val="1F497D"/>
          <w:lang w:val="fr-BE"/>
        </w:rPr>
        <w:t>/et</w:t>
      </w:r>
      <w:r>
        <w:rPr>
          <w:lang w:val="fr-BE"/>
        </w:rPr>
        <w:t xml:space="preserve"> en TND, le % ou les règles fixées dans la </w:t>
      </w:r>
      <w:proofErr w:type="spellStart"/>
      <w:r>
        <w:rPr>
          <w:lang w:val="fr-BE"/>
        </w:rPr>
        <w:t>D</w:t>
      </w:r>
      <w:r w:rsidR="00D10C0D">
        <w:rPr>
          <w:lang w:val="fr-BE"/>
        </w:rPr>
        <w:t>o</w:t>
      </w:r>
      <w:r>
        <w:rPr>
          <w:lang w:val="fr-BE"/>
        </w:rPr>
        <w:t>A</w:t>
      </w:r>
      <w:proofErr w:type="spellEnd"/>
      <w:r>
        <w:rPr>
          <w:lang w:val="fr-BE"/>
        </w:rPr>
        <w:t xml:space="preserve"> et approuvée par </w:t>
      </w:r>
      <w:r w:rsidR="00D10C0D">
        <w:rPr>
          <w:lang w:val="fr-BE"/>
        </w:rPr>
        <w:t>l’Administration contractante deviennent une obligation</w:t>
      </w:r>
      <w:r>
        <w:rPr>
          <w:lang w:val="fr-BE"/>
        </w:rPr>
        <w:t>. Si le montant a été indiqué en TND et qu’il devient insuffisant suite à une inflation, il faudra en discuter avec l’Administration contractante car ceci nécessitera sans doute un avenant écrit au préalable. Les réallocations unilatérales &lt; 25% ne peuvent modifier les SFT, ni les coûts indirects, ni les coûts simplifiés ou les imprévus.</w:t>
      </w:r>
    </w:p>
    <w:p w:rsidR="001A0C04" w:rsidRDefault="001A0C04" w:rsidP="001A0C04">
      <w:pPr>
        <w:ind w:left="720"/>
        <w:jc w:val="both"/>
        <w:rPr>
          <w:lang w:val="fr-BE"/>
        </w:rPr>
      </w:pPr>
      <w:r>
        <w:rPr>
          <w:lang w:val="fr-BE"/>
        </w:rPr>
        <w:t>Avant de donner des FST : vérifier la fiabilité / viabilité des bénéficiaires (en cas de recouvrement) car le coordinateur reste financièrement responsable/redevable envers l’Administration contractante.</w:t>
      </w:r>
    </w:p>
    <w:p w:rsidR="001A0C04" w:rsidRDefault="001A0C04" w:rsidP="001A0C04">
      <w:pPr>
        <w:jc w:val="both"/>
        <w:rPr>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 xml:space="preserve">ELIGIBILITE DES DEPENSES </w:t>
      </w:r>
    </w:p>
    <w:p w:rsidR="00D10C0D" w:rsidRPr="00D10C0D" w:rsidRDefault="00D10C0D" w:rsidP="00D10C0D">
      <w:pPr>
        <w:pStyle w:val="ListParagraph"/>
        <w:jc w:val="both"/>
        <w:rPr>
          <w:lang w:val="fr-BE"/>
        </w:rPr>
      </w:pPr>
    </w:p>
    <w:p w:rsidR="001A0C04" w:rsidRDefault="001A0C04" w:rsidP="001A0C04">
      <w:pPr>
        <w:pStyle w:val="ListParagraph"/>
        <w:numPr>
          <w:ilvl w:val="0"/>
          <w:numId w:val="5"/>
        </w:numPr>
        <w:jc w:val="both"/>
        <w:rPr>
          <w:lang w:val="fr-BE"/>
        </w:rPr>
      </w:pPr>
      <w:r w:rsidRPr="004314F5">
        <w:rPr>
          <w:b/>
          <w:bCs/>
          <w:color w:val="0070C0"/>
          <w:sz w:val="28"/>
          <w:szCs w:val="28"/>
          <w:lang w:val="fr-BE"/>
        </w:rPr>
        <w:t>Est-ce qu’un séminaire peut être organisé après la fin des activités ?</w:t>
      </w:r>
      <w:r w:rsidRPr="004314F5">
        <w:rPr>
          <w:color w:val="0070C0"/>
          <w:lang w:val="fr-BE"/>
        </w:rPr>
        <w:t xml:space="preserve"> </w:t>
      </w:r>
      <w:r>
        <w:rPr>
          <w:lang w:val="fr-BE"/>
        </w:rPr>
        <w:t>Revoir la définition de dépenses encourues (Voir Art. 14.1 a) i) et ii)) et les Q&amp;A sur les « rapports et paiements »</w:t>
      </w:r>
    </w:p>
    <w:p w:rsidR="004314F5" w:rsidRDefault="004314F5" w:rsidP="004314F5">
      <w:pPr>
        <w:pStyle w:val="ListParagraph"/>
        <w:jc w:val="both"/>
        <w:rPr>
          <w:lang w:val="fr-BE"/>
        </w:rPr>
      </w:pPr>
    </w:p>
    <w:p w:rsidR="001A0C04" w:rsidRDefault="001A0C04" w:rsidP="001A0C04">
      <w:pPr>
        <w:pStyle w:val="ListParagraph"/>
        <w:numPr>
          <w:ilvl w:val="0"/>
          <w:numId w:val="5"/>
        </w:numPr>
        <w:jc w:val="both"/>
        <w:rPr>
          <w:lang w:val="fr-BE"/>
        </w:rPr>
      </w:pPr>
      <w:r w:rsidRPr="004314F5">
        <w:rPr>
          <w:b/>
          <w:bCs/>
          <w:color w:val="0070C0"/>
          <w:sz w:val="28"/>
          <w:szCs w:val="28"/>
          <w:lang w:val="fr-BE"/>
        </w:rPr>
        <w:t>En cas de obligations salariales dues à la loi locale, peut-on considérer ces charges comme éligibles ?</w:t>
      </w:r>
      <w:r w:rsidRPr="004314F5">
        <w:rPr>
          <w:color w:val="0070C0"/>
          <w:lang w:val="fr-BE"/>
        </w:rPr>
        <w:t xml:space="preserve"> </w:t>
      </w:r>
      <w:r>
        <w:rPr>
          <w:lang w:val="fr-BE"/>
        </w:rPr>
        <w:t>Oui voir Slides 23 et 24 et Art. 14.2 a) des GC « </w:t>
      </w:r>
      <w:r>
        <w:rPr>
          <w:i/>
          <w:iCs/>
          <w:lang w:val="fr-BE"/>
        </w:rPr>
        <w:t>le coût du personnel affecté à l’action, correspondant aux salaires bruts réels incluant les charges sociales et les autres coûts entrant dans la rémunération (à l’exclusion des primes); les salaires et frais ne doivent pas excéder ceux normalement supportés par le(s) bénéficiaire(s), à moins d’une justification indiquant que le dépassement est indispensable à la réalisation de l’action</w:t>
      </w:r>
      <w:r>
        <w:rPr>
          <w:lang w:val="fr-BE"/>
        </w:rPr>
        <w:t>;”</w:t>
      </w:r>
    </w:p>
    <w:p w:rsidR="004314F5" w:rsidRPr="004314F5" w:rsidRDefault="004314F5" w:rsidP="004314F5">
      <w:pPr>
        <w:jc w:val="both"/>
        <w:rPr>
          <w:lang w:val="fr-BE"/>
        </w:rPr>
      </w:pPr>
    </w:p>
    <w:p w:rsidR="00B42980" w:rsidRPr="00B42980" w:rsidRDefault="001A0C04" w:rsidP="00B42980">
      <w:pPr>
        <w:pStyle w:val="ListParagraph"/>
        <w:numPr>
          <w:ilvl w:val="0"/>
          <w:numId w:val="5"/>
        </w:numPr>
        <w:jc w:val="both"/>
        <w:rPr>
          <w:lang w:val="fr-BE"/>
        </w:rPr>
      </w:pPr>
      <w:r w:rsidRPr="004314F5">
        <w:rPr>
          <w:b/>
          <w:bCs/>
          <w:color w:val="0070C0"/>
          <w:sz w:val="28"/>
          <w:szCs w:val="28"/>
          <w:lang w:val="fr-BE"/>
        </w:rPr>
        <w:t>Est-ce qu’un consultant interne peut être budgétisé sous la Rubrique 5 ?</w:t>
      </w:r>
      <w:r w:rsidRPr="004314F5">
        <w:rPr>
          <w:color w:val="0070C0"/>
          <w:lang w:val="fr-BE"/>
        </w:rPr>
        <w:t xml:space="preserve"> </w:t>
      </w:r>
      <w:r>
        <w:rPr>
          <w:lang w:val="fr-BE"/>
        </w:rPr>
        <w:t xml:space="preserve">Voir Slide 25 les </w:t>
      </w:r>
      <w:r w:rsidR="00CA38DC">
        <w:rPr>
          <w:lang w:val="fr-BE"/>
        </w:rPr>
        <w:t>coûts de personnels (Art. 14.2a</w:t>
      </w:r>
      <w:r w:rsidR="00B42980">
        <w:rPr>
          <w:lang w:val="fr-BE"/>
        </w:rPr>
        <w:t>) et la d</w:t>
      </w:r>
      <w:r>
        <w:rPr>
          <w:lang w:val="fr-BE"/>
        </w:rPr>
        <w:t xml:space="preserve">ifférence entre consultants internes &amp; externes. Les premiers peuvent apparaître dans le rubrique RH à certaines conditions. Les consultants externes seront dans la rubrique 5 soumis à l’annexe IV (passations de marchés). Plus d’informations sur le guide des subventions INTPA </w:t>
      </w:r>
      <w:proofErr w:type="spellStart"/>
      <w:r>
        <w:rPr>
          <w:lang w:val="fr-BE"/>
        </w:rPr>
        <w:t>Companion</w:t>
      </w:r>
      <w:proofErr w:type="spellEnd"/>
      <w:r>
        <w:rPr>
          <w:lang w:val="fr-BE"/>
        </w:rPr>
        <w:t xml:space="preserve"> </w:t>
      </w:r>
      <w:r w:rsidRPr="00B42980">
        <w:rPr>
          <w:u w:val="single"/>
          <w:lang w:val="fr-BE"/>
        </w:rPr>
        <w:t>Cas particul</w:t>
      </w:r>
      <w:r w:rsidR="00CA38DC" w:rsidRPr="00B42980">
        <w:rPr>
          <w:u w:val="single"/>
          <w:lang w:val="fr-BE"/>
        </w:rPr>
        <w:t>ier:</w:t>
      </w:r>
      <w:r w:rsidR="00CA38DC">
        <w:rPr>
          <w:u w:val="single"/>
          <w:lang w:val="fr-BE"/>
        </w:rPr>
        <w:t xml:space="preserve"> </w:t>
      </w:r>
      <w:r w:rsidR="00CA38DC" w:rsidRPr="00B42980">
        <w:rPr>
          <w:lang w:val="fr-BE"/>
        </w:rPr>
        <w:t>les</w:t>
      </w:r>
      <w:proofErr w:type="gramStart"/>
      <w:r w:rsidR="00CA38DC" w:rsidRPr="00B42980">
        <w:rPr>
          <w:lang w:val="fr-BE"/>
        </w:rPr>
        <w:t xml:space="preserve"> «consultants</w:t>
      </w:r>
      <w:proofErr w:type="gramEnd"/>
      <w:r w:rsidR="00CA38DC" w:rsidRPr="00B42980">
        <w:rPr>
          <w:lang w:val="fr-BE"/>
        </w:rPr>
        <w:t xml:space="preserve"> internes»</w:t>
      </w:r>
      <w:r w:rsidR="00CA38DC">
        <w:rPr>
          <w:u w:val="single"/>
          <w:lang w:val="fr-BE"/>
        </w:rPr>
        <w:t xml:space="preserve"> </w:t>
      </w:r>
    </w:p>
    <w:p w:rsidR="00B42980" w:rsidRPr="00B42980" w:rsidRDefault="00B42980" w:rsidP="00B42980">
      <w:pPr>
        <w:pStyle w:val="ListParagraph"/>
        <w:rPr>
          <w:lang w:val="fr-BE"/>
        </w:rPr>
      </w:pPr>
    </w:p>
    <w:p w:rsidR="001A0C04" w:rsidRPr="00B42980" w:rsidRDefault="00A24E75" w:rsidP="00B42980">
      <w:pPr>
        <w:pStyle w:val="ListParagraph"/>
        <w:jc w:val="both"/>
        <w:rPr>
          <w:lang w:val="fr-BE"/>
        </w:rPr>
      </w:pPr>
      <w:hyperlink r:id="rId6" w:anchor="id-19.Ex%C3%A9cutiondescontratsdesubvention%E2%80%93Guidedel%E2%80%99utilisateur-19.3.1.Article14%E2%80%93Co%C3%BBts%C3%A9ligibles" w:history="1">
        <w:r w:rsidR="001A0C04" w:rsidRPr="00B42980">
          <w:rPr>
            <w:rStyle w:val="Hyperlink"/>
            <w:lang w:val="fr-BE"/>
          </w:rPr>
          <w:t>https://wikis.ec.europa.eu/pages/viewpage.action?pageId=33525314#id-19.Ex%C3%A9cutiondescontratsdesubvention%E2%80%93Guidedel%E2%80%99utilisateur-19.3.1.Article14%E2%80%93Co%C3%BBts%C3%A9ligibles</w:t>
        </w:r>
      </w:hyperlink>
    </w:p>
    <w:p w:rsidR="00B42980" w:rsidRPr="00B42980" w:rsidRDefault="00B42980" w:rsidP="00B42980">
      <w:pPr>
        <w:pStyle w:val="ListParagraph"/>
        <w:jc w:val="both"/>
        <w:rPr>
          <w:lang w:val="fr-BE"/>
        </w:rPr>
      </w:pPr>
    </w:p>
    <w:p w:rsidR="001A0C04" w:rsidRDefault="001A0C04" w:rsidP="001A0C04">
      <w:pPr>
        <w:pStyle w:val="ListParagraph"/>
        <w:numPr>
          <w:ilvl w:val="0"/>
          <w:numId w:val="5"/>
        </w:numPr>
        <w:jc w:val="both"/>
        <w:rPr>
          <w:lang w:val="fr-BE"/>
        </w:rPr>
      </w:pPr>
      <w:r w:rsidRPr="00B42980">
        <w:rPr>
          <w:b/>
          <w:bCs/>
          <w:color w:val="0070C0"/>
          <w:sz w:val="28"/>
          <w:szCs w:val="28"/>
          <w:lang w:val="fr-BE"/>
        </w:rPr>
        <w:t>Coûts de personnel : contrat sur 5 ans, mais selon droit TN devient CDI après 4 ans</w:t>
      </w:r>
      <w:r w:rsidRPr="00B42980">
        <w:rPr>
          <w:color w:val="0070C0"/>
          <w:sz w:val="28"/>
          <w:szCs w:val="28"/>
          <w:lang w:val="fr-BE"/>
        </w:rPr>
        <w:t>.</w:t>
      </w:r>
      <w:r w:rsidRPr="00B42980">
        <w:rPr>
          <w:color w:val="0070C0"/>
          <w:lang w:val="fr-BE"/>
        </w:rPr>
        <w:t xml:space="preserve"> </w:t>
      </w:r>
      <w:r>
        <w:rPr>
          <w:lang w:val="fr-BE"/>
        </w:rPr>
        <w:t xml:space="preserve">Ceci doit donc être </w:t>
      </w:r>
      <w:r w:rsidR="00B42980">
        <w:rPr>
          <w:lang w:val="fr-BE"/>
        </w:rPr>
        <w:t>pris en compte</w:t>
      </w:r>
      <w:r>
        <w:rPr>
          <w:lang w:val="fr-BE"/>
        </w:rPr>
        <w:t xml:space="preserve"> depuis le début</w:t>
      </w:r>
      <w:r w:rsidR="00B42980">
        <w:rPr>
          <w:lang w:val="fr-BE"/>
        </w:rPr>
        <w:t xml:space="preserve"> dans l’élaboration du budget de l’action</w:t>
      </w:r>
      <w:r>
        <w:rPr>
          <w:lang w:val="fr-BE"/>
        </w:rPr>
        <w:t xml:space="preserve"> car la contribution UE </w:t>
      </w:r>
      <w:r w:rsidR="00B42980">
        <w:rPr>
          <w:lang w:val="fr-BE"/>
        </w:rPr>
        <w:t>est toujours</w:t>
      </w:r>
      <w:r>
        <w:rPr>
          <w:lang w:val="fr-BE"/>
        </w:rPr>
        <w:t xml:space="preserve"> limitée (en EUR, en % et dans le temps).  </w:t>
      </w:r>
    </w:p>
    <w:p w:rsidR="001A0C04" w:rsidRDefault="001A0C04" w:rsidP="001A0C04">
      <w:pPr>
        <w:jc w:val="both"/>
        <w:rPr>
          <w:lang w:val="fr-BE"/>
        </w:rPr>
      </w:pPr>
    </w:p>
    <w:p w:rsidR="001A0C04" w:rsidRPr="00457F2D" w:rsidRDefault="001A0C04" w:rsidP="00457F2D">
      <w:pPr>
        <w:pBdr>
          <w:bottom w:val="single" w:sz="4" w:space="1" w:color="auto"/>
        </w:pBdr>
        <w:jc w:val="both"/>
        <w:rPr>
          <w:b/>
          <w:bCs/>
          <w:color w:val="0070C0"/>
          <w:sz w:val="28"/>
          <w:szCs w:val="28"/>
          <w:lang w:val="fr-BE"/>
        </w:rPr>
      </w:pPr>
      <w:r w:rsidRPr="00457F2D">
        <w:rPr>
          <w:b/>
          <w:bCs/>
          <w:color w:val="0070C0"/>
          <w:sz w:val="28"/>
          <w:szCs w:val="28"/>
          <w:lang w:val="fr-BE"/>
        </w:rPr>
        <w:t>TVA</w:t>
      </w:r>
    </w:p>
    <w:p w:rsidR="00B42980" w:rsidRPr="00B42980" w:rsidRDefault="00B42980" w:rsidP="00B42980">
      <w:pPr>
        <w:pStyle w:val="ListParagraph"/>
        <w:jc w:val="both"/>
        <w:rPr>
          <w:lang w:val="fr-BE"/>
        </w:rPr>
      </w:pPr>
    </w:p>
    <w:p w:rsidR="001A0C04" w:rsidRDefault="001A0C04" w:rsidP="001A0C04">
      <w:pPr>
        <w:pStyle w:val="ListParagraph"/>
        <w:numPr>
          <w:ilvl w:val="0"/>
          <w:numId w:val="6"/>
        </w:numPr>
        <w:jc w:val="both"/>
        <w:rPr>
          <w:lang w:val="fr-BE"/>
        </w:rPr>
      </w:pPr>
      <w:r w:rsidRPr="00B42980">
        <w:rPr>
          <w:b/>
          <w:bCs/>
          <w:color w:val="0070C0"/>
          <w:sz w:val="28"/>
          <w:szCs w:val="28"/>
          <w:lang w:val="fr-BE"/>
        </w:rPr>
        <w:t>La procédure de suspension de TVA est lourde pour les associations locales. Quid au cas où ça concerne également les communes au niveau des bénéficiaires finaux ?</w:t>
      </w:r>
      <w:r>
        <w:rPr>
          <w:b/>
          <w:bCs/>
          <w:lang w:val="fr-BE"/>
        </w:rPr>
        <w:t xml:space="preserve"> </w:t>
      </w:r>
      <w:r>
        <w:rPr>
          <w:lang w:val="fr-BE"/>
        </w:rPr>
        <w:t>Les démarches doivent être effectuées et reportées dans le rapport narratif/de vérification de dépenses. Les taxes/la TVA non recouvrables seront éligibles si les démarches</w:t>
      </w:r>
      <w:r>
        <w:rPr>
          <w:color w:val="1F497D"/>
          <w:lang w:val="fr-BE"/>
        </w:rPr>
        <w:t xml:space="preserve"> </w:t>
      </w:r>
      <w:r w:rsidRPr="00B42980">
        <w:rPr>
          <w:lang w:val="fr-BE"/>
        </w:rPr>
        <w:t xml:space="preserve">nécessaires </w:t>
      </w:r>
      <w:r>
        <w:rPr>
          <w:lang w:val="fr-BE"/>
        </w:rPr>
        <w:t>ont été entreprises au préalable.</w:t>
      </w:r>
      <w:r w:rsidR="00B42980">
        <w:rPr>
          <w:lang w:val="fr-BE"/>
        </w:rPr>
        <w:t xml:space="preserve"> Il est indispensable que ce soit l’auditeur qui atteste de ce point dans son rapport de vérification de dépenses.</w:t>
      </w:r>
    </w:p>
    <w:p w:rsidR="001A0C04" w:rsidRPr="00B42980" w:rsidRDefault="001A0C04" w:rsidP="001A0C04">
      <w:pPr>
        <w:ind w:left="720"/>
        <w:jc w:val="both"/>
        <w:rPr>
          <w:bCs/>
          <w:lang w:val="fr-BE"/>
        </w:rPr>
      </w:pPr>
      <w:r w:rsidRPr="00B42980">
        <w:rPr>
          <w:bCs/>
          <w:lang w:val="fr-BE"/>
        </w:rPr>
        <w:t xml:space="preserve">Une guidance plus spécifique sur les </w:t>
      </w:r>
      <w:r w:rsidR="00CA38DC" w:rsidRPr="00B42980">
        <w:rPr>
          <w:bCs/>
          <w:lang w:val="fr-BE"/>
        </w:rPr>
        <w:t xml:space="preserve">taxes/la TVA </w:t>
      </w:r>
      <w:r w:rsidRPr="00B42980">
        <w:rPr>
          <w:bCs/>
          <w:lang w:val="fr-BE"/>
        </w:rPr>
        <w:t>sera fournie ultérieurement par la DUE. Dans l’attente, nous pouvons répondre à vos questions plus individuelles au cas par cas.</w:t>
      </w:r>
    </w:p>
    <w:p w:rsidR="001A0C04" w:rsidRDefault="001A0C04" w:rsidP="001A0C04">
      <w:pPr>
        <w:jc w:val="both"/>
        <w:rPr>
          <w:lang w:val="fr-BE"/>
        </w:rPr>
      </w:pPr>
    </w:p>
    <w:p w:rsidR="001A0C04" w:rsidRPr="00B42980" w:rsidRDefault="001A0C04" w:rsidP="00457F2D">
      <w:pPr>
        <w:pBdr>
          <w:bottom w:val="single" w:sz="4" w:space="1" w:color="auto"/>
        </w:pBdr>
        <w:jc w:val="both"/>
        <w:rPr>
          <w:b/>
          <w:bCs/>
          <w:caps/>
          <w:color w:val="0070C0"/>
          <w:sz w:val="28"/>
          <w:szCs w:val="28"/>
          <w:lang w:val="fr-BE"/>
        </w:rPr>
      </w:pPr>
      <w:r w:rsidRPr="00B42980">
        <w:rPr>
          <w:b/>
          <w:bCs/>
          <w:caps/>
          <w:color w:val="0070C0"/>
          <w:sz w:val="28"/>
          <w:szCs w:val="28"/>
          <w:lang w:val="fr-BE"/>
        </w:rPr>
        <w:t>Mise en œuvre vs. Exécution</w:t>
      </w:r>
    </w:p>
    <w:p w:rsidR="00B42980" w:rsidRDefault="00B42980" w:rsidP="00B42980">
      <w:pPr>
        <w:pStyle w:val="ListParagraph"/>
        <w:jc w:val="both"/>
        <w:rPr>
          <w:b/>
          <w:bCs/>
          <w:lang w:val="fr-BE"/>
        </w:rPr>
      </w:pPr>
    </w:p>
    <w:p w:rsidR="001A0C04" w:rsidRPr="00B42980" w:rsidRDefault="001A0C04" w:rsidP="00B42980">
      <w:pPr>
        <w:pStyle w:val="ListParagraph"/>
        <w:numPr>
          <w:ilvl w:val="0"/>
          <w:numId w:val="6"/>
        </w:numPr>
        <w:jc w:val="both"/>
        <w:rPr>
          <w:b/>
          <w:bCs/>
          <w:color w:val="0070C0"/>
          <w:sz w:val="28"/>
          <w:szCs w:val="28"/>
          <w:lang w:val="fr-BE"/>
        </w:rPr>
      </w:pPr>
      <w:r w:rsidRPr="00B42980">
        <w:rPr>
          <w:b/>
          <w:bCs/>
          <w:color w:val="0070C0"/>
          <w:sz w:val="28"/>
          <w:szCs w:val="28"/>
          <w:lang w:val="fr-BE"/>
        </w:rPr>
        <w:t>Règle d’origine et Article 26 d’un décret pré</w:t>
      </w:r>
      <w:r w:rsidR="00CA38DC" w:rsidRPr="00B42980">
        <w:rPr>
          <w:b/>
          <w:bCs/>
          <w:color w:val="0070C0"/>
          <w:sz w:val="28"/>
          <w:szCs w:val="28"/>
          <w:lang w:val="fr-BE"/>
        </w:rPr>
        <w:t>sidentiel qui est contraire au</w:t>
      </w:r>
      <w:r w:rsidRPr="00B42980">
        <w:rPr>
          <w:b/>
          <w:bCs/>
          <w:color w:val="0070C0"/>
          <w:sz w:val="28"/>
          <w:szCs w:val="28"/>
          <w:lang w:val="fr-BE"/>
        </w:rPr>
        <w:t xml:space="preserve"> PRAG.</w:t>
      </w:r>
    </w:p>
    <w:p w:rsidR="00A160FB" w:rsidRDefault="001A0C04" w:rsidP="0089070B">
      <w:pPr>
        <w:ind w:left="720"/>
        <w:jc w:val="both"/>
        <w:rPr>
          <w:lang w:val="fr-BE"/>
        </w:rPr>
      </w:pPr>
      <w:r>
        <w:rPr>
          <w:lang w:val="fr-BE"/>
        </w:rPr>
        <w:t>Annexe IV : passation de marché</w:t>
      </w:r>
      <w:r w:rsidR="00B42980">
        <w:rPr>
          <w:lang w:val="fr-BE"/>
        </w:rPr>
        <w:t>s :</w:t>
      </w:r>
      <w:r>
        <w:rPr>
          <w:lang w:val="fr-BE"/>
        </w:rPr>
        <w:t xml:space="preserve"> le PRAG n’est pas nécessairement d’application. Uniquement les grands principes évoqués en début de présentation et la bonne et saine gestion financière sont imposées (principes de transparence, égalité de traitement, compétition </w:t>
      </w:r>
      <w:proofErr w:type="spellStart"/>
      <w:r>
        <w:rPr>
          <w:lang w:val="fr-BE"/>
        </w:rPr>
        <w:t>etc</w:t>
      </w:r>
      <w:proofErr w:type="spellEnd"/>
      <w:r>
        <w:rPr>
          <w:lang w:val="fr-BE"/>
        </w:rPr>
        <w:t xml:space="preserve">). </w:t>
      </w:r>
    </w:p>
    <w:p w:rsidR="00A160FB" w:rsidRDefault="00A160FB" w:rsidP="0089070B">
      <w:pPr>
        <w:ind w:left="720"/>
        <w:jc w:val="both"/>
        <w:rPr>
          <w:lang w:val="fr-BE"/>
        </w:rPr>
      </w:pPr>
      <w:r>
        <w:rPr>
          <w:lang w:val="fr-BE"/>
        </w:rPr>
        <w:t>Les r</w:t>
      </w:r>
      <w:r w:rsidR="001A0C04">
        <w:rPr>
          <w:lang w:val="fr-BE"/>
        </w:rPr>
        <w:t>ègle</w:t>
      </w:r>
      <w:r>
        <w:rPr>
          <w:lang w:val="fr-BE"/>
        </w:rPr>
        <w:t>s</w:t>
      </w:r>
      <w:r w:rsidR="001A0C04">
        <w:rPr>
          <w:lang w:val="fr-BE"/>
        </w:rPr>
        <w:t xml:space="preserve"> d’éligibilité </w:t>
      </w:r>
      <w:r>
        <w:rPr>
          <w:lang w:val="fr-BE"/>
        </w:rPr>
        <w:t>/</w:t>
      </w:r>
      <w:r w:rsidR="001A0C04">
        <w:rPr>
          <w:lang w:val="fr-BE"/>
        </w:rPr>
        <w:t xml:space="preserve"> d’origine s’applique</w:t>
      </w:r>
      <w:r>
        <w:rPr>
          <w:lang w:val="fr-BE"/>
        </w:rPr>
        <w:t>nt</w:t>
      </w:r>
      <w:r w:rsidR="001A0C04">
        <w:rPr>
          <w:lang w:val="fr-BE"/>
        </w:rPr>
        <w:t xml:space="preserve"> aux contractants (nationalités) et à l’origine des biens/équipements</w:t>
      </w:r>
      <w:r>
        <w:rPr>
          <w:lang w:val="fr-BE"/>
        </w:rPr>
        <w:t xml:space="preserve"> dans le cadre de l’annexe IV</w:t>
      </w:r>
      <w:r w:rsidR="001A0C04">
        <w:rPr>
          <w:lang w:val="fr-BE"/>
        </w:rPr>
        <w:t>. Voir Annexe A2a du PR</w:t>
      </w:r>
      <w:r w:rsidR="0089070B">
        <w:rPr>
          <w:lang w:val="fr-BE"/>
        </w:rPr>
        <w:t>AG. ENI (</w:t>
      </w:r>
      <w:proofErr w:type="spellStart"/>
      <w:r w:rsidR="0089070B">
        <w:rPr>
          <w:lang w:val="fr-BE"/>
        </w:rPr>
        <w:t>European</w:t>
      </w:r>
      <w:proofErr w:type="spellEnd"/>
      <w:r w:rsidR="0089070B">
        <w:rPr>
          <w:lang w:val="fr-BE"/>
        </w:rPr>
        <w:t xml:space="preserve"> </w:t>
      </w:r>
      <w:proofErr w:type="spellStart"/>
      <w:r w:rsidR="0089070B">
        <w:rPr>
          <w:lang w:val="fr-BE"/>
        </w:rPr>
        <w:t>Neighbourood</w:t>
      </w:r>
      <w:proofErr w:type="spellEnd"/>
      <w:r w:rsidR="0089070B">
        <w:rPr>
          <w:lang w:val="fr-BE"/>
        </w:rPr>
        <w:t xml:space="preserve"> I</w:t>
      </w:r>
      <w:r w:rsidR="001A0C04">
        <w:rPr>
          <w:lang w:val="fr-BE"/>
        </w:rPr>
        <w:t>nstrument a ses propres règles qui diff</w:t>
      </w:r>
      <w:r>
        <w:rPr>
          <w:lang w:val="fr-BE"/>
        </w:rPr>
        <w:t>è</w:t>
      </w:r>
      <w:r w:rsidR="001A0C04">
        <w:rPr>
          <w:lang w:val="fr-BE"/>
        </w:rPr>
        <w:t>rent</w:t>
      </w:r>
      <w:r w:rsidR="0089070B">
        <w:rPr>
          <w:lang w:val="fr-BE"/>
        </w:rPr>
        <w:t xml:space="preserve"> de celui</w:t>
      </w:r>
      <w:r w:rsidR="001A0C04">
        <w:rPr>
          <w:lang w:val="fr-BE"/>
        </w:rPr>
        <w:t xml:space="preserve"> de l’instrument des droits de l’homme (IEDDH) par exemple. Depuis </w:t>
      </w:r>
      <w:r>
        <w:rPr>
          <w:lang w:val="fr-BE"/>
        </w:rPr>
        <w:t xml:space="preserve">le </w:t>
      </w:r>
      <w:proofErr w:type="spellStart"/>
      <w:r w:rsidR="001A0C04">
        <w:rPr>
          <w:lang w:val="fr-BE"/>
        </w:rPr>
        <w:t>Brexit</w:t>
      </w:r>
      <w:proofErr w:type="spellEnd"/>
      <w:r w:rsidR="001A0C04">
        <w:rPr>
          <w:lang w:val="fr-BE"/>
        </w:rPr>
        <w:t xml:space="preserve">, UK n’est plus éligible (sauf </w:t>
      </w:r>
      <w:r w:rsidR="00BA7C27">
        <w:rPr>
          <w:lang w:val="fr-BE"/>
        </w:rPr>
        <w:t>exception</w:t>
      </w:r>
      <w:r w:rsidR="001A0C04">
        <w:rPr>
          <w:lang w:val="fr-BE"/>
        </w:rPr>
        <w:t xml:space="preserve">, vérifier avec votre gestionnaire). </w:t>
      </w:r>
    </w:p>
    <w:p w:rsidR="001A0C04" w:rsidRDefault="00A160FB" w:rsidP="0089070B">
      <w:pPr>
        <w:ind w:left="720"/>
        <w:jc w:val="both"/>
        <w:rPr>
          <w:lang w:val="fr-BE"/>
        </w:rPr>
      </w:pPr>
      <w:r>
        <w:rPr>
          <w:lang w:val="fr-BE"/>
        </w:rPr>
        <w:t>Selon le seuil des achats/lot, si les é</w:t>
      </w:r>
      <w:r w:rsidR="001A0C04">
        <w:rPr>
          <w:lang w:val="fr-BE"/>
        </w:rPr>
        <w:t xml:space="preserve">quipements/fournitures </w:t>
      </w:r>
      <w:r>
        <w:rPr>
          <w:lang w:val="fr-BE"/>
        </w:rPr>
        <w:t xml:space="preserve">ou lot est </w:t>
      </w:r>
      <w:r w:rsidR="001A0C04">
        <w:rPr>
          <w:lang w:val="fr-BE"/>
        </w:rPr>
        <w:t>&lt; ou égal à 100.000</w:t>
      </w:r>
      <w:r>
        <w:rPr>
          <w:lang w:val="fr-BE"/>
        </w:rPr>
        <w:t xml:space="preserve"> </w:t>
      </w:r>
      <w:r w:rsidR="001A0C04">
        <w:rPr>
          <w:lang w:val="fr-BE"/>
        </w:rPr>
        <w:t xml:space="preserve">€, </w:t>
      </w:r>
      <w:r>
        <w:rPr>
          <w:lang w:val="fr-BE"/>
        </w:rPr>
        <w:t xml:space="preserve">nous appliquerons le </w:t>
      </w:r>
      <w:r w:rsidR="001A0C04">
        <w:rPr>
          <w:lang w:val="fr-BE"/>
        </w:rPr>
        <w:t>déliement total (toutes les nationalités</w:t>
      </w:r>
      <w:r>
        <w:rPr>
          <w:lang w:val="fr-BE"/>
        </w:rPr>
        <w:t>/origines</w:t>
      </w:r>
      <w:r w:rsidR="001A0C04">
        <w:rPr>
          <w:lang w:val="fr-BE"/>
        </w:rPr>
        <w:t xml:space="preserve"> sont éligibles). Pour les experts (individuels) aucune </w:t>
      </w:r>
      <w:r>
        <w:rPr>
          <w:lang w:val="fr-BE"/>
        </w:rPr>
        <w:t>restriction en termes</w:t>
      </w:r>
      <w:r w:rsidR="001A0C04">
        <w:rPr>
          <w:lang w:val="fr-BE"/>
        </w:rPr>
        <w:t xml:space="preserve"> de nationalité</w:t>
      </w:r>
      <w:r>
        <w:rPr>
          <w:lang w:val="fr-BE"/>
        </w:rPr>
        <w:t xml:space="preserve"> quel que soit le montant</w:t>
      </w:r>
      <w:r w:rsidR="001A0C04">
        <w:rPr>
          <w:lang w:val="fr-BE"/>
        </w:rPr>
        <w:t xml:space="preserve">. </w:t>
      </w:r>
    </w:p>
    <w:p w:rsidR="001A0C04" w:rsidRDefault="001A0C04" w:rsidP="001A0C04">
      <w:pPr>
        <w:jc w:val="both"/>
        <w:rPr>
          <w:lang w:val="fr-BE"/>
        </w:rPr>
      </w:pPr>
    </w:p>
    <w:p w:rsidR="001A0C04" w:rsidRDefault="001A0C04" w:rsidP="001A0C04">
      <w:pPr>
        <w:jc w:val="both"/>
        <w:rPr>
          <w:sz w:val="18"/>
          <w:szCs w:val="18"/>
          <w:lang w:val="fr-BE"/>
        </w:rPr>
      </w:pPr>
      <w:r>
        <w:rPr>
          <w:b/>
          <w:bCs/>
          <w:sz w:val="20"/>
          <w:szCs w:val="20"/>
          <w:lang w:val="fr-BE"/>
        </w:rPr>
        <w:t>Les r</w:t>
      </w:r>
      <w:r w:rsidR="0089070B">
        <w:rPr>
          <w:b/>
          <w:bCs/>
          <w:sz w:val="20"/>
          <w:szCs w:val="20"/>
          <w:lang w:val="fr-BE"/>
        </w:rPr>
        <w:t xml:space="preserve">éférences aux GC sont celles </w:t>
      </w:r>
      <w:r w:rsidR="00BA7C27">
        <w:rPr>
          <w:b/>
          <w:bCs/>
          <w:sz w:val="20"/>
          <w:szCs w:val="20"/>
          <w:lang w:val="fr-BE"/>
        </w:rPr>
        <w:t>d’Août</w:t>
      </w:r>
      <w:r>
        <w:rPr>
          <w:b/>
          <w:bCs/>
          <w:sz w:val="20"/>
          <w:szCs w:val="20"/>
          <w:lang w:val="fr-BE"/>
        </w:rPr>
        <w:t xml:space="preserve"> 2020 </w:t>
      </w:r>
      <w:r>
        <w:rPr>
          <w:sz w:val="18"/>
          <w:szCs w:val="18"/>
          <w:lang w:val="fr-BE"/>
        </w:rPr>
        <w:t>telles que publiées en annexe du PRAG référencées e3h2_gencond_fr</w:t>
      </w:r>
    </w:p>
    <w:p w:rsidR="00AD6D88" w:rsidRPr="001A0C04" w:rsidRDefault="00AD6D88" w:rsidP="001A0C04">
      <w:pPr>
        <w:jc w:val="both"/>
        <w:rPr>
          <w:lang w:val="fr-BE"/>
        </w:rPr>
      </w:pPr>
    </w:p>
    <w:sectPr w:rsidR="00AD6D88" w:rsidRPr="001A0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6C88"/>
    <w:multiLevelType w:val="hybridMultilevel"/>
    <w:tmpl w:val="E152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C6064F"/>
    <w:multiLevelType w:val="hybridMultilevel"/>
    <w:tmpl w:val="5F8E6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9C589F"/>
    <w:multiLevelType w:val="hybridMultilevel"/>
    <w:tmpl w:val="4C8C0D30"/>
    <w:lvl w:ilvl="0" w:tplc="08090001">
      <w:start w:val="1"/>
      <w:numFmt w:val="bullet"/>
      <w:lvlText w:val=""/>
      <w:lvlJc w:val="left"/>
      <w:pPr>
        <w:ind w:left="720" w:hanging="360"/>
      </w:pPr>
      <w:rPr>
        <w:rFonts w:ascii="Symbol" w:hAnsi="Symbol" w:hint="default"/>
      </w:rPr>
    </w:lvl>
    <w:lvl w:ilvl="1" w:tplc="D3109618">
      <w:start w:val="5"/>
      <w:numFmt w:val="bullet"/>
      <w:lvlText w:val="-"/>
      <w:lvlJc w:val="left"/>
      <w:pPr>
        <w:ind w:left="1800" w:hanging="72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ED3C1C"/>
    <w:multiLevelType w:val="hybridMultilevel"/>
    <w:tmpl w:val="449C9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2B0140"/>
    <w:multiLevelType w:val="hybridMultilevel"/>
    <w:tmpl w:val="AB6CD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913988"/>
    <w:multiLevelType w:val="hybridMultilevel"/>
    <w:tmpl w:val="A1ACD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033234"/>
    <w:multiLevelType w:val="hybridMultilevel"/>
    <w:tmpl w:val="28B2B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A0C04"/>
    <w:rsid w:val="0005295E"/>
    <w:rsid w:val="001A0C04"/>
    <w:rsid w:val="004314F5"/>
    <w:rsid w:val="00457F2D"/>
    <w:rsid w:val="00466D3A"/>
    <w:rsid w:val="005538EB"/>
    <w:rsid w:val="005C6D6D"/>
    <w:rsid w:val="00672A1B"/>
    <w:rsid w:val="008105B4"/>
    <w:rsid w:val="0089070B"/>
    <w:rsid w:val="008F1449"/>
    <w:rsid w:val="00916C4F"/>
    <w:rsid w:val="0095394D"/>
    <w:rsid w:val="00974A5D"/>
    <w:rsid w:val="00A160FB"/>
    <w:rsid w:val="00A235C9"/>
    <w:rsid w:val="00A24E75"/>
    <w:rsid w:val="00AA6744"/>
    <w:rsid w:val="00AD6D88"/>
    <w:rsid w:val="00B42980"/>
    <w:rsid w:val="00BA7C27"/>
    <w:rsid w:val="00BC0B70"/>
    <w:rsid w:val="00CA38DC"/>
    <w:rsid w:val="00D04E49"/>
    <w:rsid w:val="00D10C0D"/>
    <w:rsid w:val="00D55FDB"/>
    <w:rsid w:val="00DC46C1"/>
    <w:rsid w:val="00F87D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6D28"/>
  <w15:chartTrackingRefBased/>
  <w15:docId w15:val="{915467E5-D2DC-45B6-91E3-316831C4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0C04"/>
    <w:rPr>
      <w:color w:val="0563C1"/>
      <w:u w:val="single"/>
    </w:rPr>
  </w:style>
  <w:style w:type="paragraph" w:styleId="ListParagraph">
    <w:name w:val="List Paragraph"/>
    <w:basedOn w:val="Normal"/>
    <w:uiPriority w:val="34"/>
    <w:qFormat/>
    <w:rsid w:val="001A0C04"/>
    <w:pPr>
      <w:ind w:left="720"/>
    </w:pPr>
  </w:style>
  <w:style w:type="paragraph" w:customStyle="1" w:styleId="Default">
    <w:name w:val="Default"/>
    <w:basedOn w:val="Normal"/>
    <w:rsid w:val="001A0C04"/>
    <w:pPr>
      <w:autoSpaceDE w:val="0"/>
      <w:autoSpaceDN w:val="0"/>
    </w:pPr>
    <w:rPr>
      <w:rFonts w:ascii="Times New Roman" w:hAnsi="Times New Roman" w:cs="Times New Roman"/>
      <w:color w:val="000000"/>
      <w:sz w:val="24"/>
      <w:szCs w:val="24"/>
    </w:rPr>
  </w:style>
  <w:style w:type="paragraph" w:customStyle="1" w:styleId="ZCom">
    <w:name w:val="Z_Com"/>
    <w:basedOn w:val="Normal"/>
    <w:next w:val="Normal"/>
    <w:rsid w:val="00AA6744"/>
    <w:pPr>
      <w:widowControl w:val="0"/>
      <w:snapToGrid w:val="0"/>
      <w:ind w:right="85"/>
      <w:jc w:val="both"/>
    </w:pPr>
    <w:rPr>
      <w:rFonts w:ascii="Arial" w:eastAsia="Times New Roman" w:hAnsi="Arial" w:cs="Times New Roman"/>
      <w:sz w:val="24"/>
      <w:szCs w:val="20"/>
      <w:lang w:val="fr-FR" w:eastAsia="fr-FR"/>
    </w:rPr>
  </w:style>
  <w:style w:type="paragraph" w:customStyle="1" w:styleId="ZDGName">
    <w:name w:val="Z_DGName"/>
    <w:basedOn w:val="Normal"/>
    <w:rsid w:val="00AA6744"/>
    <w:pPr>
      <w:widowControl w:val="0"/>
      <w:autoSpaceDE w:val="0"/>
      <w:autoSpaceDN w:val="0"/>
      <w:ind w:right="85"/>
    </w:pPr>
    <w:rPr>
      <w:rFonts w:ascii="Arial" w:eastAsia="Times New Roman" w:hAnsi="Arial" w:cs="Arial"/>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s.ec.europa.eu/pages/viewpage.action?pageId=33525314"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CHAMAKHI Hela (EEAS-TUNIS)</dc:creator>
  <cp:keywords/>
  <dc:description/>
  <cp:lastModifiedBy>CHAMAKHI Hela (EEAS-TUNIS)</cp:lastModifiedBy>
  <cp:revision>3</cp:revision>
  <dcterms:created xsi:type="dcterms:W3CDTF">2021-12-08T11:41:00Z</dcterms:created>
  <dcterms:modified xsi:type="dcterms:W3CDTF">2021-12-08T16:45:00Z</dcterms:modified>
</cp:coreProperties>
</file>