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C4F" w:rsidRDefault="002C0C4F" w:rsidP="002C0C4F">
      <w:pPr>
        <w:pStyle w:val="Title"/>
        <w:contextualSpacing w:val="0"/>
        <w:rPr>
          <w:lang w:val="en-GB"/>
        </w:rPr>
      </w:pPr>
      <w:bookmarkStart w:id="0" w:name="_GoBack"/>
      <w:r>
        <w:rPr>
          <w:noProof/>
          <w:lang w:val="en-GB" w:eastAsia="en-GB"/>
        </w:rPr>
        <w:drawing>
          <wp:anchor distT="0" distB="0" distL="114300" distR="114300" simplePos="0" relativeHeight="251658240" behindDoc="1" locked="0" layoutInCell="1" allowOverlap="1">
            <wp:simplePos x="0" y="0"/>
            <wp:positionH relativeFrom="column">
              <wp:posOffset>-545465</wp:posOffset>
            </wp:positionH>
            <wp:positionV relativeFrom="paragraph">
              <wp:posOffset>-634022</wp:posOffset>
            </wp:positionV>
            <wp:extent cx="7560000" cy="10681200"/>
            <wp:effectExtent l="0" t="0" r="317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 Communication and Visibility-01-01.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page">
              <wp14:pctWidth>0</wp14:pctWidth>
            </wp14:sizeRelH>
            <wp14:sizeRelV relativeFrom="page">
              <wp14:pctHeight>0</wp14:pctHeight>
            </wp14:sizeRelV>
          </wp:anchor>
        </w:drawing>
      </w:r>
      <w:bookmarkEnd w:id="0"/>
    </w:p>
    <w:p w:rsidR="002C0C4F" w:rsidRDefault="002C0C4F" w:rsidP="002C0C4F">
      <w:pPr>
        <w:pStyle w:val="Title"/>
        <w:contextualSpacing w:val="0"/>
        <w:rPr>
          <w:lang w:val="en-GB"/>
        </w:rPr>
      </w:pPr>
    </w:p>
    <w:p w:rsidR="002C0C4F" w:rsidRDefault="002C0C4F" w:rsidP="002C0C4F">
      <w:pPr>
        <w:pStyle w:val="Title"/>
        <w:contextualSpacing w:val="0"/>
        <w:rPr>
          <w:lang w:val="en-GB"/>
        </w:rPr>
      </w:pPr>
    </w:p>
    <w:p w:rsidR="002C0C4F" w:rsidRDefault="002C0C4F" w:rsidP="002C0C4F">
      <w:pPr>
        <w:pStyle w:val="Title"/>
        <w:contextualSpacing w:val="0"/>
        <w:rPr>
          <w:lang w:val="en-GB"/>
        </w:rPr>
      </w:pPr>
    </w:p>
    <w:p w:rsidR="002C0C4F" w:rsidRDefault="009626E3" w:rsidP="002C0C4F">
      <w:pPr>
        <w:pStyle w:val="Title"/>
        <w:contextualSpacing w:val="0"/>
        <w:rPr>
          <w:lang w:val="en-GB"/>
        </w:rPr>
      </w:pPr>
      <w:r w:rsidRPr="002C0C4F">
        <w:rPr>
          <w:noProof/>
          <w:lang w:val="en-GB" w:eastAsia="en-GB"/>
        </w:rPr>
        <mc:AlternateContent>
          <mc:Choice Requires="wps">
            <w:drawing>
              <wp:anchor distT="0" distB="0" distL="114300" distR="114300" simplePos="0" relativeHeight="251664384" behindDoc="0" locked="0" layoutInCell="1" allowOverlap="1" wp14:anchorId="18BE615F" wp14:editId="5AAA4A48">
                <wp:simplePos x="0" y="0"/>
                <wp:positionH relativeFrom="column">
                  <wp:posOffset>-1096010</wp:posOffset>
                </wp:positionH>
                <wp:positionV relativeFrom="paragraph">
                  <wp:posOffset>244132</wp:posOffset>
                </wp:positionV>
                <wp:extent cx="1686560" cy="323850"/>
                <wp:effectExtent l="0" t="0" r="444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6560" cy="323850"/>
                        </a:xfrm>
                        <a:prstGeom prst="rect">
                          <a:avLst/>
                        </a:prstGeom>
                        <a:noFill/>
                        <a:ln w="9525">
                          <a:noFill/>
                          <a:miter lim="800000"/>
                          <a:headEnd/>
                          <a:tailEnd/>
                        </a:ln>
                      </wps:spPr>
                      <wps:txbx>
                        <w:txbxContent>
                          <w:p w:rsidR="00072EB8" w:rsidRPr="006D2EBC" w:rsidRDefault="00072EB8" w:rsidP="006D2EBC">
                            <w:pPr>
                              <w:spacing w:before="0" w:line="240" w:lineRule="auto"/>
                              <w:jc w:val="center"/>
                              <w:rPr>
                                <w:i/>
                                <w:color w:val="FFFFFF" w:themeColor="background1"/>
                                <w:sz w:val="24"/>
                                <w:szCs w:val="24"/>
                                <w:lang w:val="en-GB"/>
                              </w:rPr>
                            </w:pPr>
                            <w:r w:rsidRPr="006D2EBC">
                              <w:rPr>
                                <w:color w:val="FFFFFF" w:themeColor="background1"/>
                                <w:sz w:val="24"/>
                                <w:szCs w:val="24"/>
                                <w:lang w:val="en-GB"/>
                              </w:rPr>
                              <w:t xml:space="preserve">1 </w:t>
                            </w:r>
                            <w:r w:rsidR="00C4766F">
                              <w:rPr>
                                <w:color w:val="FFFFFF" w:themeColor="background1"/>
                                <w:sz w:val="24"/>
                                <w:szCs w:val="24"/>
                                <w:lang w:val="en-GB"/>
                              </w:rPr>
                              <w:t>de Janeiro de</w:t>
                            </w:r>
                            <w:r w:rsidRPr="006D2EBC">
                              <w:rPr>
                                <w:color w:val="FFFFFF" w:themeColor="background1"/>
                                <w:sz w:val="24"/>
                                <w:szCs w:val="24"/>
                                <w:lang w:val="en-GB"/>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6.3pt;margin-top:19.2pt;width:132.8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" filled="f" stroked="f">
                <v:textbox>
                  <w:txbxContent>
                    <w:p w:rsidR="00072EB8" w:rsidRPr="006D2EBC" w:rsidRDefault="00072EB8" w:rsidP="006D2EBC">
                      <w:pPr>
                        <w:spacing w:before="0" w:line="240" w:lineRule="auto"/>
                        <w:jc w:val="center"/>
                        <w:rPr>
                          <w:i/>
                          <w:color w:val="FFFFFF" w:themeColor="background1"/>
                          <w:sz w:val="24"/>
                          <w:szCs w:val="24"/>
                          <w:lang w:val="en-GB"/>
                        </w:rPr>
                      </w:pPr>
                      <w:r w:rsidRPr="006D2EBC">
                        <w:rPr>
                          <w:color w:val="FFFFFF" w:themeColor="background1"/>
                          <w:sz w:val="24"/>
                          <w:szCs w:val="24"/>
                          <w:lang w:val="en-GB"/>
                        </w:rPr>
                        <w:t xml:space="preserve">1 </w:t>
                      </w:r>
                      <w:r w:rsidR="00C4766F">
                        <w:rPr>
                          <w:color w:val="FFFFFF" w:themeColor="background1"/>
                          <w:sz w:val="24"/>
                          <w:szCs w:val="24"/>
                          <w:lang w:val="en-GB"/>
                        </w:rPr>
                        <w:t>de Janeiro de</w:t>
                      </w:r>
                      <w:r w:rsidRPr="006D2EBC">
                        <w:rPr>
                          <w:color w:val="FFFFFF" w:themeColor="background1"/>
                          <w:sz w:val="24"/>
                          <w:szCs w:val="24"/>
                          <w:lang w:val="en-GB"/>
                        </w:rPr>
                        <w:t xml:space="preserve"> 2018</w:t>
                      </w:r>
                    </w:p>
                  </w:txbxContent>
                </v:textbox>
              </v:shape>
            </w:pict>
          </mc:Fallback>
        </mc:AlternateContent>
      </w:r>
    </w:p>
    <w:p w:rsidR="002C0C4F" w:rsidRDefault="002C0C4F" w:rsidP="002C0C4F">
      <w:pPr>
        <w:pStyle w:val="Title"/>
        <w:contextualSpacing w:val="0"/>
        <w:rPr>
          <w:lang w:val="en-GB"/>
        </w:rPr>
      </w:pPr>
    </w:p>
    <w:p w:rsidR="002C0C4F" w:rsidRPr="00072EB8" w:rsidRDefault="006D2EBC" w:rsidP="002C0C4F">
      <w:pPr>
        <w:pStyle w:val="Title"/>
        <w:contextualSpacing w:val="0"/>
        <w:rPr>
          <w:lang w:val="pt-PT"/>
        </w:rPr>
      </w:pPr>
      <w:r w:rsidRPr="00072EB8">
        <w:rPr>
          <w:lang w:val="pt-PT"/>
        </w:rPr>
        <w:t>–</w:t>
      </w:r>
    </w:p>
    <w:p w:rsidR="002C0C4F" w:rsidRPr="00072EB8" w:rsidRDefault="002C0C4F" w:rsidP="002C0C4F">
      <w:pPr>
        <w:pStyle w:val="Title"/>
        <w:contextualSpacing w:val="0"/>
        <w:rPr>
          <w:lang w:val="pt-PT"/>
        </w:rPr>
      </w:pPr>
    </w:p>
    <w:p w:rsidR="002C0C4F" w:rsidRPr="00072EB8" w:rsidRDefault="002C0C4F" w:rsidP="002C0C4F">
      <w:pPr>
        <w:pStyle w:val="Title"/>
        <w:contextualSpacing w:val="0"/>
        <w:rPr>
          <w:lang w:val="pt-PT"/>
        </w:rPr>
      </w:pPr>
    </w:p>
    <w:p w:rsidR="002C0C4F" w:rsidRPr="00072EB8" w:rsidRDefault="002C0C4F" w:rsidP="002C0C4F">
      <w:pPr>
        <w:pStyle w:val="Title"/>
        <w:contextualSpacing w:val="0"/>
        <w:rPr>
          <w:lang w:val="pt-PT"/>
        </w:rPr>
      </w:pPr>
    </w:p>
    <w:p w:rsidR="002C0C4F" w:rsidRPr="00072EB8" w:rsidRDefault="002C0C4F" w:rsidP="002C0C4F">
      <w:pPr>
        <w:pStyle w:val="Title"/>
        <w:contextualSpacing w:val="0"/>
        <w:rPr>
          <w:lang w:val="pt-PT"/>
        </w:rPr>
      </w:pPr>
    </w:p>
    <w:p w:rsidR="002C0C4F" w:rsidRPr="00072EB8" w:rsidRDefault="002C0C4F" w:rsidP="002C0C4F">
      <w:pPr>
        <w:pStyle w:val="Title"/>
        <w:contextualSpacing w:val="0"/>
        <w:rPr>
          <w:lang w:val="pt-PT"/>
        </w:rPr>
      </w:pPr>
    </w:p>
    <w:p w:rsidR="002C0C4F" w:rsidRPr="00072EB8" w:rsidRDefault="002C0C4F" w:rsidP="002C0C4F">
      <w:pPr>
        <w:pStyle w:val="Title"/>
        <w:contextualSpacing w:val="0"/>
        <w:rPr>
          <w:lang w:val="pt-PT"/>
        </w:rPr>
      </w:pPr>
    </w:p>
    <w:p w:rsidR="002C0C4F" w:rsidRPr="00072EB8" w:rsidRDefault="009626E3" w:rsidP="002C0C4F">
      <w:pPr>
        <w:pStyle w:val="Title"/>
        <w:contextualSpacing w:val="0"/>
        <w:rPr>
          <w:lang w:val="pt-PT"/>
        </w:rPr>
      </w:pPr>
      <w:r w:rsidRPr="002C0C4F">
        <w:rPr>
          <w:noProof/>
          <w:lang w:val="en-GB" w:eastAsia="en-GB"/>
        </w:rPr>
        <mc:AlternateContent>
          <mc:Choice Requires="wps">
            <w:drawing>
              <wp:anchor distT="0" distB="0" distL="114300" distR="114300" simplePos="0" relativeHeight="251660288" behindDoc="0" locked="0" layoutInCell="1" allowOverlap="1" wp14:anchorId="42F94B6C" wp14:editId="70CF34F7">
                <wp:simplePos x="0" y="0"/>
                <wp:positionH relativeFrom="column">
                  <wp:posOffset>524966</wp:posOffset>
                </wp:positionH>
                <wp:positionV relativeFrom="paragraph">
                  <wp:posOffset>8255</wp:posOffset>
                </wp:positionV>
                <wp:extent cx="5628068" cy="8997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68" cy="899795"/>
                        </a:xfrm>
                        <a:prstGeom prst="rect">
                          <a:avLst/>
                        </a:prstGeom>
                        <a:noFill/>
                        <a:ln w="9525">
                          <a:noFill/>
                          <a:miter lim="800000"/>
                          <a:headEnd/>
                          <a:tailEnd/>
                        </a:ln>
                      </wps:spPr>
                      <wps:txbx>
                        <w:txbxContent>
                          <w:p w:rsidR="00072EB8" w:rsidRPr="00072EB8" w:rsidRDefault="00072EB8" w:rsidP="00072EB8">
                            <w:pPr>
                              <w:spacing w:before="0" w:line="276" w:lineRule="auto"/>
                              <w:jc w:val="center"/>
                              <w:rPr>
                                <w:color w:val="404040" w:themeColor="text1" w:themeTint="BF"/>
                                <w:sz w:val="52"/>
                                <w:szCs w:val="52"/>
                                <w:lang w:val="pt-PT"/>
                              </w:rPr>
                            </w:pPr>
                            <w:r w:rsidRPr="00072EB8">
                              <w:rPr>
                                <w:color w:val="404040" w:themeColor="text1" w:themeTint="BF"/>
                                <w:sz w:val="52"/>
                                <w:szCs w:val="52"/>
                                <w:lang w:val="pt-PT"/>
                              </w:rPr>
                              <w:t>Comunicação e Visibilidade</w:t>
                            </w:r>
                          </w:p>
                          <w:p w:rsidR="00072EB8" w:rsidRPr="00072EB8" w:rsidRDefault="00072EB8" w:rsidP="00072EB8">
                            <w:pPr>
                              <w:pStyle w:val="Title"/>
                              <w:contextualSpacing w:val="0"/>
                              <w:jc w:val="center"/>
                              <w:rPr>
                                <w:lang w:val="pt-PT"/>
                              </w:rPr>
                            </w:pPr>
                            <w:proofErr w:type="gramStart"/>
                            <w:r w:rsidRPr="00072EB8">
                              <w:rPr>
                                <w:lang w:val="pt-PT"/>
                              </w:rPr>
                              <w:t>ações</w:t>
                            </w:r>
                            <w:proofErr w:type="gramEnd"/>
                            <w:r w:rsidRPr="00072EB8">
                              <w:rPr>
                                <w:lang w:val="pt-PT"/>
                              </w:rPr>
                              <w:t xml:space="preserve"> externas financiadas pela</w:t>
                            </w:r>
                            <w:r>
                              <w:rPr>
                                <w:lang w:val="pt-PT"/>
                              </w:rPr>
                              <w:t xml:space="preserve"> </w:t>
                            </w:r>
                            <w:r w:rsidRPr="00072EB8">
                              <w:rPr>
                                <w:lang w:val="pt-PT"/>
                              </w:rPr>
                              <w:t>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35pt;margin-top:.65pt;width:443.15pt;height:7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" filled="f" stroked="f">
                <v:textbox>
                  <w:txbxContent>
                    <w:p w:rsidR="00072EB8" w:rsidRPr="00072EB8" w:rsidRDefault="00072EB8" w:rsidP="00072EB8">
                      <w:pPr>
                        <w:spacing w:before="0" w:line="276" w:lineRule="auto"/>
                        <w:jc w:val="center"/>
                        <w:rPr>
                          <w:color w:val="404040" w:themeColor="text1" w:themeTint="BF"/>
                          <w:sz w:val="52"/>
                          <w:szCs w:val="52"/>
                          <w:lang w:val="pt-PT"/>
                        </w:rPr>
                      </w:pPr>
                      <w:r w:rsidRPr="00072EB8">
                        <w:rPr>
                          <w:color w:val="404040" w:themeColor="text1" w:themeTint="BF"/>
                          <w:sz w:val="52"/>
                          <w:szCs w:val="52"/>
                          <w:lang w:val="pt-PT"/>
                        </w:rPr>
                        <w:t>Comunicação e Visibilidade</w:t>
                      </w:r>
                    </w:p>
                    <w:p w:rsidR="00072EB8" w:rsidRPr="00072EB8" w:rsidRDefault="00072EB8" w:rsidP="00072EB8">
                      <w:pPr>
                        <w:pStyle w:val="Title"/>
                        <w:contextualSpacing w:val="0"/>
                        <w:jc w:val="center"/>
                        <w:rPr>
                          <w:lang w:val="pt-PT"/>
                        </w:rPr>
                      </w:pPr>
                      <w:r w:rsidRPr="00072EB8">
                        <w:rPr>
                          <w:lang w:val="pt-PT"/>
                        </w:rPr>
                        <w:t>ações externas financiadas pela</w:t>
                      </w:r>
                      <w:r>
                        <w:rPr>
                          <w:lang w:val="pt-PT"/>
                        </w:rPr>
                        <w:t xml:space="preserve"> </w:t>
                      </w:r>
                      <w:r w:rsidRPr="00072EB8">
                        <w:rPr>
                          <w:lang w:val="pt-PT"/>
                        </w:rPr>
                        <w:t>UE</w:t>
                      </w:r>
                    </w:p>
                  </w:txbxContent>
                </v:textbox>
              </v:shape>
            </w:pict>
          </mc:Fallback>
        </mc:AlternateContent>
      </w:r>
    </w:p>
    <w:p w:rsidR="006D2EBC" w:rsidRPr="00072EB8" w:rsidRDefault="009626E3" w:rsidP="00A630BC">
      <w:pPr>
        <w:pStyle w:val="Title"/>
        <w:contextualSpacing w:val="0"/>
        <w:rPr>
          <w:lang w:val="pt-PT"/>
        </w:rPr>
      </w:pPr>
      <w:r w:rsidRPr="002C0C4F">
        <w:rPr>
          <w:noProof/>
          <w:lang w:val="en-GB" w:eastAsia="en-GB"/>
        </w:rPr>
        <mc:AlternateContent>
          <mc:Choice Requires="wps">
            <w:drawing>
              <wp:anchor distT="0" distB="0" distL="114300" distR="114300" simplePos="0" relativeHeight="251662336" behindDoc="0" locked="0" layoutInCell="1" allowOverlap="1" wp14:anchorId="694F4490" wp14:editId="21063928">
                <wp:simplePos x="0" y="0"/>
                <wp:positionH relativeFrom="column">
                  <wp:posOffset>799808</wp:posOffset>
                </wp:positionH>
                <wp:positionV relativeFrom="paragraph">
                  <wp:posOffset>589280</wp:posOffset>
                </wp:positionV>
                <wp:extent cx="5177155" cy="6407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155" cy="640715"/>
                        </a:xfrm>
                        <a:prstGeom prst="rect">
                          <a:avLst/>
                        </a:prstGeom>
                        <a:noFill/>
                        <a:ln w="9525">
                          <a:noFill/>
                          <a:miter lim="800000"/>
                          <a:headEnd/>
                          <a:tailEnd/>
                        </a:ln>
                      </wps:spPr>
                      <wps:txbx>
                        <w:txbxContent>
                          <w:p w:rsidR="00072EB8" w:rsidRPr="00072EB8" w:rsidRDefault="00072EB8" w:rsidP="00854257">
                            <w:pPr>
                              <w:spacing w:before="0" w:line="240" w:lineRule="auto"/>
                              <w:jc w:val="center"/>
                              <w:rPr>
                                <w:color w:val="5F5F5F" w:themeColor="background2" w:themeShade="80"/>
                                <w:sz w:val="32"/>
                                <w:szCs w:val="32"/>
                                <w:lang w:val="pt-PT"/>
                              </w:rPr>
                            </w:pPr>
                            <w:r w:rsidRPr="00072EB8">
                              <w:rPr>
                                <w:color w:val="5F5F5F" w:themeColor="background2" w:themeShade="80"/>
                                <w:sz w:val="32"/>
                                <w:szCs w:val="32"/>
                                <w:lang w:val="pt-PT"/>
                              </w:rPr>
                              <w:t xml:space="preserve">Requisitos aplicáveis aos parceiros de </w:t>
                            </w:r>
                            <w:r>
                              <w:rPr>
                                <w:color w:val="5F5F5F" w:themeColor="background2" w:themeShade="80"/>
                                <w:sz w:val="32"/>
                                <w:szCs w:val="32"/>
                                <w:lang w:val="pt-PT"/>
                              </w:rPr>
                              <w:t xml:space="preserve">execução </w:t>
                            </w:r>
                          </w:p>
                          <w:p w:rsidR="00072EB8" w:rsidRPr="00854257" w:rsidRDefault="00072EB8" w:rsidP="00854257">
                            <w:pPr>
                              <w:spacing w:before="0" w:line="240" w:lineRule="auto"/>
                              <w:jc w:val="center"/>
                              <w:rPr>
                                <w:i/>
                                <w:color w:val="5F5F5F" w:themeColor="background2" w:themeShade="80"/>
                                <w:sz w:val="32"/>
                                <w:szCs w:val="32"/>
                                <w:lang w:val="en-GB"/>
                              </w:rPr>
                            </w:pPr>
                            <w:r>
                              <w:rPr>
                                <w:i/>
                                <w:color w:val="5F5F5F" w:themeColor="background2" w:themeShade="80"/>
                                <w:sz w:val="32"/>
                                <w:szCs w:val="32"/>
                                <w:lang w:val="en-GB"/>
                              </w:rPr>
                              <w:t>(</w:t>
                            </w:r>
                            <w:proofErr w:type="spellStart"/>
                            <w:r>
                              <w:rPr>
                                <w:i/>
                                <w:color w:val="5F5F5F" w:themeColor="background2" w:themeShade="80"/>
                                <w:sz w:val="32"/>
                                <w:szCs w:val="32"/>
                                <w:lang w:val="en-GB"/>
                              </w:rPr>
                              <w:t>Proje</w:t>
                            </w:r>
                            <w:r w:rsidRPr="00854257">
                              <w:rPr>
                                <w:i/>
                                <w:color w:val="5F5F5F" w:themeColor="background2" w:themeShade="80"/>
                                <w:sz w:val="32"/>
                                <w:szCs w:val="32"/>
                                <w:lang w:val="en-GB"/>
                              </w:rPr>
                              <w:t>t</w:t>
                            </w:r>
                            <w:r>
                              <w:rPr>
                                <w:i/>
                                <w:color w:val="5F5F5F" w:themeColor="background2" w:themeShade="80"/>
                                <w:sz w:val="32"/>
                                <w:szCs w:val="32"/>
                                <w:lang w:val="en-GB"/>
                              </w:rPr>
                              <w:t>o</w:t>
                            </w:r>
                            <w:r w:rsidRPr="00854257">
                              <w:rPr>
                                <w:i/>
                                <w:color w:val="5F5F5F" w:themeColor="background2" w:themeShade="80"/>
                                <w:sz w:val="32"/>
                                <w:szCs w:val="32"/>
                                <w:lang w:val="en-GB"/>
                              </w:rPr>
                              <w:t>s</w:t>
                            </w:r>
                            <w:proofErr w:type="spellEnd"/>
                            <w:r w:rsidRPr="00854257">
                              <w:rPr>
                                <w:i/>
                                <w:color w:val="5F5F5F" w:themeColor="background2" w:themeShade="80"/>
                                <w:sz w:val="32"/>
                                <w:szCs w:val="3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3pt;margin-top:46.4pt;width:407.65pt;height:5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" filled="f" stroked="f">
                <v:textbox>
                  <w:txbxContent>
                    <w:p w:rsidR="00072EB8" w:rsidRPr="00072EB8" w:rsidRDefault="00072EB8" w:rsidP="00854257">
                      <w:pPr>
                        <w:spacing w:before="0" w:line="240" w:lineRule="auto"/>
                        <w:jc w:val="center"/>
                        <w:rPr>
                          <w:color w:val="5F5F5F" w:themeColor="background2" w:themeShade="80"/>
                          <w:sz w:val="32"/>
                          <w:szCs w:val="32"/>
                          <w:lang w:val="pt-PT"/>
                        </w:rPr>
                      </w:pPr>
                      <w:r w:rsidRPr="00072EB8">
                        <w:rPr>
                          <w:color w:val="5F5F5F" w:themeColor="background2" w:themeShade="80"/>
                          <w:sz w:val="32"/>
                          <w:szCs w:val="32"/>
                          <w:lang w:val="pt-PT"/>
                        </w:rPr>
                        <w:t xml:space="preserve">Requisitos aplicáveis aos parceiros de </w:t>
                      </w:r>
                      <w:r>
                        <w:rPr>
                          <w:color w:val="5F5F5F" w:themeColor="background2" w:themeShade="80"/>
                          <w:sz w:val="32"/>
                          <w:szCs w:val="32"/>
                          <w:lang w:val="pt-PT"/>
                        </w:rPr>
                        <w:t xml:space="preserve">execução </w:t>
                      </w:r>
                    </w:p>
                    <w:p w:rsidR="00072EB8" w:rsidRPr="00854257" w:rsidRDefault="00072EB8" w:rsidP="00854257">
                      <w:pPr>
                        <w:spacing w:before="0" w:line="240" w:lineRule="auto"/>
                        <w:jc w:val="center"/>
                        <w:rPr>
                          <w:i/>
                          <w:color w:val="5F5F5F" w:themeColor="background2" w:themeShade="80"/>
                          <w:sz w:val="32"/>
                          <w:szCs w:val="32"/>
                          <w:lang w:val="en-GB"/>
                        </w:rPr>
                      </w:pPr>
                      <w:r>
                        <w:rPr>
                          <w:i/>
                          <w:color w:val="5F5F5F" w:themeColor="background2" w:themeShade="80"/>
                          <w:sz w:val="32"/>
                          <w:szCs w:val="32"/>
                          <w:lang w:val="en-GB"/>
                        </w:rPr>
                        <w:t>(Proje</w:t>
                      </w:r>
                      <w:r w:rsidRPr="00854257">
                        <w:rPr>
                          <w:i/>
                          <w:color w:val="5F5F5F" w:themeColor="background2" w:themeShade="80"/>
                          <w:sz w:val="32"/>
                          <w:szCs w:val="32"/>
                          <w:lang w:val="en-GB"/>
                        </w:rPr>
                        <w:t>t</w:t>
                      </w:r>
                      <w:r>
                        <w:rPr>
                          <w:i/>
                          <w:color w:val="5F5F5F" w:themeColor="background2" w:themeShade="80"/>
                          <w:sz w:val="32"/>
                          <w:szCs w:val="32"/>
                          <w:lang w:val="en-GB"/>
                        </w:rPr>
                        <w:t>o</w:t>
                      </w:r>
                      <w:r w:rsidRPr="00854257">
                        <w:rPr>
                          <w:i/>
                          <w:color w:val="5F5F5F" w:themeColor="background2" w:themeShade="80"/>
                          <w:sz w:val="32"/>
                          <w:szCs w:val="32"/>
                          <w:lang w:val="en-GB"/>
                        </w:rPr>
                        <w:t>s)</w:t>
                      </w:r>
                    </w:p>
                  </w:txbxContent>
                </v:textbox>
              </v:shape>
            </w:pict>
          </mc:Fallback>
        </mc:AlternateContent>
      </w:r>
    </w:p>
    <w:sdt>
      <w:sdtPr>
        <w:rPr>
          <w:rFonts w:ascii="Arial" w:eastAsia="Arial" w:hAnsi="Arial" w:cs="Arial"/>
          <w:b w:val="0"/>
          <w:bCs w:val="0"/>
          <w:color w:val="000000"/>
          <w:sz w:val="22"/>
          <w:szCs w:val="22"/>
          <w:lang w:val="en-GB" w:eastAsia="nl-NL"/>
        </w:rPr>
        <w:id w:val="2128351653"/>
        <w:docPartObj>
          <w:docPartGallery w:val="Table of Contents"/>
          <w:docPartUnique/>
        </w:docPartObj>
      </w:sdtPr>
      <w:sdtEndPr/>
      <w:sdtContent>
        <w:sdt>
          <w:sdtPr>
            <w:rPr>
              <w:rFonts w:ascii="Arial" w:eastAsia="Arial" w:hAnsi="Arial" w:cs="Arial"/>
              <w:b w:val="0"/>
              <w:bCs w:val="0"/>
              <w:noProof/>
              <w:color w:val="000000"/>
              <w:sz w:val="22"/>
              <w:szCs w:val="22"/>
              <w:lang w:val="en-GB" w:eastAsia="nl-NL"/>
            </w:rPr>
            <w:id w:val="1063367179"/>
            <w:docPartObj>
              <w:docPartGallery w:val="Table of Contents"/>
              <w:docPartUnique/>
            </w:docPartObj>
          </w:sdtPr>
          <w:sdtEndPr/>
          <w:sdtContent>
            <w:sdt>
              <w:sdtPr>
                <w:rPr>
                  <w:rFonts w:ascii="Arial" w:eastAsia="Arial" w:hAnsi="Arial" w:cs="Arial"/>
                  <w:b w:val="0"/>
                  <w:bCs w:val="0"/>
                  <w:noProof/>
                  <w:color w:val="000000"/>
                  <w:sz w:val="22"/>
                  <w:szCs w:val="22"/>
                  <w:lang w:val="en-GB" w:eastAsia="nl-NL"/>
                </w:rPr>
                <w:id w:val="37028494"/>
                <w:docPartObj>
                  <w:docPartGallery w:val="Table of Contents"/>
                  <w:docPartUnique/>
                </w:docPartObj>
              </w:sdtPr>
              <w:sdtEndPr/>
              <w:sdtContent>
                <w:p w:rsidR="002D43A0" w:rsidRPr="00F27481" w:rsidRDefault="002D43A0" w:rsidP="002D43A0">
                  <w:pPr>
                    <w:pStyle w:val="TOCHeading"/>
                    <w:rPr>
                      <w:sz w:val="24"/>
                    </w:rPr>
                  </w:pPr>
                  <w:proofErr w:type="spellStart"/>
                  <w:r>
                    <w:rPr>
                      <w:sz w:val="24"/>
                    </w:rPr>
                    <w:t>Índice</w:t>
                  </w:r>
                  <w:proofErr w:type="spellEnd"/>
                </w:p>
                <w:p w:rsidR="002D43A0" w:rsidRDefault="002D43A0" w:rsidP="002D43A0">
                  <w:pPr>
                    <w:pStyle w:val="TOC1"/>
                    <w:rPr>
                      <w:rFonts w:asciiTheme="minorHAnsi" w:eastAsiaTheme="minorEastAsia" w:hAnsiTheme="minorHAnsi" w:cstheme="minorBidi"/>
                      <w:b w:val="0"/>
                      <w:color w:val="auto"/>
                    </w:rPr>
                  </w:pPr>
                  <w:r>
                    <w:rPr>
                      <w:sz w:val="20"/>
                    </w:rPr>
                    <w:fldChar w:fldCharType="begin"/>
                  </w:r>
                  <w:r>
                    <w:rPr>
                      <w:noProof w:val="0"/>
                      <w:sz w:val="20"/>
                      <w:szCs w:val="20"/>
                    </w:rPr>
                    <w:instrText xml:space="preserve"> TOC \o "1-3" \h \z \u </w:instrText>
                  </w:r>
                  <w:r>
                    <w:rPr>
                      <w:sz w:val="20"/>
                    </w:rPr>
                    <w:fldChar w:fldCharType="separate"/>
                  </w:r>
                  <w:hyperlink w:anchor="_Toc500858989" w:history="1">
                    <w:r w:rsidRPr="000754DB">
                      <w:rPr>
                        <w:rStyle w:val="Hyperlink"/>
                      </w:rPr>
                      <w:t>1 Introdução</w:t>
                    </w:r>
                    <w:r>
                      <w:rPr>
                        <w:webHidden/>
                      </w:rPr>
                      <w:tab/>
                      <w:t>5</w:t>
                    </w:r>
                  </w:hyperlink>
                </w:p>
                <w:p w:rsidR="002D43A0" w:rsidRDefault="00C4766F" w:rsidP="002D43A0">
                  <w:pPr>
                    <w:pStyle w:val="TOC1"/>
                    <w:rPr>
                      <w:rFonts w:asciiTheme="minorHAnsi" w:eastAsiaTheme="minorEastAsia" w:hAnsiTheme="minorHAnsi" w:cstheme="minorBidi"/>
                      <w:b w:val="0"/>
                      <w:color w:val="auto"/>
                    </w:rPr>
                  </w:pPr>
                  <w:hyperlink w:anchor="_Toc500858990" w:history="1">
                    <w:r w:rsidR="002D43A0" w:rsidRPr="000754DB">
                      <w:rPr>
                        <w:rStyle w:val="Hyperlink"/>
                      </w:rPr>
                      <w:t>2 Planear a comunicação e visibilidade</w:t>
                    </w:r>
                    <w:r w:rsidR="002D43A0">
                      <w:rPr>
                        <w:webHidden/>
                      </w:rPr>
                      <w:tab/>
                    </w:r>
                    <w:r w:rsidR="002D43A0">
                      <w:rPr>
                        <w:webHidden/>
                      </w:rPr>
                      <w:fldChar w:fldCharType="begin"/>
                    </w:r>
                    <w:r w:rsidR="002D43A0">
                      <w:rPr>
                        <w:webHidden/>
                      </w:rPr>
                      <w:instrText xml:space="preserve"> PAGEREF _Toc500858990 \h </w:instrText>
                    </w:r>
                    <w:r w:rsidR="002D43A0">
                      <w:rPr>
                        <w:webHidden/>
                      </w:rPr>
                    </w:r>
                    <w:r w:rsidR="002D43A0">
                      <w:rPr>
                        <w:webHidden/>
                      </w:rPr>
                      <w:fldChar w:fldCharType="separate"/>
                    </w:r>
                    <w:r w:rsidR="002D43A0">
                      <w:rPr>
                        <w:webHidden/>
                      </w:rPr>
                      <w:t>7</w:t>
                    </w:r>
                    <w:r w:rsidR="002D43A0">
                      <w:rPr>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8991" w:history="1">
                    <w:r w:rsidR="002D43A0" w:rsidRPr="000754DB">
                      <w:rPr>
                        <w:rStyle w:val="Hyperlink"/>
                        <w:noProof/>
                      </w:rPr>
                      <w:t>2.1 Critérios de planeamento</w:t>
                    </w:r>
                    <w:r w:rsidR="002D43A0">
                      <w:rPr>
                        <w:noProof/>
                        <w:webHidden/>
                      </w:rPr>
                      <w:tab/>
                      <w:t>8</w:t>
                    </w:r>
                  </w:hyperlink>
                </w:p>
                <w:p w:rsidR="002D43A0" w:rsidRDefault="00C4766F" w:rsidP="002D43A0">
                  <w:pPr>
                    <w:pStyle w:val="TOC3"/>
                    <w:rPr>
                      <w:rFonts w:asciiTheme="minorHAnsi" w:eastAsiaTheme="minorEastAsia" w:hAnsiTheme="minorHAnsi" w:cstheme="minorBidi"/>
                      <w:noProof/>
                      <w:color w:val="auto"/>
                    </w:rPr>
                  </w:pPr>
                  <w:hyperlink w:anchor="_Toc500858992" w:history="1">
                    <w:r w:rsidR="002D43A0" w:rsidRPr="000754DB">
                      <w:rPr>
                        <w:rStyle w:val="Hyperlink"/>
                        <w:noProof/>
                      </w:rPr>
                      <w:t>2.1.1 Critérios de comunicação e visibilidade</w:t>
                    </w:r>
                    <w:r w:rsidR="002D43A0">
                      <w:rPr>
                        <w:noProof/>
                        <w:webHidden/>
                      </w:rPr>
                      <w:tab/>
                      <w:t>8</w:t>
                    </w:r>
                  </w:hyperlink>
                </w:p>
                <w:p w:rsidR="002D43A0" w:rsidRDefault="00C4766F" w:rsidP="002D43A0">
                  <w:pPr>
                    <w:pStyle w:val="TOC3"/>
                    <w:rPr>
                      <w:rFonts w:asciiTheme="minorHAnsi" w:eastAsiaTheme="minorEastAsia" w:hAnsiTheme="minorHAnsi" w:cstheme="minorBidi"/>
                      <w:noProof/>
                      <w:color w:val="auto"/>
                    </w:rPr>
                  </w:pPr>
                  <w:hyperlink w:anchor="_Toc500858993" w:history="1">
                    <w:r w:rsidR="002D43A0" w:rsidRPr="000754DB">
                      <w:rPr>
                        <w:rStyle w:val="Hyperlink"/>
                        <w:noProof/>
                      </w:rPr>
                      <w:t>2.1.2 Utilização de marcas</w:t>
                    </w:r>
                    <w:r w:rsidR="002D43A0">
                      <w:rPr>
                        <w:noProof/>
                        <w:webHidden/>
                      </w:rPr>
                      <w:tab/>
                      <w:t>9</w:t>
                    </w:r>
                  </w:hyperlink>
                </w:p>
                <w:p w:rsidR="002D43A0" w:rsidRDefault="00C4766F" w:rsidP="002D43A0">
                  <w:pPr>
                    <w:pStyle w:val="TOC3"/>
                    <w:rPr>
                      <w:rFonts w:asciiTheme="minorHAnsi" w:eastAsiaTheme="minorEastAsia" w:hAnsiTheme="minorHAnsi" w:cstheme="minorBidi"/>
                      <w:noProof/>
                      <w:color w:val="auto"/>
                    </w:rPr>
                  </w:pPr>
                  <w:hyperlink w:anchor="_Toc500858994" w:history="1">
                    <w:r w:rsidR="002D43A0" w:rsidRPr="000754DB">
                      <w:rPr>
                        <w:rStyle w:val="Hyperlink"/>
                        <w:noProof/>
                      </w:rPr>
                      <w:t>2.1.3 Situações excecionais</w:t>
                    </w:r>
                    <w:r w:rsidR="002D43A0">
                      <w:rPr>
                        <w:noProof/>
                        <w:webHidden/>
                      </w:rPr>
                      <w:tab/>
                      <w:t>10</w:t>
                    </w:r>
                  </w:hyperlink>
                </w:p>
                <w:p w:rsidR="002D43A0" w:rsidRDefault="00C4766F" w:rsidP="002D43A0">
                  <w:pPr>
                    <w:pStyle w:val="TOC2"/>
                    <w:rPr>
                      <w:rFonts w:asciiTheme="minorHAnsi" w:eastAsiaTheme="minorEastAsia" w:hAnsiTheme="minorHAnsi" w:cstheme="minorBidi"/>
                      <w:noProof/>
                      <w:color w:val="auto"/>
                    </w:rPr>
                  </w:pPr>
                  <w:hyperlink w:anchor="_Toc500858995" w:history="1">
                    <w:r w:rsidR="002D43A0" w:rsidRPr="000754DB">
                      <w:rPr>
                        <w:rStyle w:val="Hyperlink"/>
                        <w:noProof/>
                      </w:rPr>
                      <w:t>2.2 Público-alvo</w:t>
                    </w:r>
                    <w:r w:rsidR="002D43A0">
                      <w:rPr>
                        <w:noProof/>
                        <w:webHidden/>
                      </w:rPr>
                      <w:tab/>
                      <w:t>10</w:t>
                    </w:r>
                  </w:hyperlink>
                </w:p>
                <w:p w:rsidR="002D43A0" w:rsidRDefault="00C4766F" w:rsidP="002D43A0">
                  <w:pPr>
                    <w:pStyle w:val="TOC3"/>
                    <w:rPr>
                      <w:rFonts w:asciiTheme="minorHAnsi" w:eastAsiaTheme="minorEastAsia" w:hAnsiTheme="minorHAnsi" w:cstheme="minorBidi"/>
                      <w:noProof/>
                      <w:color w:val="auto"/>
                    </w:rPr>
                  </w:pPr>
                  <w:hyperlink w:anchor="_Toc500858996" w:history="1">
                    <w:r w:rsidR="002D43A0" w:rsidRPr="000754DB">
                      <w:rPr>
                        <w:rStyle w:val="Hyperlink"/>
                        <w:noProof/>
                      </w:rPr>
                      <w:t>2.3 Plano de comunicação e visibilidade</w:t>
                    </w:r>
                    <w:r w:rsidR="002D43A0">
                      <w:rPr>
                        <w:noProof/>
                        <w:webHidden/>
                      </w:rPr>
                      <w:tab/>
                    </w:r>
                    <w:r w:rsidR="002D43A0">
                      <w:rPr>
                        <w:noProof/>
                        <w:webHidden/>
                      </w:rPr>
                      <w:fldChar w:fldCharType="begin"/>
                    </w:r>
                    <w:r w:rsidR="002D43A0">
                      <w:rPr>
                        <w:noProof/>
                        <w:webHidden/>
                      </w:rPr>
                      <w:instrText xml:space="preserve"> PAGEREF _Toc500858996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1</w:t>
                  </w:r>
                </w:p>
                <w:p w:rsidR="002D43A0" w:rsidRDefault="00C4766F" w:rsidP="002D43A0">
                  <w:pPr>
                    <w:pStyle w:val="TOC2"/>
                    <w:rPr>
                      <w:rFonts w:asciiTheme="minorHAnsi" w:eastAsiaTheme="minorEastAsia" w:hAnsiTheme="minorHAnsi" w:cstheme="minorBidi"/>
                      <w:noProof/>
                      <w:color w:val="auto"/>
                    </w:rPr>
                  </w:pPr>
                  <w:hyperlink w:anchor="_Toc500858997" w:history="1">
                    <w:r w:rsidR="002D43A0" w:rsidRPr="000754DB">
                      <w:rPr>
                        <w:rStyle w:val="Hyperlink"/>
                        <w:noProof/>
                      </w:rPr>
                      <w:t>2.4 Agregação dos recursos de comunicação e visibilidade</w:t>
                    </w:r>
                    <w:r w:rsidR="002D43A0">
                      <w:rPr>
                        <w:noProof/>
                        <w:webHidden/>
                      </w:rPr>
                      <w:tab/>
                    </w:r>
                    <w:r w:rsidR="002D43A0">
                      <w:rPr>
                        <w:noProof/>
                        <w:webHidden/>
                      </w:rPr>
                      <w:fldChar w:fldCharType="begin"/>
                    </w:r>
                    <w:r w:rsidR="002D43A0">
                      <w:rPr>
                        <w:noProof/>
                        <w:webHidden/>
                      </w:rPr>
                      <w:instrText xml:space="preserve"> PAGEREF _Toc500858997 \h </w:instrText>
                    </w:r>
                    <w:r w:rsidR="002D43A0">
                      <w:rPr>
                        <w:noProof/>
                        <w:webHidden/>
                      </w:rPr>
                    </w:r>
                    <w:r w:rsidR="002D43A0">
                      <w:rPr>
                        <w:noProof/>
                        <w:webHidden/>
                      </w:rPr>
                      <w:fldChar w:fldCharType="separate"/>
                    </w:r>
                    <w:r w:rsidR="002D43A0">
                      <w:rPr>
                        <w:noProof/>
                        <w:webHidden/>
                      </w:rPr>
                      <w:t>11</w:t>
                    </w:r>
                    <w:r w:rsidR="002D43A0">
                      <w:rPr>
                        <w:noProof/>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8998" w:history="1">
                    <w:r w:rsidR="002D43A0" w:rsidRPr="000754DB">
                      <w:rPr>
                        <w:rStyle w:val="Hyperlink"/>
                        <w:noProof/>
                      </w:rPr>
                      <w:t>2.5 Visibilidade da UE após conclusão da fase financiada pela UE</w:t>
                    </w:r>
                    <w:r w:rsidR="002D43A0">
                      <w:rPr>
                        <w:noProof/>
                        <w:webHidden/>
                      </w:rPr>
                      <w:tab/>
                    </w:r>
                    <w:r w:rsidR="002D43A0">
                      <w:rPr>
                        <w:noProof/>
                        <w:webHidden/>
                      </w:rPr>
                      <w:fldChar w:fldCharType="begin"/>
                    </w:r>
                    <w:r w:rsidR="002D43A0">
                      <w:rPr>
                        <w:noProof/>
                        <w:webHidden/>
                      </w:rPr>
                      <w:instrText xml:space="preserve"> PAGEREF _Toc500858998 \h </w:instrText>
                    </w:r>
                    <w:r w:rsidR="002D43A0">
                      <w:rPr>
                        <w:noProof/>
                        <w:webHidden/>
                      </w:rPr>
                    </w:r>
                    <w:r w:rsidR="002D43A0">
                      <w:rPr>
                        <w:noProof/>
                        <w:webHidden/>
                      </w:rPr>
                      <w:fldChar w:fldCharType="separate"/>
                    </w:r>
                    <w:r w:rsidR="002D43A0">
                      <w:rPr>
                        <w:noProof/>
                        <w:webHidden/>
                      </w:rPr>
                      <w:t>12</w:t>
                    </w:r>
                    <w:r w:rsidR="002D43A0">
                      <w:rPr>
                        <w:noProof/>
                        <w:webHidden/>
                      </w:rPr>
                      <w:fldChar w:fldCharType="end"/>
                    </w:r>
                  </w:hyperlink>
                </w:p>
                <w:p w:rsidR="002D43A0" w:rsidRDefault="00C4766F" w:rsidP="002D43A0">
                  <w:pPr>
                    <w:pStyle w:val="TOC1"/>
                    <w:rPr>
                      <w:rFonts w:asciiTheme="minorHAnsi" w:eastAsiaTheme="minorEastAsia" w:hAnsiTheme="minorHAnsi" w:cstheme="minorBidi"/>
                      <w:b w:val="0"/>
                      <w:color w:val="auto"/>
                    </w:rPr>
                  </w:pPr>
                  <w:hyperlink w:anchor="_Toc500858999" w:history="1">
                    <w:r w:rsidR="002D43A0" w:rsidRPr="000754DB">
                      <w:rPr>
                        <w:rStyle w:val="Hyperlink"/>
                      </w:rPr>
                      <w:t>3 Executar ações de comunicação e visibilidade</w:t>
                    </w:r>
                    <w:r w:rsidR="002D43A0">
                      <w:rPr>
                        <w:webHidden/>
                      </w:rPr>
                      <w:tab/>
                    </w:r>
                    <w:r w:rsidR="002D43A0">
                      <w:rPr>
                        <w:webHidden/>
                      </w:rPr>
                      <w:fldChar w:fldCharType="begin"/>
                    </w:r>
                    <w:r w:rsidR="002D43A0">
                      <w:rPr>
                        <w:webHidden/>
                      </w:rPr>
                      <w:instrText xml:space="preserve"> PAGEREF _Toc500858999 \h </w:instrText>
                    </w:r>
                    <w:r w:rsidR="002D43A0">
                      <w:rPr>
                        <w:webHidden/>
                      </w:rPr>
                    </w:r>
                    <w:r w:rsidR="002D43A0">
                      <w:rPr>
                        <w:webHidden/>
                      </w:rPr>
                      <w:fldChar w:fldCharType="separate"/>
                    </w:r>
                    <w:r w:rsidR="002D43A0">
                      <w:rPr>
                        <w:webHidden/>
                      </w:rPr>
                      <w:t>13</w:t>
                    </w:r>
                    <w:r w:rsidR="002D43A0">
                      <w:rPr>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00" w:history="1">
                    <w:r w:rsidR="002D43A0" w:rsidRPr="000754DB">
                      <w:rPr>
                        <w:rStyle w:val="Hyperlink"/>
                        <w:noProof/>
                      </w:rPr>
                      <w:t>3.1 Comunicação e visibilidade em linha</w:t>
                    </w:r>
                    <w:r w:rsidR="002D43A0">
                      <w:rPr>
                        <w:noProof/>
                        <w:webHidden/>
                      </w:rPr>
                      <w:tab/>
                      <w:t>14</w:t>
                    </w:r>
                  </w:hyperlink>
                </w:p>
                <w:p w:rsidR="002D43A0" w:rsidRDefault="00C4766F" w:rsidP="002D43A0">
                  <w:pPr>
                    <w:pStyle w:val="TOC3"/>
                    <w:rPr>
                      <w:rFonts w:asciiTheme="minorHAnsi" w:eastAsiaTheme="minorEastAsia" w:hAnsiTheme="minorHAnsi" w:cstheme="minorBidi"/>
                      <w:noProof/>
                      <w:color w:val="auto"/>
                    </w:rPr>
                  </w:pPr>
                  <w:hyperlink w:anchor="_Toc500859001" w:history="1">
                    <w:r w:rsidR="002D43A0" w:rsidRPr="000754DB">
                      <w:rPr>
                        <w:rStyle w:val="Hyperlink"/>
                        <w:noProof/>
                      </w:rPr>
                      <w:t>3.1.1 Sítios web</w:t>
                    </w:r>
                    <w:r w:rsidR="002D43A0">
                      <w:rPr>
                        <w:noProof/>
                        <w:webHidden/>
                      </w:rPr>
                      <w:tab/>
                    </w:r>
                    <w:r w:rsidR="002D43A0">
                      <w:rPr>
                        <w:noProof/>
                        <w:webHidden/>
                      </w:rPr>
                      <w:fldChar w:fldCharType="begin"/>
                    </w:r>
                    <w:r w:rsidR="002D43A0">
                      <w:rPr>
                        <w:noProof/>
                        <w:webHidden/>
                      </w:rPr>
                      <w:instrText xml:space="preserve"> PAGEREF _Toc500859001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4</w:t>
                  </w:r>
                </w:p>
                <w:p w:rsidR="002D43A0" w:rsidRDefault="00C4766F" w:rsidP="002D43A0">
                  <w:pPr>
                    <w:pStyle w:val="TOC3"/>
                    <w:rPr>
                      <w:rFonts w:asciiTheme="minorHAnsi" w:eastAsiaTheme="minorEastAsia" w:hAnsiTheme="minorHAnsi" w:cstheme="minorBidi"/>
                      <w:noProof/>
                      <w:color w:val="auto"/>
                    </w:rPr>
                  </w:pPr>
                  <w:hyperlink w:anchor="_Toc500859002" w:history="1">
                    <w:r w:rsidR="002D43A0" w:rsidRPr="000754DB">
                      <w:rPr>
                        <w:rStyle w:val="Hyperlink"/>
                        <w:noProof/>
                      </w:rPr>
                      <w:t>3.1.2 Redes sociais</w:t>
                    </w:r>
                    <w:r w:rsidR="002D43A0">
                      <w:rPr>
                        <w:noProof/>
                        <w:webHidden/>
                      </w:rPr>
                      <w:tab/>
                    </w:r>
                    <w:r w:rsidR="002D43A0">
                      <w:rPr>
                        <w:noProof/>
                        <w:webHidden/>
                      </w:rPr>
                      <w:fldChar w:fldCharType="begin"/>
                    </w:r>
                    <w:r w:rsidR="002D43A0">
                      <w:rPr>
                        <w:noProof/>
                        <w:webHidden/>
                      </w:rPr>
                      <w:instrText xml:space="preserve"> PAGEREF _Toc500859002 \h </w:instrText>
                    </w:r>
                    <w:r w:rsidR="002D43A0">
                      <w:rPr>
                        <w:noProof/>
                        <w:webHidden/>
                      </w:rPr>
                    </w:r>
                    <w:r w:rsidR="002D43A0">
                      <w:rPr>
                        <w:noProof/>
                        <w:webHidden/>
                      </w:rPr>
                      <w:fldChar w:fldCharType="separate"/>
                    </w:r>
                    <w:r w:rsidR="002D43A0">
                      <w:rPr>
                        <w:noProof/>
                        <w:webHidden/>
                      </w:rPr>
                      <w:t>15</w:t>
                    </w:r>
                    <w:r w:rsidR="002D43A0">
                      <w:rPr>
                        <w:noProof/>
                        <w:webHidden/>
                      </w:rPr>
                      <w:fldChar w:fldCharType="end"/>
                    </w:r>
                  </w:hyperlink>
                </w:p>
                <w:p w:rsidR="002D43A0" w:rsidRDefault="00C4766F" w:rsidP="002D43A0">
                  <w:pPr>
                    <w:pStyle w:val="TOC3"/>
                    <w:rPr>
                      <w:rFonts w:asciiTheme="minorHAnsi" w:eastAsiaTheme="minorEastAsia" w:hAnsiTheme="minorHAnsi" w:cstheme="minorBidi"/>
                      <w:noProof/>
                      <w:color w:val="auto"/>
                    </w:rPr>
                  </w:pPr>
                  <w:hyperlink w:anchor="_Toc500859003" w:history="1">
                    <w:r w:rsidR="002D43A0" w:rsidRPr="000754DB">
                      <w:rPr>
                        <w:rStyle w:val="Hyperlink"/>
                        <w:noProof/>
                      </w:rPr>
                      <w:t>3.1.3 Boletins informativos eletrónicos, artigos em linha e blogues</w:t>
                    </w:r>
                    <w:r w:rsidR="002D43A0">
                      <w:rPr>
                        <w:noProof/>
                        <w:webHidden/>
                      </w:rPr>
                      <w:tab/>
                    </w:r>
                    <w:r w:rsidR="002D43A0">
                      <w:rPr>
                        <w:noProof/>
                        <w:webHidden/>
                      </w:rPr>
                      <w:fldChar w:fldCharType="begin"/>
                    </w:r>
                    <w:r w:rsidR="002D43A0">
                      <w:rPr>
                        <w:noProof/>
                        <w:webHidden/>
                      </w:rPr>
                      <w:instrText xml:space="preserve"> PAGEREF _Toc500859003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6</w:t>
                  </w:r>
                </w:p>
                <w:p w:rsidR="002D43A0" w:rsidRDefault="00C4766F" w:rsidP="002D43A0">
                  <w:pPr>
                    <w:pStyle w:val="TOC2"/>
                    <w:rPr>
                      <w:rFonts w:asciiTheme="minorHAnsi" w:eastAsiaTheme="minorEastAsia" w:hAnsiTheme="minorHAnsi" w:cstheme="minorBidi"/>
                      <w:noProof/>
                      <w:color w:val="auto"/>
                    </w:rPr>
                  </w:pPr>
                  <w:hyperlink w:anchor="_Toc500859004" w:history="1">
                    <w:r w:rsidR="002D43A0" w:rsidRPr="000754DB">
                      <w:rPr>
                        <w:rStyle w:val="Hyperlink"/>
                        <w:noProof/>
                      </w:rPr>
                      <w:t>3.2 Campanhas de informação, eventos, visitas e reuniões com partes interessadas</w:t>
                    </w:r>
                    <w:r w:rsidR="002D43A0">
                      <w:rPr>
                        <w:noProof/>
                        <w:webHidden/>
                      </w:rPr>
                      <w:tab/>
                    </w:r>
                    <w:r w:rsidR="002D43A0">
                      <w:rPr>
                        <w:noProof/>
                        <w:webHidden/>
                      </w:rPr>
                      <w:fldChar w:fldCharType="begin"/>
                    </w:r>
                    <w:r w:rsidR="002D43A0">
                      <w:rPr>
                        <w:noProof/>
                        <w:webHidden/>
                      </w:rPr>
                      <w:instrText xml:space="preserve"> PAGEREF _Toc500859004 \h </w:instrText>
                    </w:r>
                    <w:r w:rsidR="002D43A0">
                      <w:rPr>
                        <w:noProof/>
                        <w:webHidden/>
                      </w:rPr>
                    </w:r>
                    <w:r w:rsidR="002D43A0">
                      <w:rPr>
                        <w:noProof/>
                        <w:webHidden/>
                      </w:rPr>
                      <w:fldChar w:fldCharType="separate"/>
                    </w:r>
                    <w:r w:rsidR="002D43A0">
                      <w:rPr>
                        <w:noProof/>
                        <w:webHidden/>
                      </w:rPr>
                      <w:t>16</w:t>
                    </w:r>
                    <w:r w:rsidR="002D43A0">
                      <w:rPr>
                        <w:noProof/>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05" w:history="1">
                    <w:r w:rsidR="002D43A0" w:rsidRPr="000754DB">
                      <w:rPr>
                        <w:rStyle w:val="Hyperlink"/>
                        <w:noProof/>
                      </w:rPr>
                      <w:t>3.3 Imprensa e meios de comunicação social</w:t>
                    </w:r>
                    <w:r w:rsidR="002D43A0">
                      <w:rPr>
                        <w:noProof/>
                        <w:webHidden/>
                      </w:rPr>
                      <w:tab/>
                    </w:r>
                    <w:r w:rsidR="002D43A0">
                      <w:rPr>
                        <w:noProof/>
                        <w:webHidden/>
                      </w:rPr>
                      <w:fldChar w:fldCharType="begin"/>
                    </w:r>
                    <w:r w:rsidR="002D43A0">
                      <w:rPr>
                        <w:noProof/>
                        <w:webHidden/>
                      </w:rPr>
                      <w:instrText xml:space="preserve"> PAGEREF _Toc500859005 \h </w:instrText>
                    </w:r>
                    <w:r w:rsidR="002D43A0">
                      <w:rPr>
                        <w:noProof/>
                        <w:webHidden/>
                      </w:rPr>
                    </w:r>
                    <w:r w:rsidR="002D43A0">
                      <w:rPr>
                        <w:noProof/>
                        <w:webHidden/>
                      </w:rPr>
                      <w:fldChar w:fldCharType="separate"/>
                    </w:r>
                    <w:r w:rsidR="002D43A0">
                      <w:rPr>
                        <w:noProof/>
                        <w:webHidden/>
                      </w:rPr>
                      <w:t>17</w:t>
                    </w:r>
                    <w:r w:rsidR="002D43A0">
                      <w:rPr>
                        <w:noProof/>
                        <w:webHidden/>
                      </w:rPr>
                      <w:fldChar w:fldCharType="end"/>
                    </w:r>
                  </w:hyperlink>
                </w:p>
                <w:p w:rsidR="002D43A0" w:rsidRDefault="00C4766F" w:rsidP="002D43A0">
                  <w:pPr>
                    <w:pStyle w:val="TOC3"/>
                    <w:rPr>
                      <w:rFonts w:asciiTheme="minorHAnsi" w:eastAsiaTheme="minorEastAsia" w:hAnsiTheme="minorHAnsi" w:cstheme="minorBidi"/>
                      <w:noProof/>
                      <w:color w:val="auto"/>
                    </w:rPr>
                  </w:pPr>
                  <w:hyperlink w:anchor="_Toc500859006" w:history="1">
                    <w:r w:rsidR="002D43A0" w:rsidRPr="000754DB">
                      <w:rPr>
                        <w:rStyle w:val="Hyperlink"/>
                        <w:noProof/>
                      </w:rPr>
                      <w:t>3.3.1 Comunicados de imprensa</w:t>
                    </w:r>
                    <w:r w:rsidR="002D43A0">
                      <w:rPr>
                        <w:noProof/>
                        <w:webHidden/>
                      </w:rPr>
                      <w:tab/>
                    </w:r>
                    <w:r w:rsidR="002D43A0">
                      <w:rPr>
                        <w:noProof/>
                        <w:webHidden/>
                      </w:rPr>
                      <w:fldChar w:fldCharType="begin"/>
                    </w:r>
                    <w:r w:rsidR="002D43A0">
                      <w:rPr>
                        <w:noProof/>
                        <w:webHidden/>
                      </w:rPr>
                      <w:instrText xml:space="preserve"> PAGEREF _Toc500859006 \h </w:instrText>
                    </w:r>
                    <w:r w:rsidR="002D43A0">
                      <w:rPr>
                        <w:noProof/>
                        <w:webHidden/>
                      </w:rPr>
                    </w:r>
                    <w:r w:rsidR="002D43A0">
                      <w:rPr>
                        <w:noProof/>
                        <w:webHidden/>
                      </w:rPr>
                      <w:fldChar w:fldCharType="separate"/>
                    </w:r>
                    <w:r w:rsidR="002D43A0">
                      <w:rPr>
                        <w:noProof/>
                        <w:webHidden/>
                      </w:rPr>
                      <w:t>17</w:t>
                    </w:r>
                    <w:r w:rsidR="002D43A0">
                      <w:rPr>
                        <w:noProof/>
                        <w:webHidden/>
                      </w:rPr>
                      <w:fldChar w:fldCharType="end"/>
                    </w:r>
                  </w:hyperlink>
                </w:p>
                <w:p w:rsidR="002D43A0" w:rsidRDefault="00C4766F" w:rsidP="002D43A0">
                  <w:pPr>
                    <w:pStyle w:val="TOC3"/>
                    <w:rPr>
                      <w:rFonts w:asciiTheme="minorHAnsi" w:eastAsiaTheme="minorEastAsia" w:hAnsiTheme="minorHAnsi" w:cstheme="minorBidi"/>
                      <w:noProof/>
                      <w:color w:val="auto"/>
                    </w:rPr>
                  </w:pPr>
                  <w:hyperlink w:anchor="_Toc500859007" w:history="1">
                    <w:r w:rsidR="002D43A0" w:rsidRPr="000754DB">
                      <w:rPr>
                        <w:rStyle w:val="Hyperlink"/>
                        <w:noProof/>
                      </w:rPr>
                      <w:t>3.3.2 Conferências de imprensa</w:t>
                    </w:r>
                    <w:r w:rsidR="002D43A0">
                      <w:rPr>
                        <w:noProof/>
                        <w:webHidden/>
                      </w:rPr>
                      <w:tab/>
                    </w:r>
                    <w:r w:rsidR="002D43A0">
                      <w:rPr>
                        <w:noProof/>
                        <w:webHidden/>
                      </w:rPr>
                      <w:fldChar w:fldCharType="begin"/>
                    </w:r>
                    <w:r w:rsidR="002D43A0">
                      <w:rPr>
                        <w:noProof/>
                        <w:webHidden/>
                      </w:rPr>
                      <w:instrText xml:space="preserve"> PAGEREF _Toc500859007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7</w:t>
                  </w:r>
                </w:p>
                <w:p w:rsidR="002D43A0" w:rsidRDefault="00C4766F" w:rsidP="002D43A0">
                  <w:pPr>
                    <w:pStyle w:val="TOC3"/>
                    <w:rPr>
                      <w:rFonts w:asciiTheme="minorHAnsi" w:eastAsiaTheme="minorEastAsia" w:hAnsiTheme="minorHAnsi" w:cstheme="minorBidi"/>
                      <w:noProof/>
                      <w:color w:val="auto"/>
                    </w:rPr>
                  </w:pPr>
                  <w:hyperlink w:anchor="_Toc500859008" w:history="1">
                    <w:r w:rsidR="002D43A0" w:rsidRPr="000754DB">
                      <w:rPr>
                        <w:rStyle w:val="Hyperlink"/>
                        <w:noProof/>
                      </w:rPr>
                      <w:t>3.3.3 Visitas da imprensa</w:t>
                    </w:r>
                    <w:r w:rsidR="002D43A0">
                      <w:rPr>
                        <w:noProof/>
                        <w:webHidden/>
                      </w:rPr>
                      <w:tab/>
                    </w:r>
                    <w:r w:rsidR="002D43A0">
                      <w:rPr>
                        <w:noProof/>
                        <w:webHidden/>
                      </w:rPr>
                      <w:fldChar w:fldCharType="begin"/>
                    </w:r>
                    <w:r w:rsidR="002D43A0">
                      <w:rPr>
                        <w:noProof/>
                        <w:webHidden/>
                      </w:rPr>
                      <w:instrText xml:space="preserve"> PAGEREF _Toc500859008 \h </w:instrText>
                    </w:r>
                    <w:r w:rsidR="002D43A0">
                      <w:rPr>
                        <w:noProof/>
                        <w:webHidden/>
                      </w:rPr>
                    </w:r>
                    <w:r w:rsidR="002D43A0">
                      <w:rPr>
                        <w:noProof/>
                        <w:webHidden/>
                      </w:rPr>
                      <w:fldChar w:fldCharType="separate"/>
                    </w:r>
                    <w:r w:rsidR="002D43A0">
                      <w:rPr>
                        <w:noProof/>
                        <w:webHidden/>
                      </w:rPr>
                      <w:t>17</w:t>
                    </w:r>
                    <w:r w:rsidR="002D43A0">
                      <w:rPr>
                        <w:noProof/>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09" w:history="1">
                    <w:r w:rsidR="002D43A0" w:rsidRPr="000754DB">
                      <w:rPr>
                        <w:rStyle w:val="Hyperlink"/>
                        <w:noProof/>
                      </w:rPr>
                      <w:t>3.4 Material audiovisual, fotografia e outras produções</w:t>
                    </w:r>
                    <w:r w:rsidR="002D43A0">
                      <w:rPr>
                        <w:noProof/>
                        <w:webHidden/>
                      </w:rPr>
                      <w:tab/>
                    </w:r>
                    <w:r w:rsidR="002D43A0">
                      <w:rPr>
                        <w:noProof/>
                        <w:webHidden/>
                      </w:rPr>
                      <w:fldChar w:fldCharType="begin"/>
                    </w:r>
                    <w:r w:rsidR="002D43A0">
                      <w:rPr>
                        <w:noProof/>
                        <w:webHidden/>
                      </w:rPr>
                      <w:instrText xml:space="preserve"> PAGEREF _Toc500859009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8</w:t>
                  </w:r>
                </w:p>
                <w:p w:rsidR="002D43A0" w:rsidRDefault="00C4766F" w:rsidP="002D43A0">
                  <w:pPr>
                    <w:pStyle w:val="TOC3"/>
                    <w:rPr>
                      <w:rFonts w:asciiTheme="minorHAnsi" w:eastAsiaTheme="minorEastAsia" w:hAnsiTheme="minorHAnsi" w:cstheme="minorBidi"/>
                      <w:noProof/>
                      <w:color w:val="auto"/>
                    </w:rPr>
                  </w:pPr>
                  <w:hyperlink w:anchor="_Toc500859010" w:history="1">
                    <w:r w:rsidR="002D43A0" w:rsidRPr="000754DB">
                      <w:rPr>
                        <w:rStyle w:val="Hyperlink"/>
                        <w:noProof/>
                      </w:rPr>
                      <w:t>3.4.1 Vídeo</w:t>
                    </w:r>
                    <w:r w:rsidR="002D43A0">
                      <w:rPr>
                        <w:noProof/>
                        <w:webHidden/>
                      </w:rPr>
                      <w:tab/>
                    </w:r>
                    <w:r w:rsidR="002D43A0">
                      <w:rPr>
                        <w:noProof/>
                        <w:webHidden/>
                      </w:rPr>
                      <w:fldChar w:fldCharType="begin"/>
                    </w:r>
                    <w:r w:rsidR="002D43A0">
                      <w:rPr>
                        <w:noProof/>
                        <w:webHidden/>
                      </w:rPr>
                      <w:instrText xml:space="preserve"> PAGEREF _Toc500859010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8</w:t>
                  </w:r>
                </w:p>
                <w:p w:rsidR="002D43A0" w:rsidRDefault="00C4766F" w:rsidP="002D43A0">
                  <w:pPr>
                    <w:pStyle w:val="TOC3"/>
                    <w:rPr>
                      <w:rFonts w:asciiTheme="minorHAnsi" w:eastAsiaTheme="minorEastAsia" w:hAnsiTheme="minorHAnsi" w:cstheme="minorBidi"/>
                      <w:noProof/>
                      <w:color w:val="auto"/>
                    </w:rPr>
                  </w:pPr>
                  <w:hyperlink w:anchor="_Toc500859011" w:history="1">
                    <w:r w:rsidR="002D43A0" w:rsidRPr="000754DB">
                      <w:rPr>
                        <w:rStyle w:val="Hyperlink"/>
                        <w:noProof/>
                      </w:rPr>
                      <w:t>3.4.2 Áudio</w:t>
                    </w:r>
                    <w:r w:rsidR="002D43A0">
                      <w:rPr>
                        <w:noProof/>
                        <w:webHidden/>
                      </w:rPr>
                      <w:tab/>
                    </w:r>
                    <w:r w:rsidR="002D43A0">
                      <w:rPr>
                        <w:noProof/>
                        <w:webHidden/>
                      </w:rPr>
                      <w:fldChar w:fldCharType="begin"/>
                    </w:r>
                    <w:r w:rsidR="002D43A0">
                      <w:rPr>
                        <w:noProof/>
                        <w:webHidden/>
                      </w:rPr>
                      <w:instrText xml:space="preserve"> PAGEREF _Toc500859011 \h </w:instrText>
                    </w:r>
                    <w:r w:rsidR="002D43A0">
                      <w:rPr>
                        <w:noProof/>
                        <w:webHidden/>
                      </w:rPr>
                    </w:r>
                    <w:r w:rsidR="002D43A0">
                      <w:rPr>
                        <w:noProof/>
                        <w:webHidden/>
                      </w:rPr>
                      <w:fldChar w:fldCharType="separate"/>
                    </w:r>
                    <w:r w:rsidR="002D43A0">
                      <w:rPr>
                        <w:noProof/>
                        <w:webHidden/>
                      </w:rPr>
                      <w:t>19</w:t>
                    </w:r>
                    <w:r w:rsidR="002D43A0">
                      <w:rPr>
                        <w:noProof/>
                        <w:webHidden/>
                      </w:rPr>
                      <w:fldChar w:fldCharType="end"/>
                    </w:r>
                  </w:hyperlink>
                </w:p>
                <w:p w:rsidR="002D43A0" w:rsidRDefault="00C4766F" w:rsidP="002D43A0">
                  <w:pPr>
                    <w:pStyle w:val="TOC3"/>
                    <w:rPr>
                      <w:rFonts w:asciiTheme="minorHAnsi" w:eastAsiaTheme="minorEastAsia" w:hAnsiTheme="minorHAnsi" w:cstheme="minorBidi"/>
                      <w:noProof/>
                      <w:color w:val="auto"/>
                    </w:rPr>
                  </w:pPr>
                  <w:hyperlink w:anchor="_Toc500859012" w:history="1">
                    <w:r w:rsidR="002D43A0" w:rsidRPr="000754DB">
                      <w:rPr>
                        <w:rStyle w:val="Hyperlink"/>
                        <w:noProof/>
                      </w:rPr>
                      <w:t>3.4.3 Fotografia</w:t>
                    </w:r>
                    <w:r w:rsidR="002D43A0">
                      <w:rPr>
                        <w:noProof/>
                        <w:webHidden/>
                      </w:rPr>
                      <w:tab/>
                    </w:r>
                    <w:r w:rsidR="002D43A0">
                      <w:rPr>
                        <w:noProof/>
                        <w:webHidden/>
                      </w:rPr>
                      <w:fldChar w:fldCharType="begin"/>
                    </w:r>
                    <w:r w:rsidR="002D43A0">
                      <w:rPr>
                        <w:noProof/>
                        <w:webHidden/>
                      </w:rPr>
                      <w:instrText xml:space="preserve"> PAGEREF _Toc500859012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9</w:t>
                  </w:r>
                </w:p>
                <w:p w:rsidR="002D43A0" w:rsidRDefault="00C4766F" w:rsidP="002D43A0">
                  <w:pPr>
                    <w:pStyle w:val="TOC3"/>
                    <w:rPr>
                      <w:rFonts w:asciiTheme="minorHAnsi" w:eastAsiaTheme="minorEastAsia" w:hAnsiTheme="minorHAnsi" w:cstheme="minorBidi"/>
                      <w:noProof/>
                      <w:color w:val="auto"/>
                    </w:rPr>
                  </w:pPr>
                  <w:hyperlink w:anchor="_Toc500859013" w:history="1">
                    <w:r w:rsidR="002D43A0" w:rsidRPr="000754DB">
                      <w:rPr>
                        <w:rStyle w:val="Hyperlink"/>
                        <w:noProof/>
                      </w:rPr>
                      <w:t>3.4.4 Outros tipos de produção</w:t>
                    </w:r>
                    <w:r w:rsidR="002D43A0">
                      <w:rPr>
                        <w:noProof/>
                        <w:webHidden/>
                      </w:rPr>
                      <w:tab/>
                    </w:r>
                    <w:r w:rsidR="002D43A0">
                      <w:rPr>
                        <w:noProof/>
                        <w:webHidden/>
                      </w:rPr>
                      <w:fldChar w:fldCharType="begin"/>
                    </w:r>
                    <w:r w:rsidR="002D43A0">
                      <w:rPr>
                        <w:noProof/>
                        <w:webHidden/>
                      </w:rPr>
                      <w:instrText xml:space="preserve"> PAGEREF _Toc500859013 \h </w:instrText>
                    </w:r>
                    <w:r w:rsidR="002D43A0">
                      <w:rPr>
                        <w:noProof/>
                        <w:webHidden/>
                      </w:rPr>
                    </w:r>
                    <w:r w:rsidR="002D43A0">
                      <w:rPr>
                        <w:noProof/>
                        <w:webHidden/>
                      </w:rPr>
                      <w:fldChar w:fldCharType="separate"/>
                    </w:r>
                    <w:r w:rsidR="002D43A0">
                      <w:rPr>
                        <w:noProof/>
                        <w:webHidden/>
                      </w:rPr>
                      <w:t>1</w:t>
                    </w:r>
                    <w:r w:rsidR="002D43A0">
                      <w:rPr>
                        <w:noProof/>
                        <w:webHidden/>
                      </w:rPr>
                      <w:fldChar w:fldCharType="end"/>
                    </w:r>
                  </w:hyperlink>
                  <w:r w:rsidR="002D43A0">
                    <w:rPr>
                      <w:noProof/>
                    </w:rPr>
                    <w:t>9</w:t>
                  </w:r>
                </w:p>
                <w:p w:rsidR="002D43A0" w:rsidRDefault="00C4766F" w:rsidP="002D43A0">
                  <w:pPr>
                    <w:pStyle w:val="TOC2"/>
                    <w:rPr>
                      <w:rFonts w:asciiTheme="minorHAnsi" w:eastAsiaTheme="minorEastAsia" w:hAnsiTheme="minorHAnsi" w:cstheme="minorBidi"/>
                      <w:noProof/>
                      <w:color w:val="auto"/>
                    </w:rPr>
                  </w:pPr>
                  <w:hyperlink w:anchor="_Toc500859014" w:history="1">
                    <w:r w:rsidR="002D43A0" w:rsidRPr="000754DB">
                      <w:rPr>
                        <w:rStyle w:val="Hyperlink"/>
                        <w:noProof/>
                      </w:rPr>
                      <w:t>3.5 Comunicação e visibilidade em materiais impressos</w:t>
                    </w:r>
                    <w:r w:rsidR="002D43A0">
                      <w:rPr>
                        <w:noProof/>
                        <w:webHidden/>
                      </w:rPr>
                      <w:tab/>
                    </w:r>
                  </w:hyperlink>
                  <w:r w:rsidR="002D43A0">
                    <w:rPr>
                      <w:noProof/>
                    </w:rPr>
                    <w:t>20</w:t>
                  </w:r>
                </w:p>
                <w:p w:rsidR="002D43A0" w:rsidRDefault="00C4766F" w:rsidP="002D43A0">
                  <w:pPr>
                    <w:pStyle w:val="TOC3"/>
                    <w:rPr>
                      <w:rFonts w:asciiTheme="minorHAnsi" w:eastAsiaTheme="minorEastAsia" w:hAnsiTheme="minorHAnsi" w:cstheme="minorBidi"/>
                      <w:noProof/>
                      <w:color w:val="auto"/>
                    </w:rPr>
                  </w:pPr>
                  <w:hyperlink w:anchor="_Toc500859015" w:history="1">
                    <w:r w:rsidR="002D43A0" w:rsidRPr="000754DB">
                      <w:rPr>
                        <w:rStyle w:val="Hyperlink"/>
                        <w:noProof/>
                      </w:rPr>
                      <w:t>3.5.1 Boletins informativos, panfletos, brochuras e outros materiais impressos</w:t>
                    </w:r>
                    <w:r w:rsidR="002D43A0">
                      <w:rPr>
                        <w:noProof/>
                        <w:webHidden/>
                      </w:rPr>
                      <w:tab/>
                    </w:r>
                  </w:hyperlink>
                  <w:r w:rsidR="002D43A0">
                    <w:rPr>
                      <w:noProof/>
                    </w:rPr>
                    <w:t>20</w:t>
                  </w:r>
                </w:p>
                <w:p w:rsidR="002D43A0" w:rsidRDefault="00C4766F" w:rsidP="002D43A0">
                  <w:pPr>
                    <w:pStyle w:val="TOC3"/>
                    <w:rPr>
                      <w:rFonts w:asciiTheme="minorHAnsi" w:eastAsiaTheme="minorEastAsia" w:hAnsiTheme="minorHAnsi" w:cstheme="minorBidi"/>
                      <w:noProof/>
                      <w:color w:val="auto"/>
                    </w:rPr>
                  </w:pPr>
                  <w:hyperlink w:anchor="_Toc500859016" w:history="1">
                    <w:r w:rsidR="002D43A0" w:rsidRPr="000754DB">
                      <w:rPr>
                        <w:rStyle w:val="Hyperlink"/>
                        <w:noProof/>
                      </w:rPr>
                      <w:t>3.5.2 Painéis</w:t>
                    </w:r>
                    <w:r w:rsidR="002D43A0">
                      <w:rPr>
                        <w:noProof/>
                        <w:webHidden/>
                      </w:rPr>
                      <w:tab/>
                    </w:r>
                    <w:r w:rsidR="002D43A0">
                      <w:rPr>
                        <w:noProof/>
                        <w:webHidden/>
                      </w:rPr>
                      <w:fldChar w:fldCharType="begin"/>
                    </w:r>
                    <w:r w:rsidR="002D43A0">
                      <w:rPr>
                        <w:noProof/>
                        <w:webHidden/>
                      </w:rPr>
                      <w:instrText xml:space="preserve"> PAGEREF _Toc500859016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1</w:t>
                  </w:r>
                </w:p>
                <w:p w:rsidR="002D43A0" w:rsidRDefault="00C4766F" w:rsidP="002D43A0">
                  <w:pPr>
                    <w:pStyle w:val="TOC3"/>
                    <w:rPr>
                      <w:rFonts w:asciiTheme="minorHAnsi" w:eastAsiaTheme="minorEastAsia" w:hAnsiTheme="minorHAnsi" w:cstheme="minorBidi"/>
                      <w:noProof/>
                      <w:color w:val="auto"/>
                    </w:rPr>
                  </w:pPr>
                  <w:hyperlink w:anchor="_Toc500859017" w:history="1">
                    <w:r w:rsidR="002D43A0" w:rsidRPr="000754DB">
                      <w:rPr>
                        <w:rStyle w:val="Hyperlink"/>
                        <w:noProof/>
                      </w:rPr>
                      <w:t>3.5.3 Veículos, materiais e equipamentos</w:t>
                    </w:r>
                    <w:r w:rsidR="002D43A0">
                      <w:rPr>
                        <w:noProof/>
                        <w:webHidden/>
                      </w:rPr>
                      <w:tab/>
                    </w:r>
                    <w:r w:rsidR="002D43A0">
                      <w:rPr>
                        <w:noProof/>
                        <w:webHidden/>
                      </w:rPr>
                      <w:fldChar w:fldCharType="begin"/>
                    </w:r>
                    <w:r w:rsidR="002D43A0">
                      <w:rPr>
                        <w:noProof/>
                        <w:webHidden/>
                      </w:rPr>
                      <w:instrText xml:space="preserve"> PAGEREF _Toc500859017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2</w:t>
                  </w:r>
                </w:p>
                <w:p w:rsidR="002D43A0" w:rsidRDefault="00C4766F" w:rsidP="002D43A0">
                  <w:pPr>
                    <w:pStyle w:val="TOC3"/>
                    <w:rPr>
                      <w:rFonts w:asciiTheme="minorHAnsi" w:eastAsiaTheme="minorEastAsia" w:hAnsiTheme="minorHAnsi" w:cstheme="minorBidi"/>
                      <w:noProof/>
                      <w:color w:val="auto"/>
                    </w:rPr>
                  </w:pPr>
                  <w:hyperlink w:anchor="_Toc500859018" w:history="1">
                    <w:r w:rsidR="002D43A0" w:rsidRPr="000754DB">
                      <w:rPr>
                        <w:rStyle w:val="Hyperlink"/>
                        <w:noProof/>
                      </w:rPr>
                      <w:t>3.5.4 Artigos de papelaria, cartões profissionais, cabeçalhos, etc.</w:t>
                    </w:r>
                    <w:r w:rsidR="002D43A0">
                      <w:rPr>
                        <w:noProof/>
                        <w:webHidden/>
                      </w:rPr>
                      <w:tab/>
                    </w:r>
                    <w:r w:rsidR="002D43A0">
                      <w:rPr>
                        <w:noProof/>
                        <w:webHidden/>
                      </w:rPr>
                      <w:fldChar w:fldCharType="begin"/>
                    </w:r>
                    <w:r w:rsidR="002D43A0">
                      <w:rPr>
                        <w:noProof/>
                        <w:webHidden/>
                      </w:rPr>
                      <w:instrText xml:space="preserve"> PAGEREF _Toc500859018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2</w:t>
                  </w:r>
                </w:p>
                <w:p w:rsidR="002D43A0" w:rsidRDefault="00C4766F" w:rsidP="002D43A0">
                  <w:pPr>
                    <w:pStyle w:val="TOC2"/>
                    <w:rPr>
                      <w:rFonts w:asciiTheme="minorHAnsi" w:eastAsiaTheme="minorEastAsia" w:hAnsiTheme="minorHAnsi" w:cstheme="minorBidi"/>
                      <w:noProof/>
                      <w:color w:val="auto"/>
                    </w:rPr>
                  </w:pPr>
                  <w:hyperlink w:anchor="_Toc500859019" w:history="1">
                    <w:r w:rsidR="002D43A0" w:rsidRPr="000754DB">
                      <w:rPr>
                        <w:rStyle w:val="Hyperlink"/>
                        <w:noProof/>
                      </w:rPr>
                      <w:t>3.6 Direitos de propriedade intelectual</w:t>
                    </w:r>
                    <w:r w:rsidR="002D43A0">
                      <w:rPr>
                        <w:noProof/>
                        <w:webHidden/>
                      </w:rPr>
                      <w:tab/>
                    </w:r>
                    <w:r w:rsidR="002D43A0">
                      <w:rPr>
                        <w:noProof/>
                        <w:webHidden/>
                      </w:rPr>
                      <w:fldChar w:fldCharType="begin"/>
                    </w:r>
                    <w:r w:rsidR="002D43A0">
                      <w:rPr>
                        <w:noProof/>
                        <w:webHidden/>
                      </w:rPr>
                      <w:instrText xml:space="preserve"> PAGEREF _Toc500859019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3</w:t>
                  </w:r>
                </w:p>
                <w:p w:rsidR="002D43A0" w:rsidRDefault="00C4766F" w:rsidP="002D43A0">
                  <w:pPr>
                    <w:pStyle w:val="TOC3"/>
                    <w:rPr>
                      <w:rFonts w:asciiTheme="minorHAnsi" w:eastAsiaTheme="minorEastAsia" w:hAnsiTheme="minorHAnsi" w:cstheme="minorBidi"/>
                      <w:noProof/>
                      <w:color w:val="auto"/>
                    </w:rPr>
                  </w:pPr>
                  <w:hyperlink w:anchor="_Toc500859020" w:history="1">
                    <w:r w:rsidR="002D43A0" w:rsidRPr="000754DB">
                      <w:rPr>
                        <w:rStyle w:val="Hyperlink"/>
                        <w:noProof/>
                      </w:rPr>
                      <w:t>3.6.1 Propriedade dos resultados de comunicação do parceiro de execução</w:t>
                    </w:r>
                    <w:r w:rsidR="002D43A0">
                      <w:rPr>
                        <w:noProof/>
                        <w:webHidden/>
                      </w:rPr>
                      <w:tab/>
                    </w:r>
                    <w:r w:rsidR="002D43A0">
                      <w:rPr>
                        <w:noProof/>
                        <w:webHidden/>
                      </w:rPr>
                      <w:fldChar w:fldCharType="begin"/>
                    </w:r>
                    <w:r w:rsidR="002D43A0">
                      <w:rPr>
                        <w:noProof/>
                        <w:webHidden/>
                      </w:rPr>
                      <w:instrText xml:space="preserve"> PAGEREF _Toc500859020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3</w:t>
                  </w:r>
                </w:p>
                <w:p w:rsidR="002D43A0" w:rsidRDefault="00C4766F" w:rsidP="002D43A0">
                  <w:pPr>
                    <w:pStyle w:val="TOC3"/>
                    <w:rPr>
                      <w:rFonts w:asciiTheme="minorHAnsi" w:eastAsiaTheme="minorEastAsia" w:hAnsiTheme="minorHAnsi" w:cstheme="minorBidi"/>
                      <w:noProof/>
                      <w:color w:val="auto"/>
                    </w:rPr>
                  </w:pPr>
                  <w:hyperlink w:anchor="_Toc500859021" w:history="1">
                    <w:r w:rsidR="002D43A0" w:rsidRPr="000754DB">
                      <w:rPr>
                        <w:rStyle w:val="Hyperlink"/>
                        <w:noProof/>
                      </w:rPr>
                      <w:t>3.6.2 Direto da UE a utilizar os resultados da comunicação e os direitos pré-existentes</w:t>
                    </w:r>
                    <w:r w:rsidR="002D43A0">
                      <w:rPr>
                        <w:noProof/>
                        <w:webHidden/>
                      </w:rPr>
                      <w:tab/>
                    </w:r>
                    <w:r w:rsidR="002D43A0">
                      <w:rPr>
                        <w:noProof/>
                        <w:webHidden/>
                      </w:rPr>
                      <w:fldChar w:fldCharType="begin"/>
                    </w:r>
                    <w:r w:rsidR="002D43A0">
                      <w:rPr>
                        <w:noProof/>
                        <w:webHidden/>
                      </w:rPr>
                      <w:instrText xml:space="preserve"> PAGEREF _Toc500859021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3</w:t>
                  </w:r>
                </w:p>
                <w:p w:rsidR="002D43A0" w:rsidRDefault="00C4766F" w:rsidP="002D43A0">
                  <w:pPr>
                    <w:pStyle w:val="TOC3"/>
                    <w:rPr>
                      <w:rFonts w:asciiTheme="minorHAnsi" w:eastAsiaTheme="minorEastAsia" w:hAnsiTheme="minorHAnsi" w:cstheme="minorBidi"/>
                      <w:noProof/>
                      <w:color w:val="auto"/>
                    </w:rPr>
                  </w:pPr>
                  <w:hyperlink w:anchor="_Toc500859022" w:history="1">
                    <w:r w:rsidR="002D43A0" w:rsidRPr="000754DB">
                      <w:rPr>
                        <w:rStyle w:val="Hyperlink"/>
                        <w:noProof/>
                      </w:rPr>
                      <w:t>3.6.3 Identificação e prova da concessão dos direitos pré-existentes</w:t>
                    </w:r>
                    <w:r w:rsidR="002D43A0">
                      <w:rPr>
                        <w:noProof/>
                        <w:webHidden/>
                      </w:rPr>
                      <w:tab/>
                    </w:r>
                    <w:r w:rsidR="002D43A0">
                      <w:rPr>
                        <w:noProof/>
                        <w:webHidden/>
                      </w:rPr>
                      <w:fldChar w:fldCharType="begin"/>
                    </w:r>
                    <w:r w:rsidR="002D43A0">
                      <w:rPr>
                        <w:noProof/>
                        <w:webHidden/>
                      </w:rPr>
                      <w:instrText xml:space="preserve"> PAGEREF _Toc500859022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4</w:t>
                  </w:r>
                </w:p>
                <w:p w:rsidR="002D43A0" w:rsidRDefault="00C4766F" w:rsidP="002D43A0">
                  <w:pPr>
                    <w:pStyle w:val="TOC3"/>
                    <w:rPr>
                      <w:rFonts w:asciiTheme="minorHAnsi" w:eastAsiaTheme="minorEastAsia" w:hAnsiTheme="minorHAnsi" w:cstheme="minorBidi"/>
                      <w:noProof/>
                      <w:color w:val="auto"/>
                    </w:rPr>
                  </w:pPr>
                  <w:hyperlink w:anchor="_Toc500859023" w:history="1">
                    <w:r w:rsidR="002D43A0" w:rsidRPr="000754DB">
                      <w:rPr>
                        <w:rStyle w:val="Hyperlink"/>
                        <w:noProof/>
                      </w:rPr>
                      <w:t>3.6.4 Direitos morais dos criadores</w:t>
                    </w:r>
                    <w:r w:rsidR="002D43A0">
                      <w:rPr>
                        <w:noProof/>
                        <w:webHidden/>
                      </w:rPr>
                      <w:tab/>
                    </w:r>
                    <w:r w:rsidR="002D43A0">
                      <w:rPr>
                        <w:noProof/>
                        <w:webHidden/>
                      </w:rPr>
                      <w:fldChar w:fldCharType="begin"/>
                    </w:r>
                    <w:r w:rsidR="002D43A0">
                      <w:rPr>
                        <w:noProof/>
                        <w:webHidden/>
                      </w:rPr>
                      <w:instrText xml:space="preserve"> PAGEREF _Toc500859023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5</w:t>
                  </w:r>
                </w:p>
                <w:p w:rsidR="002D43A0" w:rsidRDefault="00C4766F" w:rsidP="002D43A0">
                  <w:pPr>
                    <w:pStyle w:val="TOC3"/>
                    <w:rPr>
                      <w:rFonts w:asciiTheme="minorHAnsi" w:eastAsiaTheme="minorEastAsia" w:hAnsiTheme="minorHAnsi" w:cstheme="minorBidi"/>
                      <w:noProof/>
                      <w:color w:val="auto"/>
                    </w:rPr>
                  </w:pPr>
                  <w:hyperlink w:anchor="_Toc500859024" w:history="1">
                    <w:r w:rsidR="002D43A0" w:rsidRPr="000754DB">
                      <w:rPr>
                        <w:rStyle w:val="Hyperlink"/>
                        <w:noProof/>
                      </w:rPr>
                      <w:t>3.6.5 Direitos de imagem e gravações de som</w:t>
                    </w:r>
                    <w:r w:rsidR="002D43A0">
                      <w:rPr>
                        <w:noProof/>
                        <w:webHidden/>
                      </w:rPr>
                      <w:tab/>
                    </w:r>
                    <w:r w:rsidR="002D43A0">
                      <w:rPr>
                        <w:noProof/>
                        <w:webHidden/>
                      </w:rPr>
                      <w:fldChar w:fldCharType="begin"/>
                    </w:r>
                    <w:r w:rsidR="002D43A0">
                      <w:rPr>
                        <w:noProof/>
                        <w:webHidden/>
                      </w:rPr>
                      <w:instrText xml:space="preserve"> PAGEREF _Toc500859024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5</w:t>
                  </w:r>
                </w:p>
                <w:p w:rsidR="002D43A0" w:rsidRDefault="00C4766F" w:rsidP="002D43A0">
                  <w:pPr>
                    <w:pStyle w:val="TOC3"/>
                    <w:rPr>
                      <w:rFonts w:asciiTheme="minorHAnsi" w:eastAsiaTheme="minorEastAsia" w:hAnsiTheme="minorHAnsi" w:cstheme="minorBidi"/>
                      <w:noProof/>
                      <w:color w:val="auto"/>
                    </w:rPr>
                  </w:pPr>
                  <w:hyperlink w:anchor="_Toc500859025" w:history="1">
                    <w:r w:rsidR="002D43A0" w:rsidRPr="000754DB">
                      <w:rPr>
                        <w:rStyle w:val="Hyperlink"/>
                        <w:noProof/>
                      </w:rPr>
                      <w:t>3.6.6 Declaração sobre os direitos de autor</w:t>
                    </w:r>
                    <w:r w:rsidR="002D43A0">
                      <w:rPr>
                        <w:noProof/>
                        <w:webHidden/>
                      </w:rPr>
                      <w:tab/>
                    </w:r>
                    <w:r w:rsidR="002D43A0">
                      <w:rPr>
                        <w:noProof/>
                        <w:webHidden/>
                      </w:rPr>
                      <w:fldChar w:fldCharType="begin"/>
                    </w:r>
                    <w:r w:rsidR="002D43A0">
                      <w:rPr>
                        <w:noProof/>
                        <w:webHidden/>
                      </w:rPr>
                      <w:instrText xml:space="preserve"> PAGEREF _Toc500859025 \h </w:instrText>
                    </w:r>
                    <w:r w:rsidR="002D43A0">
                      <w:rPr>
                        <w:noProof/>
                        <w:webHidden/>
                      </w:rPr>
                    </w:r>
                    <w:r w:rsidR="002D43A0">
                      <w:rPr>
                        <w:noProof/>
                        <w:webHidden/>
                      </w:rPr>
                      <w:fldChar w:fldCharType="separate"/>
                    </w:r>
                    <w:r w:rsidR="002D43A0">
                      <w:rPr>
                        <w:noProof/>
                        <w:webHidden/>
                      </w:rPr>
                      <w:t>25</w:t>
                    </w:r>
                    <w:r w:rsidR="002D43A0">
                      <w:rPr>
                        <w:noProof/>
                        <w:webHidden/>
                      </w:rPr>
                      <w:fldChar w:fldCharType="end"/>
                    </w:r>
                  </w:hyperlink>
                </w:p>
                <w:p w:rsidR="002D43A0" w:rsidRDefault="00C4766F" w:rsidP="002D43A0">
                  <w:pPr>
                    <w:pStyle w:val="TOC1"/>
                    <w:rPr>
                      <w:rFonts w:asciiTheme="minorHAnsi" w:eastAsiaTheme="minorEastAsia" w:hAnsiTheme="minorHAnsi" w:cstheme="minorBidi"/>
                      <w:b w:val="0"/>
                      <w:color w:val="auto"/>
                    </w:rPr>
                  </w:pPr>
                  <w:hyperlink w:anchor="_Toc500859026" w:history="1">
                    <w:r w:rsidR="002D43A0" w:rsidRPr="000754DB">
                      <w:rPr>
                        <w:rStyle w:val="Hyperlink"/>
                      </w:rPr>
                      <w:t>4 Apresentação de relatórios</w:t>
                    </w:r>
                    <w:r w:rsidR="002D43A0">
                      <w:rPr>
                        <w:webHidden/>
                      </w:rPr>
                      <w:tab/>
                    </w:r>
                    <w:r w:rsidR="002D43A0">
                      <w:rPr>
                        <w:webHidden/>
                      </w:rPr>
                      <w:fldChar w:fldCharType="begin"/>
                    </w:r>
                    <w:r w:rsidR="002D43A0">
                      <w:rPr>
                        <w:webHidden/>
                      </w:rPr>
                      <w:instrText xml:space="preserve"> PAGEREF _Toc500859026 \h </w:instrText>
                    </w:r>
                    <w:r w:rsidR="002D43A0">
                      <w:rPr>
                        <w:webHidden/>
                      </w:rPr>
                    </w:r>
                    <w:r w:rsidR="002D43A0">
                      <w:rPr>
                        <w:webHidden/>
                      </w:rPr>
                      <w:fldChar w:fldCharType="separate"/>
                    </w:r>
                    <w:r w:rsidR="002D43A0">
                      <w:rPr>
                        <w:webHidden/>
                      </w:rPr>
                      <w:t>26</w:t>
                    </w:r>
                    <w:r w:rsidR="002D43A0">
                      <w:rPr>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27" w:history="1">
                    <w:r w:rsidR="002D43A0" w:rsidRPr="000754DB">
                      <w:rPr>
                        <w:rStyle w:val="Hyperlink"/>
                        <w:noProof/>
                      </w:rPr>
                      <w:t>4.1 Apresentação de relatórios sobre comunicação e visibilidade</w:t>
                    </w:r>
                    <w:r w:rsidR="002D43A0">
                      <w:rPr>
                        <w:noProof/>
                        <w:webHidden/>
                      </w:rPr>
                      <w:tab/>
                    </w:r>
                    <w:r w:rsidR="002D43A0">
                      <w:rPr>
                        <w:noProof/>
                        <w:webHidden/>
                      </w:rPr>
                      <w:fldChar w:fldCharType="begin"/>
                    </w:r>
                    <w:r w:rsidR="002D43A0">
                      <w:rPr>
                        <w:noProof/>
                        <w:webHidden/>
                      </w:rPr>
                      <w:instrText xml:space="preserve"> PAGEREF _Toc500859027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7</w:t>
                  </w:r>
                </w:p>
                <w:p w:rsidR="002D43A0" w:rsidRDefault="00C4766F" w:rsidP="002D43A0">
                  <w:pPr>
                    <w:pStyle w:val="TOC2"/>
                    <w:rPr>
                      <w:rFonts w:asciiTheme="minorHAnsi" w:eastAsiaTheme="minorEastAsia" w:hAnsiTheme="minorHAnsi" w:cstheme="minorBidi"/>
                      <w:noProof/>
                      <w:color w:val="auto"/>
                    </w:rPr>
                  </w:pPr>
                  <w:hyperlink w:anchor="_Toc500859028" w:history="1">
                    <w:r w:rsidR="002D43A0" w:rsidRPr="000754DB">
                      <w:rPr>
                        <w:rStyle w:val="Hyperlink"/>
                        <w:noProof/>
                      </w:rPr>
                      <w:t>4.2 Visibilidade dos relatórios</w:t>
                    </w:r>
                    <w:r w:rsidR="002D43A0">
                      <w:rPr>
                        <w:noProof/>
                        <w:webHidden/>
                      </w:rPr>
                      <w:tab/>
                    </w:r>
                    <w:r w:rsidR="002D43A0">
                      <w:rPr>
                        <w:noProof/>
                        <w:webHidden/>
                      </w:rPr>
                      <w:fldChar w:fldCharType="begin"/>
                    </w:r>
                    <w:r w:rsidR="002D43A0">
                      <w:rPr>
                        <w:noProof/>
                        <w:webHidden/>
                      </w:rPr>
                      <w:instrText xml:space="preserve"> PAGEREF _Toc500859028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7</w:t>
                  </w:r>
                </w:p>
                <w:p w:rsidR="002D43A0" w:rsidRDefault="00C4766F" w:rsidP="002D43A0">
                  <w:pPr>
                    <w:pStyle w:val="TOC1"/>
                    <w:rPr>
                      <w:rFonts w:asciiTheme="minorHAnsi" w:eastAsiaTheme="minorEastAsia" w:hAnsiTheme="minorHAnsi" w:cstheme="minorBidi"/>
                      <w:b w:val="0"/>
                      <w:color w:val="auto"/>
                    </w:rPr>
                  </w:pPr>
                  <w:hyperlink w:anchor="_Toc500859029" w:history="1">
                    <w:r w:rsidR="002D43A0" w:rsidRPr="000754DB">
                      <w:rPr>
                        <w:rStyle w:val="Hyperlink"/>
                      </w:rPr>
                      <w:t>5 Aspetos jurídicos e contratuais</w:t>
                    </w:r>
                    <w:r w:rsidR="002D43A0">
                      <w:rPr>
                        <w:webHidden/>
                      </w:rPr>
                      <w:tab/>
                    </w:r>
                    <w:r w:rsidR="002D43A0">
                      <w:rPr>
                        <w:webHidden/>
                      </w:rPr>
                      <w:fldChar w:fldCharType="begin"/>
                    </w:r>
                    <w:r w:rsidR="002D43A0">
                      <w:rPr>
                        <w:webHidden/>
                      </w:rPr>
                      <w:instrText xml:space="preserve"> PAGEREF _Toc500859029 \h </w:instrText>
                    </w:r>
                    <w:r w:rsidR="002D43A0">
                      <w:rPr>
                        <w:webHidden/>
                      </w:rPr>
                    </w:r>
                    <w:r w:rsidR="002D43A0">
                      <w:rPr>
                        <w:webHidden/>
                      </w:rPr>
                      <w:fldChar w:fldCharType="separate"/>
                    </w:r>
                    <w:r w:rsidR="002D43A0">
                      <w:rPr>
                        <w:webHidden/>
                      </w:rPr>
                      <w:t>28</w:t>
                    </w:r>
                    <w:r w:rsidR="002D43A0">
                      <w:rPr>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30" w:history="1">
                    <w:r w:rsidR="002D43A0" w:rsidRPr="000754DB">
                      <w:rPr>
                        <w:rStyle w:val="Hyperlink"/>
                        <w:noProof/>
                      </w:rPr>
                      <w:t>5.1 A obrigação jurídica de comunicar</w:t>
                    </w:r>
                    <w:r w:rsidR="002D43A0">
                      <w:rPr>
                        <w:noProof/>
                        <w:webHidden/>
                      </w:rPr>
                      <w:tab/>
                    </w:r>
                    <w:r w:rsidR="002D43A0">
                      <w:rPr>
                        <w:noProof/>
                        <w:webHidden/>
                      </w:rPr>
                      <w:fldChar w:fldCharType="begin"/>
                    </w:r>
                    <w:r w:rsidR="002D43A0">
                      <w:rPr>
                        <w:noProof/>
                        <w:webHidden/>
                      </w:rPr>
                      <w:instrText xml:space="preserve"> PAGEREF _Toc500859030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9</w:t>
                  </w:r>
                </w:p>
                <w:p w:rsidR="002D43A0" w:rsidRDefault="00C4766F" w:rsidP="002D43A0">
                  <w:pPr>
                    <w:pStyle w:val="TOC3"/>
                    <w:rPr>
                      <w:rFonts w:asciiTheme="minorHAnsi" w:eastAsiaTheme="minorEastAsia" w:hAnsiTheme="minorHAnsi" w:cstheme="minorBidi"/>
                      <w:noProof/>
                      <w:color w:val="auto"/>
                    </w:rPr>
                  </w:pPr>
                  <w:hyperlink w:anchor="_Toc500859031" w:history="1">
                    <w:r w:rsidR="002D43A0" w:rsidRPr="000754DB">
                      <w:rPr>
                        <w:rStyle w:val="Hyperlink"/>
                        <w:noProof/>
                      </w:rPr>
                      <w:t>5.1.1 Base jurídica</w:t>
                    </w:r>
                    <w:r w:rsidR="002D43A0">
                      <w:rPr>
                        <w:noProof/>
                        <w:webHidden/>
                      </w:rPr>
                      <w:tab/>
                    </w:r>
                    <w:r w:rsidR="002D43A0">
                      <w:rPr>
                        <w:noProof/>
                        <w:webHidden/>
                      </w:rPr>
                      <w:fldChar w:fldCharType="begin"/>
                    </w:r>
                    <w:r w:rsidR="002D43A0">
                      <w:rPr>
                        <w:noProof/>
                        <w:webHidden/>
                      </w:rPr>
                      <w:instrText xml:space="preserve"> PAGEREF _Toc500859031 \h </w:instrText>
                    </w:r>
                    <w:r w:rsidR="002D43A0">
                      <w:rPr>
                        <w:noProof/>
                        <w:webHidden/>
                      </w:rPr>
                    </w:r>
                    <w:r w:rsidR="002D43A0">
                      <w:rPr>
                        <w:noProof/>
                        <w:webHidden/>
                      </w:rPr>
                      <w:fldChar w:fldCharType="separate"/>
                    </w:r>
                    <w:r w:rsidR="002D43A0">
                      <w:rPr>
                        <w:noProof/>
                        <w:webHidden/>
                      </w:rPr>
                      <w:t>2</w:t>
                    </w:r>
                    <w:r w:rsidR="002D43A0">
                      <w:rPr>
                        <w:noProof/>
                        <w:webHidden/>
                      </w:rPr>
                      <w:fldChar w:fldCharType="end"/>
                    </w:r>
                  </w:hyperlink>
                  <w:r w:rsidR="002D43A0">
                    <w:rPr>
                      <w:noProof/>
                    </w:rPr>
                    <w:t>9</w:t>
                  </w:r>
                </w:p>
                <w:p w:rsidR="002D43A0" w:rsidRDefault="00C4766F" w:rsidP="002D43A0">
                  <w:pPr>
                    <w:pStyle w:val="TOC3"/>
                    <w:rPr>
                      <w:rFonts w:asciiTheme="minorHAnsi" w:eastAsiaTheme="minorEastAsia" w:hAnsiTheme="minorHAnsi" w:cstheme="minorBidi"/>
                      <w:noProof/>
                      <w:color w:val="auto"/>
                    </w:rPr>
                  </w:pPr>
                  <w:hyperlink w:anchor="_Toc500859032" w:history="1">
                    <w:r w:rsidR="002D43A0" w:rsidRPr="000754DB">
                      <w:rPr>
                        <w:rStyle w:val="Hyperlink"/>
                        <w:noProof/>
                      </w:rPr>
                      <w:t>5.1.2 Exceções aos requisitos de visibilidade</w:t>
                    </w:r>
                    <w:r w:rsidR="002D43A0">
                      <w:rPr>
                        <w:noProof/>
                        <w:webHidden/>
                      </w:rPr>
                      <w:tab/>
                    </w:r>
                    <w:r w:rsidR="002D43A0">
                      <w:rPr>
                        <w:noProof/>
                        <w:webHidden/>
                      </w:rPr>
                      <w:fldChar w:fldCharType="begin"/>
                    </w:r>
                    <w:r w:rsidR="002D43A0">
                      <w:rPr>
                        <w:noProof/>
                        <w:webHidden/>
                      </w:rPr>
                      <w:instrText xml:space="preserve"> PAGEREF _Toc500859032 \h </w:instrText>
                    </w:r>
                    <w:r w:rsidR="002D43A0">
                      <w:rPr>
                        <w:noProof/>
                        <w:webHidden/>
                      </w:rPr>
                    </w:r>
                    <w:r w:rsidR="002D43A0">
                      <w:rPr>
                        <w:noProof/>
                        <w:webHidden/>
                      </w:rPr>
                      <w:fldChar w:fldCharType="separate"/>
                    </w:r>
                    <w:r w:rsidR="002D43A0">
                      <w:rPr>
                        <w:noProof/>
                        <w:webHidden/>
                      </w:rPr>
                      <w:t>29</w:t>
                    </w:r>
                    <w:r w:rsidR="002D43A0">
                      <w:rPr>
                        <w:noProof/>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33" w:history="1">
                    <w:r w:rsidR="002D43A0" w:rsidRPr="000754DB">
                      <w:rPr>
                        <w:rStyle w:val="Hyperlink"/>
                        <w:noProof/>
                      </w:rPr>
                      <w:t>5.2 Regras da UE em matéria de identidade visual</w:t>
                    </w:r>
                    <w:r w:rsidR="002D43A0">
                      <w:rPr>
                        <w:noProof/>
                        <w:webHidden/>
                      </w:rPr>
                      <w:tab/>
                      <w:t>30</w:t>
                    </w:r>
                  </w:hyperlink>
                </w:p>
                <w:p w:rsidR="002D43A0" w:rsidRDefault="00C4766F" w:rsidP="002D43A0">
                  <w:pPr>
                    <w:pStyle w:val="TOC3"/>
                    <w:rPr>
                      <w:rFonts w:asciiTheme="minorHAnsi" w:eastAsiaTheme="minorEastAsia" w:hAnsiTheme="minorHAnsi" w:cstheme="minorBidi"/>
                      <w:noProof/>
                      <w:color w:val="auto"/>
                    </w:rPr>
                  </w:pPr>
                  <w:hyperlink w:anchor="_Toc500859034" w:history="1">
                    <w:r w:rsidR="002D43A0" w:rsidRPr="000754DB">
                      <w:rPr>
                        <w:rStyle w:val="Hyperlink"/>
                        <w:noProof/>
                      </w:rPr>
                      <w:t>5.2.1 O emblema da UE</w:t>
                    </w:r>
                    <w:r w:rsidR="002D43A0">
                      <w:rPr>
                        <w:noProof/>
                        <w:webHidden/>
                      </w:rPr>
                      <w:tab/>
                    </w:r>
                  </w:hyperlink>
                  <w:r w:rsidR="002D43A0">
                    <w:rPr>
                      <w:noProof/>
                    </w:rPr>
                    <w:t>30</w:t>
                  </w:r>
                </w:p>
                <w:p w:rsidR="002D43A0" w:rsidRDefault="00C4766F" w:rsidP="002D43A0">
                  <w:pPr>
                    <w:pStyle w:val="TOC3"/>
                    <w:rPr>
                      <w:rFonts w:asciiTheme="minorHAnsi" w:eastAsiaTheme="minorEastAsia" w:hAnsiTheme="minorHAnsi" w:cstheme="minorBidi"/>
                      <w:noProof/>
                      <w:color w:val="auto"/>
                    </w:rPr>
                  </w:pPr>
                  <w:hyperlink w:anchor="_Toc500859035" w:history="1">
                    <w:r w:rsidR="002D43A0" w:rsidRPr="000754DB">
                      <w:rPr>
                        <w:rStyle w:val="Hyperlink"/>
                        <w:noProof/>
                      </w:rPr>
                      <w:t>5.2.2 Alterações e acréscimos</w:t>
                    </w:r>
                    <w:r w:rsidR="002D43A0">
                      <w:rPr>
                        <w:noProof/>
                        <w:webHidden/>
                      </w:rPr>
                      <w:tab/>
                    </w:r>
                    <w:r w:rsidR="002D43A0">
                      <w:rPr>
                        <w:noProof/>
                        <w:webHidden/>
                      </w:rPr>
                      <w:fldChar w:fldCharType="begin"/>
                    </w:r>
                    <w:r w:rsidR="002D43A0">
                      <w:rPr>
                        <w:noProof/>
                        <w:webHidden/>
                      </w:rPr>
                      <w:instrText xml:space="preserve"> PAGEREF _Toc500859035 \h </w:instrText>
                    </w:r>
                    <w:r w:rsidR="002D43A0">
                      <w:rPr>
                        <w:noProof/>
                        <w:webHidden/>
                      </w:rPr>
                    </w:r>
                    <w:r w:rsidR="002D43A0">
                      <w:rPr>
                        <w:noProof/>
                        <w:webHidden/>
                      </w:rPr>
                      <w:fldChar w:fldCharType="separate"/>
                    </w:r>
                    <w:r w:rsidR="002D43A0">
                      <w:rPr>
                        <w:noProof/>
                        <w:webHidden/>
                      </w:rPr>
                      <w:t>30</w:t>
                    </w:r>
                    <w:r w:rsidR="002D43A0">
                      <w:rPr>
                        <w:noProof/>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36" w:history="1">
                    <w:r w:rsidR="002D43A0" w:rsidRPr="000754DB">
                      <w:rPr>
                        <w:rStyle w:val="Hyperlink"/>
                        <w:noProof/>
                      </w:rPr>
                      <w:t xml:space="preserve">5.3 </w:t>
                    </w:r>
                    <w:r w:rsidR="002D43A0">
                      <w:rPr>
                        <w:rStyle w:val="Hyperlink"/>
                        <w:noProof/>
                      </w:rPr>
                      <w:t>Informa</w:t>
                    </w:r>
                    <w:r w:rsidR="002D43A0" w:rsidRPr="007D20C3">
                      <w:rPr>
                        <w:rStyle w:val="Hyperlink"/>
                        <w:noProof/>
                      </w:rPr>
                      <w:t>ção</w:t>
                    </w:r>
                    <w:r w:rsidR="002D43A0">
                      <w:rPr>
                        <w:rStyle w:val="Hyperlink"/>
                        <w:noProof/>
                      </w:rPr>
                      <w:t xml:space="preserve"> sobre</w:t>
                    </w:r>
                    <w:r w:rsidR="002D43A0" w:rsidRPr="000754DB">
                      <w:rPr>
                        <w:rStyle w:val="Hyperlink"/>
                        <w:noProof/>
                      </w:rPr>
                      <w:t xml:space="preserve"> a União Europeia</w:t>
                    </w:r>
                    <w:r w:rsidR="002D43A0">
                      <w:rPr>
                        <w:noProof/>
                        <w:webHidden/>
                      </w:rPr>
                      <w:tab/>
                    </w:r>
                    <w:r w:rsidR="002D43A0">
                      <w:rPr>
                        <w:noProof/>
                        <w:webHidden/>
                      </w:rPr>
                      <w:fldChar w:fldCharType="begin"/>
                    </w:r>
                    <w:r w:rsidR="002D43A0">
                      <w:rPr>
                        <w:noProof/>
                        <w:webHidden/>
                      </w:rPr>
                      <w:instrText xml:space="preserve"> PAGEREF _Toc500859036 \h </w:instrText>
                    </w:r>
                    <w:r w:rsidR="002D43A0">
                      <w:rPr>
                        <w:noProof/>
                        <w:webHidden/>
                      </w:rPr>
                    </w:r>
                    <w:r w:rsidR="002D43A0">
                      <w:rPr>
                        <w:noProof/>
                        <w:webHidden/>
                      </w:rPr>
                      <w:fldChar w:fldCharType="separate"/>
                    </w:r>
                    <w:r w:rsidR="002D43A0">
                      <w:rPr>
                        <w:noProof/>
                        <w:webHidden/>
                      </w:rPr>
                      <w:t>3</w:t>
                    </w:r>
                    <w:r w:rsidR="002D43A0">
                      <w:rPr>
                        <w:noProof/>
                        <w:webHidden/>
                      </w:rPr>
                      <w:fldChar w:fldCharType="end"/>
                    </w:r>
                  </w:hyperlink>
                  <w:r w:rsidR="002D43A0">
                    <w:rPr>
                      <w:noProof/>
                    </w:rPr>
                    <w:t>1</w:t>
                  </w:r>
                </w:p>
                <w:p w:rsidR="002D43A0" w:rsidRDefault="00C4766F" w:rsidP="002D43A0">
                  <w:pPr>
                    <w:pStyle w:val="TOC2"/>
                    <w:rPr>
                      <w:rFonts w:asciiTheme="minorHAnsi" w:eastAsiaTheme="minorEastAsia" w:hAnsiTheme="minorHAnsi" w:cstheme="minorBidi"/>
                      <w:noProof/>
                      <w:color w:val="auto"/>
                    </w:rPr>
                  </w:pPr>
                  <w:hyperlink w:anchor="_Toc500859037" w:history="1">
                    <w:r w:rsidR="002D43A0" w:rsidRPr="000754DB">
                      <w:rPr>
                        <w:rStyle w:val="Hyperlink"/>
                        <w:noProof/>
                      </w:rPr>
                      <w:t>5.4 Declarações de exoneração de responsabilidade</w:t>
                    </w:r>
                    <w:r w:rsidR="002D43A0">
                      <w:rPr>
                        <w:noProof/>
                        <w:webHidden/>
                      </w:rPr>
                      <w:tab/>
                    </w:r>
                    <w:r w:rsidR="002D43A0">
                      <w:rPr>
                        <w:noProof/>
                        <w:webHidden/>
                      </w:rPr>
                      <w:fldChar w:fldCharType="begin"/>
                    </w:r>
                    <w:r w:rsidR="002D43A0">
                      <w:rPr>
                        <w:noProof/>
                        <w:webHidden/>
                      </w:rPr>
                      <w:instrText xml:space="preserve"> PAGEREF _Toc500859037 \h </w:instrText>
                    </w:r>
                    <w:r w:rsidR="002D43A0">
                      <w:rPr>
                        <w:noProof/>
                        <w:webHidden/>
                      </w:rPr>
                    </w:r>
                    <w:r w:rsidR="002D43A0">
                      <w:rPr>
                        <w:noProof/>
                        <w:webHidden/>
                      </w:rPr>
                      <w:fldChar w:fldCharType="separate"/>
                    </w:r>
                    <w:r w:rsidR="002D43A0">
                      <w:rPr>
                        <w:noProof/>
                        <w:webHidden/>
                      </w:rPr>
                      <w:t>3</w:t>
                    </w:r>
                    <w:r w:rsidR="002D43A0">
                      <w:rPr>
                        <w:noProof/>
                        <w:webHidden/>
                      </w:rPr>
                      <w:fldChar w:fldCharType="end"/>
                    </w:r>
                  </w:hyperlink>
                  <w:r w:rsidR="002D43A0">
                    <w:rPr>
                      <w:noProof/>
                    </w:rPr>
                    <w:t>2</w:t>
                  </w:r>
                </w:p>
                <w:p w:rsidR="002D43A0" w:rsidRDefault="00C4766F" w:rsidP="002D43A0">
                  <w:pPr>
                    <w:pStyle w:val="TOC2"/>
                    <w:rPr>
                      <w:rFonts w:asciiTheme="minorHAnsi" w:eastAsiaTheme="minorEastAsia" w:hAnsiTheme="minorHAnsi" w:cstheme="minorBidi"/>
                      <w:noProof/>
                      <w:color w:val="auto"/>
                    </w:rPr>
                  </w:pPr>
                  <w:hyperlink w:anchor="_Toc500859038" w:history="1">
                    <w:r w:rsidR="002D43A0" w:rsidRPr="000754DB">
                      <w:rPr>
                        <w:rStyle w:val="Hyperlink"/>
                        <w:noProof/>
                      </w:rPr>
                      <w:t>5.5 Organizações internacionais e agências dos Estados-Membros</w:t>
                    </w:r>
                    <w:r w:rsidR="002D43A0">
                      <w:rPr>
                        <w:noProof/>
                        <w:webHidden/>
                      </w:rPr>
                      <w:tab/>
                    </w:r>
                    <w:r w:rsidR="002D43A0">
                      <w:rPr>
                        <w:noProof/>
                        <w:webHidden/>
                      </w:rPr>
                      <w:fldChar w:fldCharType="begin"/>
                    </w:r>
                    <w:r w:rsidR="002D43A0">
                      <w:rPr>
                        <w:noProof/>
                        <w:webHidden/>
                      </w:rPr>
                      <w:instrText xml:space="preserve"> PAGEREF _Toc500859038 \h </w:instrText>
                    </w:r>
                    <w:r w:rsidR="002D43A0">
                      <w:rPr>
                        <w:noProof/>
                        <w:webHidden/>
                      </w:rPr>
                    </w:r>
                    <w:r w:rsidR="002D43A0">
                      <w:rPr>
                        <w:noProof/>
                        <w:webHidden/>
                      </w:rPr>
                      <w:fldChar w:fldCharType="separate"/>
                    </w:r>
                    <w:r w:rsidR="002D43A0">
                      <w:rPr>
                        <w:noProof/>
                        <w:webHidden/>
                      </w:rPr>
                      <w:t>32</w:t>
                    </w:r>
                    <w:r w:rsidR="002D43A0">
                      <w:rPr>
                        <w:noProof/>
                        <w:webHidden/>
                      </w:rPr>
                      <w:fldChar w:fldCharType="end"/>
                    </w:r>
                  </w:hyperlink>
                </w:p>
                <w:p w:rsidR="002D43A0" w:rsidRDefault="00C4766F" w:rsidP="002D43A0">
                  <w:pPr>
                    <w:pStyle w:val="TOC2"/>
                    <w:rPr>
                      <w:rFonts w:asciiTheme="minorHAnsi" w:eastAsiaTheme="minorEastAsia" w:hAnsiTheme="minorHAnsi" w:cstheme="minorBidi"/>
                      <w:noProof/>
                      <w:color w:val="auto"/>
                    </w:rPr>
                  </w:pPr>
                  <w:hyperlink w:anchor="_Toc500859039" w:history="1">
                    <w:r w:rsidR="002D43A0" w:rsidRPr="000754DB">
                      <w:rPr>
                        <w:rStyle w:val="Hyperlink"/>
                        <w:noProof/>
                      </w:rPr>
                      <w:t>5.6 Visibilidade em contextos de vários doadores</w:t>
                    </w:r>
                    <w:r w:rsidR="002D43A0">
                      <w:rPr>
                        <w:noProof/>
                        <w:webHidden/>
                      </w:rPr>
                      <w:tab/>
                    </w:r>
                    <w:r w:rsidR="002D43A0">
                      <w:rPr>
                        <w:noProof/>
                        <w:webHidden/>
                      </w:rPr>
                      <w:fldChar w:fldCharType="begin"/>
                    </w:r>
                    <w:r w:rsidR="002D43A0">
                      <w:rPr>
                        <w:noProof/>
                        <w:webHidden/>
                      </w:rPr>
                      <w:instrText xml:space="preserve"> PAGEREF _Toc500859039 \h </w:instrText>
                    </w:r>
                    <w:r w:rsidR="002D43A0">
                      <w:rPr>
                        <w:noProof/>
                        <w:webHidden/>
                      </w:rPr>
                    </w:r>
                    <w:r w:rsidR="002D43A0">
                      <w:rPr>
                        <w:noProof/>
                        <w:webHidden/>
                      </w:rPr>
                      <w:fldChar w:fldCharType="separate"/>
                    </w:r>
                    <w:r w:rsidR="002D43A0">
                      <w:rPr>
                        <w:noProof/>
                        <w:webHidden/>
                      </w:rPr>
                      <w:t>33</w:t>
                    </w:r>
                    <w:r w:rsidR="002D43A0">
                      <w:rPr>
                        <w:noProof/>
                        <w:webHidden/>
                      </w:rPr>
                      <w:fldChar w:fldCharType="end"/>
                    </w:r>
                  </w:hyperlink>
                </w:p>
                <w:p w:rsidR="00072EB8" w:rsidRPr="002D43A0" w:rsidRDefault="002D43A0" w:rsidP="002D43A0">
                  <w:pPr>
                    <w:pStyle w:val="TOC1"/>
                    <w:rPr>
                      <w:b w:val="0"/>
                    </w:rPr>
                  </w:pPr>
                  <w:r>
                    <w:rPr>
                      <w:noProof w:val="0"/>
                      <w:sz w:val="20"/>
                    </w:rPr>
                    <w:fldChar w:fldCharType="end"/>
                  </w:r>
                </w:p>
              </w:sdtContent>
            </w:sdt>
          </w:sdtContent>
        </w:sdt>
        <w:p w:rsidR="00072EB8" w:rsidRDefault="00072EB8" w:rsidP="00072EB8">
          <w:pPr>
            <w:pStyle w:val="TOCHeading"/>
          </w:pPr>
        </w:p>
        <w:p w:rsidR="00C231BA" w:rsidRPr="00123C62" w:rsidRDefault="00C4766F" w:rsidP="00552045">
          <w:pPr>
            <w:spacing w:before="120"/>
            <w:rPr>
              <w:lang w:val="en-GB"/>
            </w:rPr>
          </w:pPr>
        </w:p>
      </w:sdtContent>
    </w:sdt>
    <w:p w:rsidR="00C365FD" w:rsidRDefault="00C365FD" w:rsidP="00C365FD">
      <w:pPr>
        <w:rPr>
          <w:sz w:val="40"/>
          <w:szCs w:val="40"/>
          <w:lang w:val="en-GB"/>
        </w:rPr>
      </w:pPr>
      <w:bookmarkStart w:id="1" w:name="_Toc476045127"/>
      <w:bookmarkStart w:id="2" w:name="_Toc502916127"/>
    </w:p>
    <w:p w:rsidR="00C365FD" w:rsidRDefault="00F23B0F" w:rsidP="0095131F">
      <w:pPr>
        <w:pStyle w:val="Heading1"/>
        <w:contextualSpacing w:val="0"/>
        <w:rPr>
          <w:lang w:val="en-GB"/>
        </w:rPr>
      </w:pPr>
      <w:r>
        <w:rPr>
          <w:noProof/>
          <w:lang w:val="en-GB" w:eastAsia="en-GB"/>
        </w:rPr>
        <w:lastRenderedPageBreak/>
        <w:drawing>
          <wp:anchor distT="0" distB="0" distL="114300" distR="114300" simplePos="0" relativeHeight="251665408" behindDoc="1" locked="0" layoutInCell="1" allowOverlap="1" wp14:anchorId="1DDC6C93" wp14:editId="2C3DF981">
            <wp:simplePos x="0" y="0"/>
            <wp:positionH relativeFrom="column">
              <wp:posOffset>-583908</wp:posOffset>
            </wp:positionH>
            <wp:positionV relativeFrom="paragraph">
              <wp:posOffset>-741680</wp:posOffset>
            </wp:positionV>
            <wp:extent cx="7617600" cy="107640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01 - Communication and Visibility-01.png"/>
                    <pic:cNvPicPr/>
                  </pic:nvPicPr>
                  <pic:blipFill>
                    <a:blip r:embed="rId10">
                      <a:extLst>
                        <a:ext uri="{28A0092B-C50C-407E-A947-70E740481C1C}">
                          <a14:useLocalDpi xmlns:a14="http://schemas.microsoft.com/office/drawing/2010/main" val="0"/>
                        </a:ext>
                      </a:extLst>
                    </a:blip>
                    <a:stretch>
                      <a:fillRect/>
                    </a:stretch>
                  </pic:blipFill>
                  <pic:spPr>
                    <a:xfrm>
                      <a:off x="0" y="0"/>
                      <a:ext cx="7617600" cy="10764000"/>
                    </a:xfrm>
                    <a:prstGeom prst="rect">
                      <a:avLst/>
                    </a:prstGeom>
                  </pic:spPr>
                </pic:pic>
              </a:graphicData>
            </a:graphic>
            <wp14:sizeRelH relativeFrom="page">
              <wp14:pctWidth>0</wp14:pctWidth>
            </wp14:sizeRelH>
            <wp14:sizeRelV relativeFrom="page">
              <wp14:pctHeight>0</wp14:pctHeight>
            </wp14:sizeRelV>
          </wp:anchor>
        </w:drawing>
      </w:r>
    </w:p>
    <w:p w:rsidR="00C365FD" w:rsidRDefault="009626E3" w:rsidP="00C365FD">
      <w:pPr>
        <w:rPr>
          <w:sz w:val="40"/>
          <w:szCs w:val="40"/>
          <w:lang w:val="en-GB"/>
        </w:rPr>
      </w:pPr>
      <w:r w:rsidRPr="009626E3">
        <w:rPr>
          <w:noProof/>
          <w:lang w:val="en-GB" w:eastAsia="en-GB"/>
        </w:rPr>
        <mc:AlternateContent>
          <mc:Choice Requires="wps">
            <w:drawing>
              <wp:anchor distT="0" distB="0" distL="114300" distR="114300" simplePos="0" relativeHeight="251696128" behindDoc="0" locked="0" layoutInCell="1" allowOverlap="1" wp14:anchorId="1A8B5D4D" wp14:editId="6F871236">
                <wp:simplePos x="0" y="0"/>
                <wp:positionH relativeFrom="column">
                  <wp:posOffset>2156168</wp:posOffset>
                </wp:positionH>
                <wp:positionV relativeFrom="paragraph">
                  <wp:posOffset>8187690</wp:posOffset>
                </wp:positionV>
                <wp:extent cx="4818380" cy="969645"/>
                <wp:effectExtent l="0" t="0" r="0" b="19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969645"/>
                        </a:xfrm>
                        <a:prstGeom prst="rect">
                          <a:avLst/>
                        </a:prstGeom>
                        <a:noFill/>
                        <a:ln w="9525">
                          <a:noFill/>
                          <a:miter lim="800000"/>
                          <a:headEnd/>
                          <a:tailEnd/>
                        </a:ln>
                      </wps:spPr>
                      <wps:txbx>
                        <w:txbxContent>
                          <w:p w:rsidR="00072EB8" w:rsidRDefault="00072EB8" w:rsidP="009626E3">
                            <w:pPr>
                              <w:spacing w:before="0" w:line="276" w:lineRule="auto"/>
                              <w:jc w:val="left"/>
                              <w:rPr>
                                <w:color w:val="FFFFFF" w:themeColor="background1"/>
                                <w:sz w:val="54"/>
                                <w:szCs w:val="54"/>
                                <w:lang w:val="en-GB"/>
                              </w:rPr>
                            </w:pPr>
                          </w:p>
                          <w:p w:rsidR="00072EB8" w:rsidRPr="00E52AE8" w:rsidRDefault="00072EB8" w:rsidP="009626E3">
                            <w:pPr>
                              <w:spacing w:before="0" w:line="276" w:lineRule="auto"/>
                              <w:jc w:val="left"/>
                              <w:rPr>
                                <w:color w:val="FFFFFF" w:themeColor="background1"/>
                                <w:sz w:val="54"/>
                                <w:szCs w:val="54"/>
                                <w:lang w:val="fr-BE"/>
                              </w:rPr>
                            </w:pPr>
                            <w:r w:rsidRPr="00072EB8">
                              <w:rPr>
                                <w:color w:val="FFFFFF" w:themeColor="background1"/>
                                <w:sz w:val="54"/>
                                <w:szCs w:val="54"/>
                                <w:lang w:val="pt-PT"/>
                              </w:rPr>
                              <w:t>Introdução</w:t>
                            </w:r>
                            <w:r>
                              <w:rPr>
                                <w:color w:val="FFFFFF" w:themeColor="background1"/>
                                <w:sz w:val="54"/>
                                <w:szCs w:val="5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9.8pt;margin-top:644.7pt;width:379.4pt;height:7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" filled="f" stroked="f">
                <v:textbox>
                  <w:txbxContent>
                    <w:p w:rsidR="00072EB8" w:rsidRDefault="00072EB8" w:rsidP="009626E3">
                      <w:pPr>
                        <w:spacing w:before="0" w:line="276" w:lineRule="auto"/>
                        <w:jc w:val="left"/>
                        <w:rPr>
                          <w:color w:val="FFFFFF" w:themeColor="background1"/>
                          <w:sz w:val="54"/>
                          <w:szCs w:val="54"/>
                          <w:lang w:val="en-GB"/>
                        </w:rPr>
                      </w:pPr>
                    </w:p>
                    <w:p w:rsidR="00072EB8" w:rsidRPr="00E52AE8" w:rsidRDefault="00072EB8" w:rsidP="009626E3">
                      <w:pPr>
                        <w:spacing w:before="0" w:line="276" w:lineRule="auto"/>
                        <w:jc w:val="left"/>
                        <w:rPr>
                          <w:color w:val="FFFFFF" w:themeColor="background1"/>
                          <w:sz w:val="54"/>
                          <w:szCs w:val="54"/>
                          <w:lang w:val="fr-BE"/>
                        </w:rPr>
                      </w:pPr>
                      <w:r w:rsidRPr="00072EB8">
                        <w:rPr>
                          <w:color w:val="FFFFFF" w:themeColor="background1"/>
                          <w:sz w:val="54"/>
                          <w:szCs w:val="54"/>
                          <w:lang w:val="pt-PT"/>
                        </w:rPr>
                        <w:t>Introdução</w:t>
                      </w:r>
                      <w:r>
                        <w:rPr>
                          <w:color w:val="FFFFFF" w:themeColor="background1"/>
                          <w:sz w:val="54"/>
                          <w:szCs w:val="54"/>
                          <w:lang w:val="en-GB"/>
                        </w:rPr>
                        <w:t xml:space="preserve">  </w:t>
                      </w:r>
                    </w:p>
                  </w:txbxContent>
                </v:textbox>
              </v:shape>
            </w:pict>
          </mc:Fallback>
        </mc:AlternateContent>
      </w:r>
      <w:r w:rsidRPr="009626E3">
        <w:rPr>
          <w:noProof/>
          <w:lang w:val="en-GB" w:eastAsia="en-GB"/>
        </w:rPr>
        <mc:AlternateContent>
          <mc:Choice Requires="wps">
            <w:drawing>
              <wp:anchor distT="0" distB="0" distL="114300" distR="114300" simplePos="0" relativeHeight="251695104" behindDoc="0" locked="0" layoutInCell="1" allowOverlap="1" wp14:anchorId="2BD28726" wp14:editId="46977513">
                <wp:simplePos x="0" y="0"/>
                <wp:positionH relativeFrom="column">
                  <wp:posOffset>-231775</wp:posOffset>
                </wp:positionH>
                <wp:positionV relativeFrom="paragraph">
                  <wp:posOffset>6804025</wp:posOffset>
                </wp:positionV>
                <wp:extent cx="2780030" cy="263715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637155"/>
                        </a:xfrm>
                        <a:prstGeom prst="rect">
                          <a:avLst/>
                        </a:prstGeom>
                        <a:noFill/>
                        <a:ln w="9525">
                          <a:noFill/>
                          <a:miter lim="800000"/>
                          <a:headEnd/>
                          <a:tailEnd/>
                        </a:ln>
                      </wps:spPr>
                      <wps:txbx>
                        <w:txbxContent>
                          <w:p w:rsidR="00072EB8" w:rsidRPr="00D119CF" w:rsidRDefault="00072EB8" w:rsidP="009626E3">
                            <w:pPr>
                              <w:rPr>
                                <w:color w:val="FFFFFF" w:themeColor="background1"/>
                                <w:sz w:val="340"/>
                                <w:szCs w:val="340"/>
                                <w:lang w:val="fr-BE"/>
                              </w:rPr>
                            </w:pPr>
                            <w:r>
                              <w:rPr>
                                <w:color w:val="FFFFFF" w:themeColor="background1"/>
                                <w:sz w:val="340"/>
                                <w:szCs w:val="340"/>
                                <w:lang w:val="fr-BE"/>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25pt;margin-top:535.75pt;width:218.9pt;height:20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" filled="f" stroked="f">
                <v:textbox>
                  <w:txbxContent>
                    <w:p w:rsidR="00072EB8" w:rsidRPr="00D119CF" w:rsidRDefault="00072EB8" w:rsidP="009626E3">
                      <w:pPr>
                        <w:rPr>
                          <w:color w:val="FFFFFF" w:themeColor="background1"/>
                          <w:sz w:val="340"/>
                          <w:szCs w:val="340"/>
                          <w:lang w:val="fr-BE"/>
                        </w:rPr>
                      </w:pPr>
                      <w:r>
                        <w:rPr>
                          <w:color w:val="FFFFFF" w:themeColor="background1"/>
                          <w:sz w:val="340"/>
                          <w:szCs w:val="340"/>
                          <w:lang w:val="fr-BE"/>
                        </w:rPr>
                        <w:t>01</w:t>
                      </w:r>
                    </w:p>
                  </w:txbxContent>
                </v:textbox>
              </v:shape>
            </w:pict>
          </mc:Fallback>
        </mc:AlternateContent>
      </w:r>
      <w:r w:rsidR="00C365FD">
        <w:rPr>
          <w:lang w:val="en-GB"/>
        </w:rPr>
        <w:br w:type="page"/>
      </w:r>
    </w:p>
    <w:bookmarkEnd w:id="1"/>
    <w:bookmarkEnd w:id="2"/>
    <w:p w:rsidR="00072D45" w:rsidRPr="00072EB8" w:rsidRDefault="00072EB8" w:rsidP="0095131F">
      <w:pPr>
        <w:pStyle w:val="Heading1"/>
        <w:contextualSpacing w:val="0"/>
        <w:rPr>
          <w:lang w:val="pt-PT"/>
        </w:rPr>
      </w:pPr>
      <w:r w:rsidRPr="00072EB8">
        <w:rPr>
          <w:lang w:val="pt-PT"/>
        </w:rPr>
        <w:lastRenderedPageBreak/>
        <w:t>Introdução</w:t>
      </w:r>
      <w:r>
        <w:rPr>
          <w:lang w:val="pt-PT"/>
        </w:rPr>
        <w:t xml:space="preserve"> </w:t>
      </w:r>
      <w:r w:rsidRPr="00072EB8">
        <w:rPr>
          <w:lang w:val="pt-PT"/>
        </w:rPr>
        <w:t xml:space="preserve"> </w:t>
      </w:r>
      <w:r w:rsidR="007E75A1" w:rsidRPr="00072EB8">
        <w:rPr>
          <w:lang w:val="pt-PT"/>
        </w:rPr>
        <w:t xml:space="preserve"> </w:t>
      </w:r>
    </w:p>
    <w:p w:rsidR="00072EB8" w:rsidRPr="00072EB8" w:rsidRDefault="00072EB8" w:rsidP="00072EB8">
      <w:pPr>
        <w:rPr>
          <w:lang w:val="pt-PT"/>
        </w:rPr>
      </w:pPr>
      <w:r w:rsidRPr="00072EB8">
        <w:rPr>
          <w:lang w:val="pt-PT"/>
        </w:rPr>
        <w:t>A União Europeia (UE) financia operações fora das suas fronteiras (conhecidas como «ações externas») em resposta aos desafios e às crises internacionais e por forma a projetar os seus valores, reduzir a pobreza e contribuir para a paz e a prosperidade no mundo.</w:t>
      </w:r>
      <w:r>
        <w:rPr>
          <w:highlight w:val="white"/>
          <w:vertAlign w:val="superscript"/>
        </w:rPr>
        <w:footnoteReference w:id="2"/>
      </w:r>
    </w:p>
    <w:p w:rsidR="00072EB8" w:rsidRPr="00072EB8" w:rsidRDefault="00072EB8" w:rsidP="00072EB8">
      <w:pPr>
        <w:rPr>
          <w:lang w:val="pt-PT"/>
        </w:rPr>
      </w:pPr>
      <w:r w:rsidRPr="00072EB8">
        <w:rPr>
          <w:lang w:val="pt-PT"/>
        </w:rPr>
        <w:t>Uma comunicação eficaz destas operações ajuda a sensibilizar para as políticas e ações externas da União no seu papel de interveniente global</w:t>
      </w:r>
      <w:r>
        <w:rPr>
          <w:lang w:val="pt-PT"/>
        </w:rPr>
        <w:t xml:space="preserve">, assegurando </w:t>
      </w:r>
      <w:r w:rsidRPr="00072EB8">
        <w:rPr>
          <w:lang w:val="pt-PT"/>
        </w:rPr>
        <w:t>a responsabilização e a transparência na utilização dos fundos da UE perante os contribuintes e os cidadãos dos países parceiros.</w:t>
      </w:r>
    </w:p>
    <w:p w:rsidR="00072EB8" w:rsidRPr="00072EB8" w:rsidRDefault="00072EB8" w:rsidP="00072EB8">
      <w:pPr>
        <w:rPr>
          <w:lang w:val="pt-PT"/>
        </w:rPr>
      </w:pPr>
      <w:r w:rsidRPr="00072EB8">
        <w:rPr>
          <w:lang w:val="pt-PT"/>
        </w:rPr>
        <w:t>Os presentes requisitos relativos à comunicação e visibilidade (doravante «requisitos») têm como objetivo geral assegurar que qualquer comunicação sobre ações externas financiadas pela UE é coerente com os valores e as prioridades políticas da União e com outras atividades de comunicação ou eventos relacionados com a UE.</w:t>
      </w:r>
    </w:p>
    <w:p w:rsidR="00072EB8" w:rsidRPr="00072EB8" w:rsidRDefault="00072EB8" w:rsidP="00072EB8">
      <w:pPr>
        <w:rPr>
          <w:lang w:val="pt-PT"/>
        </w:rPr>
      </w:pPr>
      <w:r w:rsidRPr="00072EB8">
        <w:rPr>
          <w:lang w:val="pt-PT"/>
        </w:rPr>
        <w:t>Mais especificamente, os requisitos foram concebidos para assegurar que as ações externas financiadas</w:t>
      </w:r>
      <w:r>
        <w:rPr>
          <w:lang w:val="pt-PT"/>
        </w:rPr>
        <w:t>,</w:t>
      </w:r>
      <w:r w:rsidRPr="00072EB8">
        <w:rPr>
          <w:lang w:val="pt-PT"/>
        </w:rPr>
        <w:t xml:space="preserve"> total ou parcialmente</w:t>
      </w:r>
      <w:r>
        <w:rPr>
          <w:lang w:val="pt-PT"/>
        </w:rPr>
        <w:t>,</w:t>
      </w:r>
      <w:r w:rsidRPr="00072EB8">
        <w:rPr>
          <w:lang w:val="pt-PT"/>
        </w:rPr>
        <w:t xml:space="preserve"> pela UE</w:t>
      </w:r>
      <w:r>
        <w:rPr>
          <w:vertAlign w:val="superscript"/>
        </w:rPr>
        <w:footnoteReference w:id="3"/>
      </w:r>
      <w:r w:rsidRPr="00072EB8">
        <w:rPr>
          <w:lang w:val="pt-PT"/>
        </w:rPr>
        <w:t xml:space="preserve"> incluem medidas de informação e comunicação destinadas a informar o público em geral ou públicos-alvo específicos acerca das razões que motivaram a ação, do apoio da UE ao país ou região em causa, bem como dos resultados e do impacto desse apoio.</w:t>
      </w:r>
    </w:p>
    <w:p w:rsidR="00072EB8" w:rsidRPr="00072EB8" w:rsidRDefault="00072EB8" w:rsidP="00072EB8">
      <w:pPr>
        <w:rPr>
          <w:color w:val="auto"/>
          <w:lang w:val="pt-PT"/>
        </w:rPr>
      </w:pPr>
      <w:r w:rsidRPr="00072EB8">
        <w:rPr>
          <w:color w:val="auto"/>
          <w:lang w:val="pt-PT"/>
        </w:rPr>
        <w:t xml:space="preserve">Os países parceiros que recebem apoio orçamental da União, assim como as organizações e agências internacionais que celebraram acordos-quadro ou acordos de delegação com a UE, são remetidos para as disposições relativas à comunicação e visibilidade desses acordos. Ainda que o presente documento possa constituir uma orientação adicional útil nesses casos, quando as suas disposições são incompatíveis com as disposições dos referidos acordos, são estas últimas que prevalecem. </w:t>
      </w:r>
    </w:p>
    <w:p w:rsidR="00072EB8" w:rsidRPr="00072EB8" w:rsidRDefault="00072EB8" w:rsidP="00072EB8">
      <w:pPr>
        <w:rPr>
          <w:color w:val="auto"/>
          <w:lang w:val="pt-PT"/>
        </w:rPr>
      </w:pPr>
      <w:r w:rsidRPr="00072EB8">
        <w:rPr>
          <w:color w:val="auto"/>
          <w:lang w:val="pt-PT"/>
        </w:rPr>
        <w:t>Assim, os requisitos aplicam-se sobretudo a projetos, ou seja, subvenções, serviços, fornecimentos e contratos de obras públicas financiados pela UE e adjudicados a parceiros de execução</w:t>
      </w:r>
      <w:r>
        <w:rPr>
          <w:color w:val="auto"/>
          <w:vertAlign w:val="superscript"/>
        </w:rPr>
        <w:footnoteReference w:id="4"/>
      </w:r>
      <w:r w:rsidRPr="00072EB8">
        <w:rPr>
          <w:color w:val="auto"/>
          <w:lang w:val="pt-PT"/>
        </w:rPr>
        <w:t xml:space="preserve">, sejam estes geridos pela UE ou por outras partes. Os parceiros que executam estas ações externas financiadas pela UE são responsáveis por publicitar estas ações e, de uma forma mais geral, o apoio prestado pela UE. </w:t>
      </w:r>
    </w:p>
    <w:p w:rsidR="00072EB8" w:rsidRPr="00072EB8" w:rsidRDefault="00072EB8" w:rsidP="00072EB8">
      <w:pPr>
        <w:rPr>
          <w:lang w:val="pt-PT"/>
        </w:rPr>
      </w:pPr>
      <w:r w:rsidRPr="00072EB8">
        <w:rPr>
          <w:color w:val="auto"/>
          <w:lang w:val="pt-PT"/>
        </w:rPr>
        <w:t xml:space="preserve">O presente documento descreve as obrigações jurídicas dos parceiros e os elementos obrigatórios das medidas de comunicação e visibilidade que devem acompanhar todas as ações externas financiadas pela UE. </w:t>
      </w:r>
      <w:r w:rsidRPr="00072EB8">
        <w:rPr>
          <w:lang w:val="pt-PT"/>
        </w:rPr>
        <w:t xml:space="preserve">Salvo disposições explícitas em contrário nos acordos e contratos, o presente documento constitui assim um quadro contratualmente vinculativo, aplicável a todos os acordos e contratos de financiamento </w:t>
      </w:r>
      <w:r w:rsidRPr="00072EB8">
        <w:rPr>
          <w:lang w:val="pt-PT"/>
        </w:rPr>
        <w:lastRenderedPageBreak/>
        <w:t xml:space="preserve">(incluindo os celebrados com subcontratantes) que façam referência aos requisitos, independentemente da autoridade adjudicante. </w:t>
      </w:r>
    </w:p>
    <w:p w:rsidR="00072EB8" w:rsidRPr="00072EB8" w:rsidRDefault="00072EB8" w:rsidP="00072EB8">
      <w:pPr>
        <w:rPr>
          <w:color w:val="auto"/>
          <w:sz w:val="18"/>
          <w:szCs w:val="18"/>
          <w:lang w:val="pt-PT"/>
        </w:rPr>
      </w:pPr>
      <w:r w:rsidRPr="00072EB8">
        <w:rPr>
          <w:color w:val="auto"/>
          <w:lang w:val="pt-PT"/>
        </w:rPr>
        <w:t xml:space="preserve">Os requisitos incluem ligações a outros documentos que os acompanham e que fornecem orientações complementares, bem como um modelo a utilizar no planeamento e na execução das medidas de comunicação realçando o apoio financeiro da UE. </w:t>
      </w:r>
    </w:p>
    <w:p w:rsidR="00072EB8" w:rsidRPr="00072EB8" w:rsidRDefault="00072EB8" w:rsidP="00072EB8">
      <w:pPr>
        <w:rPr>
          <w:lang w:val="pt-PT"/>
        </w:rPr>
      </w:pPr>
      <w:r w:rsidRPr="00072EB8">
        <w:rPr>
          <w:lang w:val="pt-PT"/>
        </w:rPr>
        <w:t xml:space="preserve">As referências no presente documento a «União Europeia», «União» ou «UE» dizem respeito à delegação da UE ou ao departamento da Comissão Europeia responsável pela ação financiada pela UE em causa. Todas as atividades de comunicação e visibilidade relacionadas com ações financiadas pela UE devem ser realizadas em estreita cooperação e coordenação com a delegação da UE ou com o departamento da Comissão Europeia competente. No caso de iniciativas regionais que abranjam vários países, para além da delegação ou do departamento principal, as delegações dos vários países envolvidos devem ser chamadas a participar. </w:t>
      </w:r>
    </w:p>
    <w:p w:rsidR="00072EB8" w:rsidRPr="00072EB8" w:rsidRDefault="00072EB8" w:rsidP="00072EB8">
      <w:pPr>
        <w:rPr>
          <w:lang w:val="pt-PT"/>
        </w:rPr>
      </w:pPr>
      <w:r w:rsidRPr="00072EB8">
        <w:rPr>
          <w:lang w:val="pt-PT"/>
        </w:rPr>
        <w:t xml:space="preserve">O presente documento substitui o «Manual de Comunicação e Visibilidade para Ações Externas da União Europeia» de 2010 e quaisquer outras orientações de comunicação e </w:t>
      </w:r>
      <w:proofErr w:type="gramStart"/>
      <w:r w:rsidRPr="00072EB8">
        <w:rPr>
          <w:lang w:val="pt-PT"/>
        </w:rPr>
        <w:t>visibilidade relativas</w:t>
      </w:r>
      <w:proofErr w:type="gramEnd"/>
      <w:r w:rsidRPr="00072EB8">
        <w:rPr>
          <w:lang w:val="pt-PT"/>
        </w:rPr>
        <w:t xml:space="preserve"> à ação externa financiada pela UE publicadas anteriormente por departamentos individuais da UE. Todas as referências ao manual de 2010 ou a outras orientações de comunicação e visibilidade, que possam constar das condições gerais e de outra documentação contratual de subvenções ou acordos celebrados entre a UE e países terceiros após a publicação dos presentes requisitos, </w:t>
      </w:r>
      <w:r w:rsidRPr="00EE42F7">
        <w:rPr>
          <w:lang w:val="pt-PT"/>
        </w:rPr>
        <w:t>devem ser consideradas referências aos presentes requisitos.</w:t>
      </w:r>
    </w:p>
    <w:p w:rsidR="001879F0" w:rsidRPr="00072EB8" w:rsidRDefault="001879F0" w:rsidP="00ED333F">
      <w:pPr>
        <w:rPr>
          <w:lang w:val="pt-PT"/>
        </w:rPr>
      </w:pPr>
    </w:p>
    <w:p w:rsidR="00072D45" w:rsidRPr="00072EB8" w:rsidRDefault="000E6A3F">
      <w:pPr>
        <w:rPr>
          <w:lang w:val="pt-PT"/>
        </w:rPr>
      </w:pPr>
      <w:r w:rsidRPr="00072EB8">
        <w:rPr>
          <w:lang w:val="pt-PT"/>
        </w:rPr>
        <w:br w:type="page"/>
      </w:r>
    </w:p>
    <w:p w:rsidR="00347F26" w:rsidRPr="00072EB8" w:rsidRDefault="00F23B0F" w:rsidP="00AE3166">
      <w:pPr>
        <w:pStyle w:val="Heading1"/>
        <w:spacing w:before="200"/>
        <w:contextualSpacing w:val="0"/>
        <w:rPr>
          <w:lang w:val="pt-PT"/>
        </w:rPr>
      </w:pPr>
      <w:bookmarkStart w:id="3" w:name="_Toc476045128"/>
      <w:bookmarkStart w:id="4" w:name="_Toc502916128"/>
      <w:r>
        <w:rPr>
          <w:noProof/>
          <w:lang w:val="en-GB" w:eastAsia="en-GB"/>
        </w:rPr>
        <w:lastRenderedPageBreak/>
        <w:drawing>
          <wp:anchor distT="0" distB="0" distL="114300" distR="114300" simplePos="0" relativeHeight="251670528" behindDoc="1" locked="0" layoutInCell="1" allowOverlap="1" wp14:anchorId="6DEBCD24" wp14:editId="0A29D73E">
            <wp:simplePos x="0" y="0"/>
            <wp:positionH relativeFrom="column">
              <wp:posOffset>-570675</wp:posOffset>
            </wp:positionH>
            <wp:positionV relativeFrom="paragraph">
              <wp:posOffset>-744220</wp:posOffset>
            </wp:positionV>
            <wp:extent cx="7617460" cy="1076388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02 - Communication and Visibility-01.png"/>
                    <pic:cNvPicPr/>
                  </pic:nvPicPr>
                  <pic:blipFill>
                    <a:blip r:embed="rId11">
                      <a:extLst>
                        <a:ext uri="{28A0092B-C50C-407E-A947-70E740481C1C}">
                          <a14:useLocalDpi xmlns:a14="http://schemas.microsoft.com/office/drawing/2010/main" val="0"/>
                        </a:ext>
                      </a:extLst>
                    </a:blip>
                    <a:stretch>
                      <a:fillRect/>
                    </a:stretch>
                  </pic:blipFill>
                  <pic:spPr>
                    <a:xfrm>
                      <a:off x="0" y="0"/>
                      <a:ext cx="7617460" cy="10763885"/>
                    </a:xfrm>
                    <a:prstGeom prst="rect">
                      <a:avLst/>
                    </a:prstGeom>
                  </pic:spPr>
                </pic:pic>
              </a:graphicData>
            </a:graphic>
            <wp14:sizeRelH relativeFrom="page">
              <wp14:pctWidth>0</wp14:pctWidth>
            </wp14:sizeRelH>
            <wp14:sizeRelV relativeFrom="page">
              <wp14:pctHeight>0</wp14:pctHeight>
            </wp14:sizeRelV>
          </wp:anchor>
        </w:drawing>
      </w:r>
    </w:p>
    <w:p w:rsidR="00347F26" w:rsidRPr="00072EB8" w:rsidRDefault="009626E3" w:rsidP="00347F26">
      <w:pPr>
        <w:rPr>
          <w:sz w:val="40"/>
          <w:szCs w:val="40"/>
          <w:lang w:val="pt-PT"/>
        </w:rPr>
      </w:pPr>
      <w:r w:rsidRPr="00E52AE8">
        <w:rPr>
          <w:noProof/>
          <w:lang w:val="en-GB" w:eastAsia="en-GB"/>
        </w:rPr>
        <mc:AlternateContent>
          <mc:Choice Requires="wps">
            <w:drawing>
              <wp:anchor distT="0" distB="0" distL="114300" distR="114300" simplePos="0" relativeHeight="251672576" behindDoc="0" locked="0" layoutInCell="1" allowOverlap="1" wp14:anchorId="02330E10" wp14:editId="7BAF398D">
                <wp:simplePos x="0" y="0"/>
                <wp:positionH relativeFrom="column">
                  <wp:posOffset>-241935</wp:posOffset>
                </wp:positionH>
                <wp:positionV relativeFrom="paragraph">
                  <wp:posOffset>6612255</wp:posOffset>
                </wp:positionV>
                <wp:extent cx="2780030" cy="26371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637155"/>
                        </a:xfrm>
                        <a:prstGeom prst="rect">
                          <a:avLst/>
                        </a:prstGeom>
                        <a:noFill/>
                        <a:ln w="9525">
                          <a:noFill/>
                          <a:miter lim="800000"/>
                          <a:headEnd/>
                          <a:tailEnd/>
                        </a:ln>
                      </wps:spPr>
                      <wps:txbx>
                        <w:txbxContent>
                          <w:p w:rsidR="00072EB8" w:rsidRPr="00D119CF" w:rsidRDefault="00072EB8" w:rsidP="00E52AE8">
                            <w:pPr>
                              <w:rPr>
                                <w:color w:val="FFFFFF" w:themeColor="background1"/>
                                <w:sz w:val="340"/>
                                <w:szCs w:val="340"/>
                                <w:lang w:val="fr-BE"/>
                              </w:rPr>
                            </w:pPr>
                            <w:r>
                              <w:rPr>
                                <w:color w:val="FFFFFF" w:themeColor="background1"/>
                                <w:sz w:val="340"/>
                                <w:szCs w:val="340"/>
                                <w:lang w:val="fr-BE"/>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05pt;margin-top:520.65pt;width:218.9pt;height:20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" filled="f" stroked="f">
                <v:textbox>
                  <w:txbxContent>
                    <w:p w:rsidR="00072EB8" w:rsidRPr="00D119CF" w:rsidRDefault="00072EB8" w:rsidP="00E52AE8">
                      <w:pPr>
                        <w:rPr>
                          <w:color w:val="FFFFFF" w:themeColor="background1"/>
                          <w:sz w:val="340"/>
                          <w:szCs w:val="340"/>
                          <w:lang w:val="fr-BE"/>
                        </w:rPr>
                      </w:pPr>
                      <w:r>
                        <w:rPr>
                          <w:color w:val="FFFFFF" w:themeColor="background1"/>
                          <w:sz w:val="340"/>
                          <w:szCs w:val="340"/>
                          <w:lang w:val="fr-BE"/>
                        </w:rPr>
                        <w:t>02</w:t>
                      </w:r>
                    </w:p>
                  </w:txbxContent>
                </v:textbox>
              </v:shape>
            </w:pict>
          </mc:Fallback>
        </mc:AlternateContent>
      </w:r>
      <w:r w:rsidRPr="00E52AE8">
        <w:rPr>
          <w:noProof/>
          <w:lang w:val="en-GB" w:eastAsia="en-GB"/>
        </w:rPr>
        <mc:AlternateContent>
          <mc:Choice Requires="wps">
            <w:drawing>
              <wp:anchor distT="0" distB="0" distL="114300" distR="114300" simplePos="0" relativeHeight="251673600" behindDoc="0" locked="0" layoutInCell="1" allowOverlap="1" wp14:anchorId="0C3FC9D8" wp14:editId="062F1201">
                <wp:simplePos x="0" y="0"/>
                <wp:positionH relativeFrom="column">
                  <wp:posOffset>2259330</wp:posOffset>
                </wp:positionH>
                <wp:positionV relativeFrom="paragraph">
                  <wp:posOffset>7996212</wp:posOffset>
                </wp:positionV>
                <wp:extent cx="4818380" cy="969645"/>
                <wp:effectExtent l="0" t="0" r="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969645"/>
                        </a:xfrm>
                        <a:prstGeom prst="rect">
                          <a:avLst/>
                        </a:prstGeom>
                        <a:noFill/>
                        <a:ln w="9525">
                          <a:noFill/>
                          <a:miter lim="800000"/>
                          <a:headEnd/>
                          <a:tailEnd/>
                        </a:ln>
                      </wps:spPr>
                      <wps:txbx>
                        <w:txbxContent>
                          <w:p w:rsidR="00072EB8" w:rsidRPr="00E52AE8" w:rsidRDefault="00D81627" w:rsidP="00E52AE8">
                            <w:pPr>
                              <w:spacing w:before="0" w:line="276" w:lineRule="auto"/>
                              <w:jc w:val="left"/>
                              <w:rPr>
                                <w:color w:val="FFFFFF" w:themeColor="background1"/>
                                <w:sz w:val="54"/>
                                <w:szCs w:val="54"/>
                                <w:lang w:val="fr-BE"/>
                              </w:rPr>
                            </w:pPr>
                            <w:proofErr w:type="spellStart"/>
                            <w:r>
                              <w:rPr>
                                <w:color w:val="FFFFFF" w:themeColor="background1"/>
                                <w:sz w:val="54"/>
                                <w:szCs w:val="54"/>
                                <w:lang w:val="en-GB"/>
                              </w:rPr>
                              <w:t>Planear</w:t>
                            </w:r>
                            <w:proofErr w:type="spellEnd"/>
                            <w:r>
                              <w:rPr>
                                <w:color w:val="FFFFFF" w:themeColor="background1"/>
                                <w:sz w:val="54"/>
                                <w:szCs w:val="54"/>
                                <w:lang w:val="en-GB"/>
                              </w:rPr>
                              <w:t xml:space="preserve"> a </w:t>
                            </w:r>
                            <w:r w:rsidRPr="00D81627">
                              <w:rPr>
                                <w:color w:val="FFFFFF" w:themeColor="background1"/>
                                <w:sz w:val="54"/>
                                <w:szCs w:val="54"/>
                                <w:lang w:val="pt-PT"/>
                              </w:rPr>
                              <w:t>comunicação</w:t>
                            </w:r>
                            <w:r>
                              <w:rPr>
                                <w:color w:val="FFFFFF" w:themeColor="background1"/>
                                <w:sz w:val="54"/>
                                <w:szCs w:val="54"/>
                                <w:lang w:val="en-GB"/>
                              </w:rPr>
                              <w:t xml:space="preserve"> e </w:t>
                            </w:r>
                            <w:proofErr w:type="spellStart"/>
                            <w:r>
                              <w:rPr>
                                <w:color w:val="FFFFFF" w:themeColor="background1"/>
                                <w:sz w:val="54"/>
                                <w:szCs w:val="54"/>
                                <w:lang w:val="en-GB"/>
                              </w:rPr>
                              <w:t>visibilidade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7.9pt;margin-top:629.6pt;width:379.4pt;height:7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" filled="f" stroked="f">
                <v:textbox>
                  <w:txbxContent>
                    <w:p w:rsidR="00072EB8" w:rsidRPr="00E52AE8" w:rsidRDefault="00D81627" w:rsidP="00E52AE8">
                      <w:pPr>
                        <w:spacing w:before="0" w:line="276" w:lineRule="auto"/>
                        <w:jc w:val="left"/>
                        <w:rPr>
                          <w:color w:val="FFFFFF" w:themeColor="background1"/>
                          <w:sz w:val="54"/>
                          <w:szCs w:val="54"/>
                          <w:lang w:val="fr-BE"/>
                        </w:rPr>
                      </w:pPr>
                      <w:r>
                        <w:rPr>
                          <w:color w:val="FFFFFF" w:themeColor="background1"/>
                          <w:sz w:val="54"/>
                          <w:szCs w:val="54"/>
                          <w:lang w:val="en-GB"/>
                        </w:rPr>
                        <w:t xml:space="preserve">Planear a </w:t>
                      </w:r>
                      <w:r w:rsidRPr="00D81627">
                        <w:rPr>
                          <w:color w:val="FFFFFF" w:themeColor="background1"/>
                          <w:sz w:val="54"/>
                          <w:szCs w:val="54"/>
                          <w:lang w:val="pt-PT"/>
                        </w:rPr>
                        <w:t>comunicação</w:t>
                      </w:r>
                      <w:r>
                        <w:rPr>
                          <w:color w:val="FFFFFF" w:themeColor="background1"/>
                          <w:sz w:val="54"/>
                          <w:szCs w:val="54"/>
                          <w:lang w:val="en-GB"/>
                        </w:rPr>
                        <w:t xml:space="preserve"> e visibilidade</w:t>
                      </w:r>
                    </w:p>
                  </w:txbxContent>
                </v:textbox>
              </v:shape>
            </w:pict>
          </mc:Fallback>
        </mc:AlternateContent>
      </w:r>
      <w:r w:rsidR="00347F26" w:rsidRPr="00072EB8">
        <w:rPr>
          <w:lang w:val="pt-PT"/>
        </w:rPr>
        <w:br w:type="page"/>
      </w:r>
    </w:p>
    <w:p w:rsidR="00072D45" w:rsidRPr="00D81627" w:rsidRDefault="000E6A3F" w:rsidP="002D3B8E">
      <w:pPr>
        <w:pStyle w:val="Heading2"/>
        <w:spacing w:before="200"/>
        <w:contextualSpacing w:val="0"/>
        <w:rPr>
          <w:sz w:val="40"/>
          <w:szCs w:val="40"/>
          <w:lang w:val="pt-PT"/>
        </w:rPr>
      </w:pPr>
      <w:bookmarkStart w:id="5" w:name="_Toc476045129"/>
      <w:bookmarkStart w:id="6" w:name="_Toc502916129"/>
      <w:bookmarkEnd w:id="3"/>
      <w:bookmarkEnd w:id="4"/>
      <w:r w:rsidRPr="00D81627">
        <w:rPr>
          <w:sz w:val="40"/>
          <w:szCs w:val="40"/>
          <w:lang w:val="pt-PT"/>
        </w:rPr>
        <w:lastRenderedPageBreak/>
        <w:t xml:space="preserve">2.1 </w:t>
      </w:r>
      <w:bookmarkEnd w:id="5"/>
      <w:bookmarkEnd w:id="6"/>
      <w:r w:rsidR="00D81627" w:rsidRPr="00D81627">
        <w:rPr>
          <w:sz w:val="40"/>
          <w:szCs w:val="40"/>
          <w:lang w:val="pt-PT"/>
        </w:rPr>
        <w:t>Critérios de planeamento</w:t>
      </w:r>
    </w:p>
    <w:p w:rsidR="00072D45" w:rsidRPr="00D81627" w:rsidRDefault="000E6A3F" w:rsidP="007F2944">
      <w:pPr>
        <w:pStyle w:val="Heading3"/>
        <w:contextualSpacing w:val="0"/>
        <w:rPr>
          <w:sz w:val="32"/>
          <w:szCs w:val="32"/>
          <w:lang w:val="pt-PT"/>
        </w:rPr>
      </w:pPr>
      <w:bookmarkStart w:id="7" w:name="_Toc476045130"/>
      <w:bookmarkStart w:id="8" w:name="_Toc502916130"/>
      <w:r w:rsidRPr="00D81627">
        <w:rPr>
          <w:sz w:val="32"/>
          <w:szCs w:val="32"/>
          <w:lang w:val="pt-PT"/>
        </w:rPr>
        <w:t xml:space="preserve">2.1.1 </w:t>
      </w:r>
      <w:bookmarkEnd w:id="7"/>
      <w:bookmarkEnd w:id="8"/>
      <w:r w:rsidR="00D81627" w:rsidRPr="00D81627">
        <w:rPr>
          <w:sz w:val="32"/>
          <w:szCs w:val="32"/>
          <w:lang w:val="pt-PT"/>
        </w:rPr>
        <w:t>Critérios de comunicação e visibilidade</w:t>
      </w:r>
    </w:p>
    <w:p w:rsidR="00D81627" w:rsidRPr="00D81627" w:rsidRDefault="00D81627" w:rsidP="00D81627">
      <w:pPr>
        <w:spacing w:after="120"/>
        <w:rPr>
          <w:lang w:val="pt-PT"/>
        </w:rPr>
      </w:pPr>
      <w:bookmarkStart w:id="9" w:name="_Toc494992769"/>
      <w:bookmarkStart w:id="10" w:name="_Toc502916131"/>
      <w:bookmarkStart w:id="11" w:name="_Toc476045131"/>
      <w:r w:rsidRPr="00D81627">
        <w:rPr>
          <w:lang w:val="pt-PT"/>
        </w:rPr>
        <w:t>As medidas de C&amp;V que acompanham as ações financiadas pela UE:</w:t>
      </w:r>
    </w:p>
    <w:p w:rsidR="00D81627" w:rsidRPr="00D81627" w:rsidRDefault="00D81627" w:rsidP="00D81627">
      <w:pPr>
        <w:numPr>
          <w:ilvl w:val="0"/>
          <w:numId w:val="18"/>
        </w:numPr>
        <w:ind w:left="816" w:hanging="357"/>
        <w:contextualSpacing/>
        <w:rPr>
          <w:color w:val="auto"/>
          <w:lang w:val="pt-PT"/>
        </w:rPr>
      </w:pPr>
      <w:r w:rsidRPr="00D81627">
        <w:rPr>
          <w:lang w:val="pt-PT"/>
        </w:rPr>
        <w:t>Devem ser concebidas como parte de um plano de comunicação e visibilidade estruturado, desenvolvido pelo parceiro em causa, que deve conter os seguintes elementos:</w:t>
      </w:r>
      <w:r w:rsidRPr="00D81627">
        <w:rPr>
          <w:color w:val="auto"/>
          <w:lang w:val="pt-PT"/>
        </w:rPr>
        <w:t xml:space="preserve"> </w:t>
      </w:r>
    </w:p>
    <w:p w:rsidR="00D81627" w:rsidRPr="00D81627" w:rsidRDefault="00D81627" w:rsidP="00D81627">
      <w:pPr>
        <w:pStyle w:val="ListParagraph"/>
        <w:numPr>
          <w:ilvl w:val="0"/>
          <w:numId w:val="19"/>
        </w:numPr>
        <w:spacing w:before="0"/>
        <w:rPr>
          <w:lang w:val="pt-PT"/>
        </w:rPr>
      </w:pPr>
      <w:proofErr w:type="gramStart"/>
      <w:r w:rsidRPr="00D81627">
        <w:rPr>
          <w:lang w:val="pt-PT"/>
        </w:rPr>
        <w:t>um</w:t>
      </w:r>
      <w:proofErr w:type="gramEnd"/>
      <w:r w:rsidRPr="00D81627">
        <w:rPr>
          <w:lang w:val="pt-PT"/>
        </w:rPr>
        <w:t xml:space="preserve"> objetivo de comunicação claro, </w:t>
      </w:r>
    </w:p>
    <w:p w:rsidR="00D81627" w:rsidRPr="00123C62" w:rsidRDefault="00D81627" w:rsidP="00D81627">
      <w:pPr>
        <w:pStyle w:val="ListParagraph"/>
        <w:numPr>
          <w:ilvl w:val="0"/>
          <w:numId w:val="19"/>
        </w:numPr>
      </w:pPr>
      <w:proofErr w:type="spellStart"/>
      <w:r>
        <w:t>públicos-alvo</w:t>
      </w:r>
      <w:proofErr w:type="spellEnd"/>
      <w:r>
        <w:t xml:space="preserve"> </w:t>
      </w:r>
      <w:proofErr w:type="spellStart"/>
      <w:r>
        <w:t>bem</w:t>
      </w:r>
      <w:proofErr w:type="spellEnd"/>
      <w:r>
        <w:t xml:space="preserve"> </w:t>
      </w:r>
      <w:proofErr w:type="spellStart"/>
      <w:r>
        <w:t>definidos</w:t>
      </w:r>
      <w:proofErr w:type="spellEnd"/>
      <w:r>
        <w:t xml:space="preserve">, </w:t>
      </w:r>
    </w:p>
    <w:p w:rsidR="00D81627" w:rsidRPr="00D81627" w:rsidRDefault="00D81627" w:rsidP="00D81627">
      <w:pPr>
        <w:pStyle w:val="ListParagraph"/>
        <w:numPr>
          <w:ilvl w:val="0"/>
          <w:numId w:val="19"/>
        </w:numPr>
        <w:ind w:left="1418" w:hanging="500"/>
        <w:rPr>
          <w:lang w:val="pt-PT"/>
        </w:rPr>
      </w:pPr>
      <w:proofErr w:type="gramStart"/>
      <w:r w:rsidRPr="00D81627">
        <w:rPr>
          <w:lang w:val="pt-PT"/>
        </w:rPr>
        <w:t>principais</w:t>
      </w:r>
      <w:proofErr w:type="gramEnd"/>
      <w:r w:rsidRPr="00D81627">
        <w:rPr>
          <w:lang w:val="pt-PT"/>
        </w:rPr>
        <w:t xml:space="preserve"> mensagens em consonância com os objetivos gerais da UE (e, sempre que possível, com as estratégias de comunicação) no país/região parceiro,</w:t>
      </w:r>
    </w:p>
    <w:p w:rsidR="00D81627" w:rsidRPr="00123C62" w:rsidRDefault="00D81627" w:rsidP="00D81627">
      <w:pPr>
        <w:pStyle w:val="ListParagraph"/>
        <w:numPr>
          <w:ilvl w:val="0"/>
          <w:numId w:val="19"/>
        </w:numPr>
      </w:pPr>
      <w:proofErr w:type="spellStart"/>
      <w:r>
        <w:t>um</w:t>
      </w:r>
      <w:proofErr w:type="spellEnd"/>
      <w:r>
        <w:t xml:space="preserve"> </w:t>
      </w:r>
      <w:proofErr w:type="spellStart"/>
      <w:r>
        <w:t>calendário</w:t>
      </w:r>
      <w:proofErr w:type="spellEnd"/>
      <w:r>
        <w:t xml:space="preserve">, </w:t>
      </w:r>
    </w:p>
    <w:p w:rsidR="00D81627" w:rsidRPr="00123C62" w:rsidRDefault="00D81627" w:rsidP="00D81627">
      <w:pPr>
        <w:pStyle w:val="ListParagraph"/>
        <w:numPr>
          <w:ilvl w:val="0"/>
          <w:numId w:val="19"/>
        </w:numPr>
      </w:pPr>
      <w:proofErr w:type="spellStart"/>
      <w:r>
        <w:t>um</w:t>
      </w:r>
      <w:proofErr w:type="spellEnd"/>
      <w:r>
        <w:t xml:space="preserve"> </w:t>
      </w:r>
      <w:proofErr w:type="spellStart"/>
      <w:r>
        <w:t>orçamento</w:t>
      </w:r>
      <w:proofErr w:type="spellEnd"/>
      <w:r>
        <w:t>,</w:t>
      </w:r>
    </w:p>
    <w:p w:rsidR="00D81627" w:rsidRPr="00D81627" w:rsidRDefault="00D81627" w:rsidP="00D81627">
      <w:pPr>
        <w:pStyle w:val="ListParagraph"/>
        <w:numPr>
          <w:ilvl w:val="0"/>
          <w:numId w:val="19"/>
        </w:numPr>
        <w:rPr>
          <w:lang w:val="pt-PT"/>
        </w:rPr>
      </w:pPr>
      <w:proofErr w:type="gramStart"/>
      <w:r w:rsidRPr="00D81627">
        <w:rPr>
          <w:lang w:val="pt-PT"/>
        </w:rPr>
        <w:t>canais</w:t>
      </w:r>
      <w:proofErr w:type="gramEnd"/>
      <w:r w:rsidRPr="00D81627">
        <w:rPr>
          <w:lang w:val="pt-PT"/>
        </w:rPr>
        <w:t xml:space="preserve"> de comunicação adequados ao contexto,</w:t>
      </w:r>
    </w:p>
    <w:p w:rsidR="00D81627" w:rsidRPr="00D81627" w:rsidRDefault="00D81627" w:rsidP="00D81627">
      <w:pPr>
        <w:pStyle w:val="ListParagraph"/>
        <w:numPr>
          <w:ilvl w:val="0"/>
          <w:numId w:val="19"/>
        </w:numPr>
        <w:rPr>
          <w:lang w:val="pt-PT"/>
        </w:rPr>
      </w:pPr>
      <w:proofErr w:type="gramStart"/>
      <w:r w:rsidRPr="00D81627">
        <w:rPr>
          <w:lang w:val="pt-PT"/>
        </w:rPr>
        <w:t>indicadores</w:t>
      </w:r>
      <w:proofErr w:type="gramEnd"/>
      <w:r w:rsidRPr="00D81627">
        <w:rPr>
          <w:lang w:val="pt-PT"/>
        </w:rPr>
        <w:t xml:space="preserve"> de monitorização e avaliação do êxito e alcance das atividades de C&amp;V,</w:t>
      </w:r>
    </w:p>
    <w:p w:rsidR="00D81627" w:rsidRPr="00D81627" w:rsidRDefault="00D81627" w:rsidP="00D81627">
      <w:pPr>
        <w:pStyle w:val="ListParagraph"/>
        <w:numPr>
          <w:ilvl w:val="0"/>
          <w:numId w:val="19"/>
        </w:numPr>
        <w:rPr>
          <w:lang w:val="pt-PT"/>
        </w:rPr>
      </w:pPr>
      <w:proofErr w:type="gramStart"/>
      <w:r w:rsidRPr="00D81627">
        <w:rPr>
          <w:lang w:val="pt-PT"/>
        </w:rPr>
        <w:t>um</w:t>
      </w:r>
      <w:proofErr w:type="gramEnd"/>
      <w:r w:rsidRPr="00D81627">
        <w:rPr>
          <w:lang w:val="pt-PT"/>
        </w:rPr>
        <w:t xml:space="preserve"> ponto de convergência de C&amp;V designado;</w:t>
      </w:r>
    </w:p>
    <w:p w:rsidR="00D81627" w:rsidRPr="00D81627" w:rsidRDefault="00D81627" w:rsidP="00D81627">
      <w:pPr>
        <w:numPr>
          <w:ilvl w:val="0"/>
          <w:numId w:val="18"/>
        </w:numPr>
        <w:spacing w:before="0"/>
        <w:ind w:left="816" w:hanging="357"/>
        <w:contextualSpacing/>
        <w:rPr>
          <w:lang w:val="pt-PT"/>
        </w:rPr>
      </w:pPr>
      <w:r w:rsidRPr="00D81627">
        <w:rPr>
          <w:lang w:val="pt-PT"/>
        </w:rPr>
        <w:t>Devem utilizar informações precisas e factuais;</w:t>
      </w:r>
    </w:p>
    <w:p w:rsidR="00D81627" w:rsidRPr="00D81627" w:rsidRDefault="00D81627" w:rsidP="00D81627">
      <w:pPr>
        <w:numPr>
          <w:ilvl w:val="0"/>
          <w:numId w:val="18"/>
        </w:numPr>
        <w:ind w:left="816" w:hanging="357"/>
        <w:contextualSpacing/>
        <w:rPr>
          <w:lang w:val="pt-PT"/>
        </w:rPr>
      </w:pPr>
      <w:r w:rsidRPr="00D81627">
        <w:rPr>
          <w:lang w:val="pt-PT"/>
        </w:rPr>
        <w:t>Devem ser planeadas e sequenciadas adequadamente, mas também devem tirar o máximo partido de quaisquer oportunidades adequadas que possam surgir;</w:t>
      </w:r>
    </w:p>
    <w:p w:rsidR="00D81627" w:rsidRPr="00D81627" w:rsidRDefault="00D81627" w:rsidP="00D81627">
      <w:pPr>
        <w:numPr>
          <w:ilvl w:val="0"/>
          <w:numId w:val="18"/>
        </w:numPr>
        <w:ind w:left="816" w:hanging="357"/>
        <w:contextualSpacing/>
        <w:rPr>
          <w:lang w:val="pt-PT"/>
        </w:rPr>
      </w:pPr>
      <w:r w:rsidRPr="00D81627">
        <w:rPr>
          <w:lang w:val="pt-PT"/>
        </w:rPr>
        <w:t>Devem centrar-se nas pessoas, adotando, quando adequado, uma abordagem narrativa, que enfatize o impacto da ação na vida dos indivíduos e não as metas administrativas ou orçamentais;</w:t>
      </w:r>
      <w:r w:rsidRPr="00D81627">
        <w:rPr>
          <w:vertAlign w:val="superscript"/>
          <w:lang w:val="pt-PT"/>
        </w:rPr>
        <w:t xml:space="preserve"> </w:t>
      </w:r>
    </w:p>
    <w:p w:rsidR="00D81627" w:rsidRPr="00D81627" w:rsidRDefault="00D81627" w:rsidP="00D81627">
      <w:pPr>
        <w:numPr>
          <w:ilvl w:val="0"/>
          <w:numId w:val="18"/>
        </w:numPr>
        <w:ind w:left="816" w:hanging="357"/>
        <w:contextualSpacing/>
        <w:rPr>
          <w:lang w:val="pt-PT"/>
        </w:rPr>
      </w:pPr>
      <w:r w:rsidRPr="00D81627">
        <w:rPr>
          <w:lang w:val="pt-PT"/>
        </w:rPr>
        <w:t xml:space="preserve">Devem incluir o contexto, os costumes e as práticas locais, sem pôr em causa os valores fundamentais e os princípios da UE; </w:t>
      </w:r>
    </w:p>
    <w:p w:rsidR="00D81627" w:rsidRPr="00D81627" w:rsidRDefault="00D81627" w:rsidP="00D81627">
      <w:pPr>
        <w:numPr>
          <w:ilvl w:val="0"/>
          <w:numId w:val="18"/>
        </w:numPr>
        <w:ind w:hanging="360"/>
        <w:contextualSpacing/>
        <w:rPr>
          <w:lang w:val="pt-PT"/>
        </w:rPr>
      </w:pPr>
      <w:r w:rsidRPr="00D81627">
        <w:rPr>
          <w:lang w:val="pt-PT"/>
        </w:rPr>
        <w:t xml:space="preserve">Devem utilizar </w:t>
      </w:r>
      <w:proofErr w:type="gramStart"/>
      <w:r w:rsidRPr="00D81627">
        <w:rPr>
          <w:lang w:val="pt-PT"/>
        </w:rPr>
        <w:t>a(s</w:t>
      </w:r>
      <w:proofErr w:type="gramEnd"/>
      <w:r w:rsidRPr="00D81627">
        <w:rPr>
          <w:lang w:val="pt-PT"/>
        </w:rPr>
        <w:t>) língua(s) local(</w:t>
      </w:r>
      <w:proofErr w:type="spellStart"/>
      <w:r w:rsidRPr="00D81627">
        <w:rPr>
          <w:lang w:val="pt-PT"/>
        </w:rPr>
        <w:t>is</w:t>
      </w:r>
      <w:proofErr w:type="spellEnd"/>
      <w:r w:rsidRPr="00D81627">
        <w:rPr>
          <w:lang w:val="pt-PT"/>
        </w:rPr>
        <w:t>) sempre que possível;</w:t>
      </w:r>
    </w:p>
    <w:p w:rsidR="00D81627" w:rsidRPr="00D81627" w:rsidRDefault="00D81627" w:rsidP="00D81627">
      <w:pPr>
        <w:numPr>
          <w:ilvl w:val="0"/>
          <w:numId w:val="18"/>
        </w:numPr>
        <w:ind w:hanging="360"/>
        <w:contextualSpacing/>
        <w:rPr>
          <w:lang w:val="pt-PT"/>
        </w:rPr>
      </w:pPr>
      <w:r w:rsidRPr="00D81627">
        <w:rPr>
          <w:lang w:val="pt-PT"/>
        </w:rPr>
        <w:t>Devem ser adequadas aos canais utilizados (p. ex., redes sociais) e ao</w:t>
      </w:r>
      <w:r w:rsidR="00145046">
        <w:rPr>
          <w:lang w:val="pt-PT"/>
        </w:rPr>
        <w:t>s</w:t>
      </w:r>
      <w:r w:rsidRPr="00D81627">
        <w:rPr>
          <w:lang w:val="pt-PT"/>
        </w:rPr>
        <w:t xml:space="preserve"> públicos-alvo (p. ex., jovens) em termos de estilo e registo</w:t>
      </w:r>
      <w:r>
        <w:rPr>
          <w:rStyle w:val="FootnoteReference"/>
        </w:rPr>
        <w:footnoteReference w:id="5"/>
      </w:r>
      <w:r w:rsidRPr="00D81627">
        <w:rPr>
          <w:lang w:val="pt-PT"/>
        </w:rPr>
        <w:t>;</w:t>
      </w:r>
    </w:p>
    <w:p w:rsidR="00D81627" w:rsidRPr="00D81627" w:rsidRDefault="00D81627" w:rsidP="00D81627">
      <w:pPr>
        <w:numPr>
          <w:ilvl w:val="0"/>
          <w:numId w:val="18"/>
        </w:numPr>
        <w:ind w:left="816" w:hanging="357"/>
        <w:contextualSpacing/>
        <w:rPr>
          <w:lang w:val="pt-PT"/>
        </w:rPr>
      </w:pPr>
      <w:r w:rsidRPr="00D81627">
        <w:rPr>
          <w:lang w:val="pt-PT"/>
        </w:rPr>
        <w:t>Devem ser proporcionais à dimensão da ação em causa em termos de custo-benefício;</w:t>
      </w:r>
    </w:p>
    <w:p w:rsidR="00D81627" w:rsidRPr="00D81627" w:rsidRDefault="00D81627" w:rsidP="00D81627">
      <w:pPr>
        <w:numPr>
          <w:ilvl w:val="0"/>
          <w:numId w:val="18"/>
        </w:numPr>
        <w:ind w:left="816" w:hanging="357"/>
        <w:contextualSpacing/>
        <w:rPr>
          <w:lang w:val="pt-PT"/>
        </w:rPr>
      </w:pPr>
      <w:r w:rsidRPr="00D81627">
        <w:rPr>
          <w:lang w:val="pt-PT"/>
        </w:rPr>
        <w:t xml:space="preserve">Devem ser </w:t>
      </w:r>
      <w:r w:rsidR="00145046">
        <w:rPr>
          <w:lang w:val="pt-PT"/>
        </w:rPr>
        <w:t>impulsionadas</w:t>
      </w:r>
      <w:r w:rsidRPr="00D81627">
        <w:rPr>
          <w:lang w:val="pt-PT"/>
        </w:rPr>
        <w:t>, quando adequado, através de parcerias com indivíduos ou organizações com um efeito multiplicador potencial;</w:t>
      </w:r>
    </w:p>
    <w:p w:rsidR="00D81627" w:rsidRPr="00D81627" w:rsidRDefault="00D81627" w:rsidP="00D81627">
      <w:pPr>
        <w:numPr>
          <w:ilvl w:val="0"/>
          <w:numId w:val="18"/>
        </w:numPr>
        <w:ind w:left="816" w:hanging="357"/>
        <w:contextualSpacing/>
        <w:rPr>
          <w:lang w:val="pt-PT"/>
        </w:rPr>
      </w:pPr>
      <w:r w:rsidRPr="00D81627">
        <w:rPr>
          <w:lang w:val="pt-PT"/>
        </w:rPr>
        <w:t>Devem ser estreitamente coordenadas com a União Europeia, com outras ações financiadas pela UE e com as ações dos Estados-Membros da UE ou outras partes interessadas.</w:t>
      </w:r>
    </w:p>
    <w:p w:rsidR="00D81627" w:rsidRPr="00D81627" w:rsidRDefault="00D81627" w:rsidP="00D81627">
      <w:pPr>
        <w:rPr>
          <w:lang w:val="pt-PT"/>
        </w:rPr>
      </w:pPr>
      <w:r w:rsidRPr="00D81627">
        <w:rPr>
          <w:lang w:val="pt-PT"/>
        </w:rPr>
        <w:t>O instrumento utilizado para definir, analisar e articular estes fatores para fins contratuais é o plano de comunicação e visibilidade (secção 2.3).</w:t>
      </w:r>
    </w:p>
    <w:p w:rsidR="003C5B61" w:rsidRPr="00145046" w:rsidRDefault="00F23B0F" w:rsidP="003C5B61">
      <w:pPr>
        <w:pStyle w:val="Heading3"/>
        <w:contextualSpacing w:val="0"/>
        <w:rPr>
          <w:sz w:val="32"/>
          <w:szCs w:val="32"/>
          <w:lang w:val="pt-PT"/>
        </w:rPr>
      </w:pPr>
      <w:r w:rsidRPr="009626E3">
        <w:rPr>
          <w:noProof/>
          <w:sz w:val="32"/>
          <w:szCs w:val="32"/>
          <w:lang w:val="en-GB" w:eastAsia="en-GB"/>
        </w:rPr>
        <w:lastRenderedPageBreak/>
        <w:drawing>
          <wp:anchor distT="0" distB="0" distL="114300" distR="114300" simplePos="0" relativeHeight="251686912" behindDoc="0" locked="0" layoutInCell="1" allowOverlap="1" wp14:anchorId="56D25C1F" wp14:editId="5F24EE19">
            <wp:simplePos x="0" y="0"/>
            <wp:positionH relativeFrom="column">
              <wp:posOffset>-540385</wp:posOffset>
            </wp:positionH>
            <wp:positionV relativeFrom="paragraph">
              <wp:posOffset>459105</wp:posOffset>
            </wp:positionV>
            <wp:extent cx="7883525" cy="4204335"/>
            <wp:effectExtent l="0" t="0" r="3175" b="5715"/>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01.png"/>
                    <pic:cNvPicPr/>
                  </pic:nvPicPr>
                  <pic:blipFill>
                    <a:blip r:embed="rId12">
                      <a:extLst>
                        <a:ext uri="{28A0092B-C50C-407E-A947-70E740481C1C}">
                          <a14:useLocalDpi xmlns:a14="http://schemas.microsoft.com/office/drawing/2010/main" val="0"/>
                        </a:ext>
                      </a:extLst>
                    </a:blip>
                    <a:stretch>
                      <a:fillRect/>
                    </a:stretch>
                  </pic:blipFill>
                  <pic:spPr>
                    <a:xfrm>
                      <a:off x="0" y="0"/>
                      <a:ext cx="7883525" cy="4204335"/>
                    </a:xfrm>
                    <a:prstGeom prst="rect">
                      <a:avLst/>
                    </a:prstGeom>
                  </pic:spPr>
                </pic:pic>
              </a:graphicData>
            </a:graphic>
            <wp14:sizeRelH relativeFrom="page">
              <wp14:pctWidth>0</wp14:pctWidth>
            </wp14:sizeRelH>
            <wp14:sizeRelV relativeFrom="page">
              <wp14:pctHeight>0</wp14:pctHeight>
            </wp14:sizeRelV>
          </wp:anchor>
        </w:drawing>
      </w:r>
      <w:r w:rsidR="003C5B61" w:rsidRPr="00417D09">
        <w:rPr>
          <w:sz w:val="32"/>
          <w:szCs w:val="32"/>
          <w:lang w:val="pt-PT"/>
        </w:rPr>
        <w:t xml:space="preserve">2.1.2 </w:t>
      </w:r>
      <w:bookmarkEnd w:id="9"/>
      <w:bookmarkEnd w:id="10"/>
      <w:r w:rsidR="00D81627" w:rsidRPr="00D81627">
        <w:rPr>
          <w:sz w:val="32"/>
          <w:szCs w:val="32"/>
          <w:lang w:val="pt-PT"/>
        </w:rPr>
        <w:t>Utilização</w:t>
      </w:r>
      <w:r w:rsidR="00D81627" w:rsidRPr="00145046">
        <w:rPr>
          <w:sz w:val="32"/>
          <w:szCs w:val="32"/>
          <w:lang w:val="pt-PT"/>
        </w:rPr>
        <w:t xml:space="preserve"> das marcas</w:t>
      </w:r>
    </w:p>
    <w:p w:rsidR="00145046" w:rsidRPr="00145046" w:rsidRDefault="00145046" w:rsidP="00145046">
      <w:pPr>
        <w:rPr>
          <w:lang w:val="pt-PT"/>
        </w:rPr>
      </w:pPr>
      <w:bookmarkStart w:id="12" w:name="_Toc476045132"/>
      <w:bookmarkStart w:id="13" w:name="_Toc502916132"/>
      <w:bookmarkEnd w:id="11"/>
      <w:r w:rsidRPr="00145046">
        <w:rPr>
          <w:lang w:val="pt-PT"/>
        </w:rPr>
        <w:t>O emblema da UE (secção 5.2) é o sinal visual utilizado por defeito para dar a conhecer e divulgar o apoio financeiro da União a uma ação externa</w:t>
      </w:r>
      <w:r>
        <w:rPr>
          <w:vertAlign w:val="superscript"/>
        </w:rPr>
        <w:footnoteReference w:id="6"/>
      </w:r>
      <w:r w:rsidRPr="00145046">
        <w:rPr>
          <w:lang w:val="pt-PT"/>
        </w:rPr>
        <w:t xml:space="preserve">. </w:t>
      </w:r>
    </w:p>
    <w:p w:rsidR="00145046" w:rsidRPr="00145046" w:rsidRDefault="00145046" w:rsidP="00145046">
      <w:pPr>
        <w:rPr>
          <w:lang w:val="pt-PT"/>
        </w:rPr>
      </w:pPr>
      <w:r w:rsidRPr="00145046">
        <w:rPr>
          <w:lang w:val="pt-PT"/>
        </w:rPr>
        <w:t>Não podem ser utilizadas quaisquer outras marcas para o efeito. Podem ser autorizadas exceções, mas apenas em casos muito raros, ficando estas exclusivamente ao critério da União Europeia. Todas as exceções exigem a autorização prévia por escrito da UE.</w:t>
      </w:r>
    </w:p>
    <w:p w:rsidR="00145046" w:rsidRPr="00145046" w:rsidRDefault="00145046" w:rsidP="00145046">
      <w:pPr>
        <w:rPr>
          <w:lang w:val="pt-PT"/>
        </w:rPr>
      </w:pPr>
      <w:r w:rsidRPr="00145046">
        <w:rPr>
          <w:lang w:val="pt-PT"/>
        </w:rPr>
        <w:t xml:space="preserve">Imediatamente abaixo ou ao lado do emblema da UE, o contributo financeiro da União deve ser indicado com as palavras «Financiado (ou «cofinanciado», consoante o caso) pela União Europeia» (as palavras «União Europeia» devem ser escritas por extenso). Pode ser acrescentada uma referência específica à ajuda humanitária e/ou proteção civil das ações financiadas pela UE neste domínio, quando adequado. </w:t>
      </w:r>
    </w:p>
    <w:p w:rsidR="00145046" w:rsidRPr="00145046" w:rsidRDefault="00145046" w:rsidP="00145046">
      <w:pPr>
        <w:rPr>
          <w:color w:val="auto"/>
          <w:lang w:val="pt-PT"/>
        </w:rPr>
      </w:pPr>
      <w:r w:rsidRPr="00145046">
        <w:rPr>
          <w:lang w:val="pt-PT"/>
        </w:rPr>
        <w:t xml:space="preserve">Caso seja considerado pertinente para o público-alvo e eficaz em termos de maior alcance ou envolvimento, podem ser criados logótipos ou outras marcas visuais especificamente para o fim em causa para identificar ações externas específicas financiadas pela UE. Quando estes logótipos e os títulos das ações em causa são utilizados juntamente com o emblema da UE, este último deve permanecer distinto e separado e não pode ser agregado ou modificado por qualquer outro sinal visual, </w:t>
      </w:r>
      <w:r w:rsidRPr="00145046">
        <w:rPr>
          <w:lang w:val="pt-PT"/>
        </w:rPr>
        <w:lastRenderedPageBreak/>
        <w:t xml:space="preserve">marca ou texto. Os parceiros que criem logótipos especificamente para um programa ou outros sinais visuais identificadores que venham a ser utilizados juntamente com o emblema da UE são responsáveis por assegurar que foram adotadas todas as medidas necessárias em relação a quaisquer direitos de propriedade intelectual conexos. </w:t>
      </w:r>
    </w:p>
    <w:p w:rsidR="00072D45" w:rsidRPr="00145046" w:rsidRDefault="00444D73" w:rsidP="0095131F">
      <w:pPr>
        <w:pStyle w:val="Heading3"/>
        <w:contextualSpacing w:val="0"/>
        <w:rPr>
          <w:sz w:val="32"/>
          <w:szCs w:val="32"/>
          <w:lang w:val="pt-PT"/>
        </w:rPr>
      </w:pPr>
      <w:r w:rsidRPr="00417D09">
        <w:rPr>
          <w:sz w:val="32"/>
          <w:szCs w:val="32"/>
          <w:lang w:val="pt-PT"/>
        </w:rPr>
        <w:t>2.1.3</w:t>
      </w:r>
      <w:r w:rsidR="000E6A3F" w:rsidRPr="00417D09">
        <w:rPr>
          <w:sz w:val="32"/>
          <w:szCs w:val="32"/>
          <w:lang w:val="pt-PT"/>
        </w:rPr>
        <w:t xml:space="preserve"> </w:t>
      </w:r>
      <w:bookmarkEnd w:id="12"/>
      <w:bookmarkEnd w:id="13"/>
      <w:r w:rsidR="00145046" w:rsidRPr="00145046">
        <w:rPr>
          <w:sz w:val="32"/>
          <w:szCs w:val="32"/>
          <w:lang w:val="pt-PT"/>
        </w:rPr>
        <w:t>Situações excecionais</w:t>
      </w:r>
    </w:p>
    <w:p w:rsidR="00145046" w:rsidRPr="00145046" w:rsidRDefault="00145046" w:rsidP="00145046">
      <w:pPr>
        <w:rPr>
          <w:lang w:val="pt-PT"/>
        </w:rPr>
      </w:pPr>
      <w:bookmarkStart w:id="14" w:name="_Toc476045133"/>
      <w:bookmarkStart w:id="15" w:name="_Toc502916133"/>
      <w:r w:rsidRPr="00145046">
        <w:rPr>
          <w:lang w:val="pt-PT"/>
        </w:rPr>
        <w:t xml:space="preserve">Pode ser preferível ou necessário, por questões de segurança ou de sensibilidade política local, limitar as atividades de comunicação e visibilidade em determinados países ou zonas (tais como, zonas de crise ou conflito) ou durante determinados períodos (tais como, eleições). </w:t>
      </w:r>
    </w:p>
    <w:p w:rsidR="00145046" w:rsidRPr="00145046" w:rsidRDefault="00145046" w:rsidP="00145046">
      <w:pPr>
        <w:rPr>
          <w:lang w:val="pt-PT"/>
        </w:rPr>
      </w:pPr>
      <w:r w:rsidRPr="00145046">
        <w:rPr>
          <w:lang w:val="pt-PT"/>
        </w:rPr>
        <w:t xml:space="preserve">Nestes casos, o público-alvo e os instrumentos, produtos e canais de visibilidade a utilizar para promover uma dada ação serão determinados caso a caso, consultando e chegando a acordo com a União Europeia. </w:t>
      </w:r>
    </w:p>
    <w:p w:rsidR="00145046" w:rsidRPr="00145046" w:rsidRDefault="00145046" w:rsidP="00145046">
      <w:pPr>
        <w:rPr>
          <w:lang w:val="pt-PT"/>
        </w:rPr>
      </w:pPr>
      <w:r w:rsidRPr="00145046">
        <w:rPr>
          <w:lang w:val="pt-PT"/>
        </w:rPr>
        <w:t>Quando é preciso uma intervenção rápida em resposta a uma crise repentina, não é necessário elaborar de imediato um plano de comunicação e visibilidade completo. Contudo, nestas situações, o apoio da UE deve ainda assim ser devidamente exibido desde o início.</w:t>
      </w:r>
    </w:p>
    <w:p w:rsidR="00145046" w:rsidRPr="00145046" w:rsidRDefault="00145046" w:rsidP="00145046">
      <w:pPr>
        <w:rPr>
          <w:lang w:val="pt-PT"/>
        </w:rPr>
      </w:pPr>
      <w:r w:rsidRPr="00145046">
        <w:rPr>
          <w:lang w:val="pt-PT"/>
        </w:rPr>
        <w:t>Ver também a secção 5.1.2 (exceções aos requisitos de visibilidade).</w:t>
      </w:r>
    </w:p>
    <w:p w:rsidR="00072D45" w:rsidRPr="00145046" w:rsidRDefault="000E6A3F" w:rsidP="0095131F">
      <w:pPr>
        <w:pStyle w:val="Heading2"/>
        <w:contextualSpacing w:val="0"/>
        <w:rPr>
          <w:sz w:val="40"/>
          <w:szCs w:val="40"/>
          <w:lang w:val="pt-PT"/>
        </w:rPr>
      </w:pPr>
      <w:r w:rsidRPr="00145046">
        <w:rPr>
          <w:sz w:val="40"/>
          <w:szCs w:val="40"/>
          <w:lang w:val="pt-PT"/>
        </w:rPr>
        <w:t xml:space="preserve">2.2 </w:t>
      </w:r>
      <w:bookmarkEnd w:id="14"/>
      <w:bookmarkEnd w:id="15"/>
      <w:r w:rsidR="00145046" w:rsidRPr="00145046">
        <w:rPr>
          <w:sz w:val="40"/>
          <w:szCs w:val="40"/>
          <w:lang w:val="pt-PT"/>
        </w:rPr>
        <w:t>Público-alvo</w:t>
      </w:r>
    </w:p>
    <w:p w:rsidR="00145046" w:rsidRPr="00145046" w:rsidRDefault="00145046" w:rsidP="00145046">
      <w:pPr>
        <w:rPr>
          <w:lang w:val="pt-PT"/>
        </w:rPr>
      </w:pPr>
      <w:r w:rsidRPr="00145046">
        <w:rPr>
          <w:lang w:val="pt-PT"/>
        </w:rPr>
        <w:t>Identificar com rigor o público-alvo correto é fundamental para o êxito da comunicação. O principal público-alvo das medidas de comunicação e visibilidade que acompanham uma ação externa financiada pela UE são as pessoas do país beneficiário ou da região beneficiária para quem o resultado da ação será mais evidente e imediatamente mais relevante. Caso os recursos assim o permitam, as medidas de comunicação e visibilidade dos parceiros também podem ter como alvo os líderes de opinião, os decisores políticos e o público em geral na UE, embora geralmente não como público-alvo principal.</w:t>
      </w:r>
    </w:p>
    <w:p w:rsidR="00145046" w:rsidRPr="00145046" w:rsidRDefault="00145046" w:rsidP="00145046">
      <w:pPr>
        <w:rPr>
          <w:lang w:val="pt-PT"/>
        </w:rPr>
      </w:pPr>
      <w:r w:rsidRPr="00145046">
        <w:rPr>
          <w:lang w:val="pt-PT"/>
        </w:rPr>
        <w:t>Dentro destes parâmetros gerais, os planos de comunicação e visibilidade devem identificar claramente o público-alvo específico para as medidas e os produtos de comunicação e visibilidade propostos. A seleção do público-alvo específico deve refletir o objetivo de comunicação identificado no plano de C&amp;V. Este público-alvo pode incluir:</w:t>
      </w:r>
    </w:p>
    <w:p w:rsidR="00145046" w:rsidRPr="00145046" w:rsidRDefault="00145046" w:rsidP="00145046">
      <w:pPr>
        <w:numPr>
          <w:ilvl w:val="0"/>
          <w:numId w:val="20"/>
        </w:numPr>
        <w:ind w:left="851" w:hanging="284"/>
        <w:contextualSpacing/>
        <w:rPr>
          <w:lang w:val="pt-PT"/>
        </w:rPr>
      </w:pPr>
      <w:proofErr w:type="gramStart"/>
      <w:r w:rsidRPr="00145046">
        <w:rPr>
          <w:lang w:val="pt-PT"/>
        </w:rPr>
        <w:t>os</w:t>
      </w:r>
      <w:proofErr w:type="gramEnd"/>
      <w:r w:rsidRPr="00145046">
        <w:rPr>
          <w:lang w:val="pt-PT"/>
        </w:rPr>
        <w:t xml:space="preserve"> beneficiários diretos e indiretos da ação em causa, </w:t>
      </w:r>
    </w:p>
    <w:p w:rsidR="009D32B3" w:rsidRDefault="00145046" w:rsidP="009D32B3">
      <w:pPr>
        <w:numPr>
          <w:ilvl w:val="0"/>
          <w:numId w:val="20"/>
        </w:numPr>
        <w:ind w:left="851" w:hanging="284"/>
        <w:contextualSpacing/>
        <w:rPr>
          <w:lang w:val="pt-PT"/>
        </w:rPr>
      </w:pPr>
      <w:proofErr w:type="gramStart"/>
      <w:r w:rsidRPr="00145046">
        <w:rPr>
          <w:lang w:val="pt-PT"/>
        </w:rPr>
        <w:t>líderes</w:t>
      </w:r>
      <w:proofErr w:type="gramEnd"/>
      <w:r w:rsidRPr="00145046">
        <w:rPr>
          <w:lang w:val="pt-PT"/>
        </w:rPr>
        <w:t xml:space="preserve"> e outras figuras, instituições e organizações influentes que atuem como multiplicadores das informações veiculadas,</w:t>
      </w:r>
    </w:p>
    <w:p w:rsidR="00145046" w:rsidRPr="009D32B3" w:rsidRDefault="00145046" w:rsidP="009D32B3">
      <w:pPr>
        <w:numPr>
          <w:ilvl w:val="0"/>
          <w:numId w:val="20"/>
        </w:numPr>
        <w:ind w:left="851" w:hanging="284"/>
        <w:contextualSpacing/>
        <w:rPr>
          <w:lang w:val="pt-PT"/>
        </w:rPr>
      </w:pPr>
      <w:proofErr w:type="gramStart"/>
      <w:r w:rsidRPr="009D32B3">
        <w:rPr>
          <w:lang w:val="pt-PT"/>
        </w:rPr>
        <w:t>quem</w:t>
      </w:r>
      <w:proofErr w:type="gramEnd"/>
      <w:r w:rsidRPr="009D32B3">
        <w:rPr>
          <w:lang w:val="pt-PT"/>
        </w:rPr>
        <w:t>, não pertencendo ao governo e aos meios de comu</w:t>
      </w:r>
      <w:r w:rsidR="009D32B3">
        <w:rPr>
          <w:lang w:val="pt-PT"/>
        </w:rPr>
        <w:t>nicação social, tenha interesse</w:t>
      </w:r>
      <w:r w:rsidRPr="009D32B3">
        <w:rPr>
          <w:lang w:val="pt-PT"/>
        </w:rPr>
        <w:t xml:space="preserve"> na ação financiada pela UE ou seja por ela afetado.</w:t>
      </w:r>
    </w:p>
    <w:p w:rsidR="0091757E" w:rsidRPr="009D32B3" w:rsidRDefault="000E6A3F" w:rsidP="0091757E">
      <w:pPr>
        <w:pStyle w:val="Heading3"/>
        <w:contextualSpacing w:val="0"/>
        <w:rPr>
          <w:sz w:val="40"/>
          <w:szCs w:val="40"/>
          <w:lang w:val="pt-PT"/>
        </w:rPr>
      </w:pPr>
      <w:bookmarkStart w:id="16" w:name="_Toc502916134"/>
      <w:bookmarkStart w:id="17" w:name="_Toc476045134"/>
      <w:r w:rsidRPr="00417D09">
        <w:rPr>
          <w:sz w:val="40"/>
          <w:szCs w:val="40"/>
          <w:lang w:val="pt-PT"/>
        </w:rPr>
        <w:lastRenderedPageBreak/>
        <w:t xml:space="preserve">2.3 </w:t>
      </w:r>
      <w:bookmarkEnd w:id="16"/>
      <w:r w:rsidR="009D32B3" w:rsidRPr="00417D09">
        <w:rPr>
          <w:sz w:val="40"/>
          <w:szCs w:val="40"/>
          <w:lang w:val="pt-PT"/>
        </w:rPr>
        <w:t xml:space="preserve">Plano de </w:t>
      </w:r>
      <w:r w:rsidR="009D32B3" w:rsidRPr="009D32B3">
        <w:rPr>
          <w:sz w:val="40"/>
          <w:szCs w:val="40"/>
          <w:lang w:val="pt-PT"/>
        </w:rPr>
        <w:t>comunicação e visibilidade</w:t>
      </w:r>
    </w:p>
    <w:p w:rsidR="009D32B3" w:rsidRPr="009D32B3" w:rsidRDefault="009D32B3" w:rsidP="009D32B3">
      <w:pPr>
        <w:rPr>
          <w:lang w:val="pt-PT"/>
        </w:rPr>
      </w:pPr>
      <w:bookmarkStart w:id="18" w:name="_Toc476045137"/>
      <w:bookmarkStart w:id="19" w:name="_Toc502916135"/>
      <w:bookmarkEnd w:id="17"/>
      <w:r w:rsidRPr="009D32B3">
        <w:rPr>
          <w:lang w:val="pt-PT"/>
        </w:rPr>
        <w:t xml:space="preserve">A comunicação ocorre ao longo do ciclo do projeto, pelo que a sequência das ações e dos produtos de comunicação e visibilidade deve ser cuidadosamente definida para se conseguir o máximo impacto. </w:t>
      </w:r>
    </w:p>
    <w:p w:rsidR="009D32B3" w:rsidRPr="009D32B3" w:rsidRDefault="009D32B3" w:rsidP="009D32B3">
      <w:pPr>
        <w:rPr>
          <w:lang w:val="pt-PT"/>
        </w:rPr>
      </w:pPr>
      <w:r w:rsidRPr="009D32B3">
        <w:rPr>
          <w:lang w:val="pt-PT"/>
        </w:rPr>
        <w:t>Salvo acordo explícito em contrário com a União Europeia, os parceiros devem elaborar um plano de comunicação e visibilidade (PCV) para a ação que estão a executar, devendo obter a aprovação da UE em relação ao mesmo antes do início das atividades operacionais de execução</w:t>
      </w:r>
      <w:r>
        <w:rPr>
          <w:vertAlign w:val="superscript"/>
        </w:rPr>
        <w:footnoteReference w:id="7"/>
      </w:r>
      <w:r w:rsidRPr="009D32B3">
        <w:rPr>
          <w:lang w:val="pt-PT"/>
        </w:rPr>
        <w:t>.</w:t>
      </w:r>
    </w:p>
    <w:p w:rsidR="009D32B3" w:rsidRPr="009D32B3" w:rsidRDefault="009D32B3" w:rsidP="009D32B3">
      <w:pPr>
        <w:rPr>
          <w:lang w:val="pt-PT"/>
        </w:rPr>
      </w:pPr>
      <w:r w:rsidRPr="009D32B3">
        <w:rPr>
          <w:lang w:val="pt-PT"/>
        </w:rPr>
        <w:t xml:space="preserve">Os PCV de todas as ações, incluindo as ações regionais e as ações em que os recursos de comunicação e visibilidade são partilhados, devem procurar maximizar as sinergias com a estratégia geral de comunicação da UE pertinente. </w:t>
      </w:r>
    </w:p>
    <w:p w:rsidR="009D32B3" w:rsidRPr="009D32B3" w:rsidRDefault="009D32B3" w:rsidP="009D32B3">
      <w:pPr>
        <w:rPr>
          <w:lang w:val="pt-PT"/>
        </w:rPr>
      </w:pPr>
      <w:r w:rsidRPr="009D32B3">
        <w:rPr>
          <w:lang w:val="pt-PT"/>
        </w:rPr>
        <w:t>Todas as atividades e todos os produtos de comunicação e visibilidade incluídos no plano devem cumprir os critérios para uma comunicação adequada, definidos na secção 2.1.1.</w:t>
      </w:r>
    </w:p>
    <w:p w:rsidR="009D32B3" w:rsidRPr="009D32B3" w:rsidRDefault="009D32B3" w:rsidP="009D32B3">
      <w:pPr>
        <w:rPr>
          <w:lang w:val="pt-PT"/>
        </w:rPr>
      </w:pPr>
      <w:r w:rsidRPr="009D32B3">
        <w:rPr>
          <w:lang w:val="pt-PT"/>
        </w:rPr>
        <w:t>O nível de pormenorização do plano deve ser proporcional à natureza, ao âmbito e ao custo das atividades e dos produtos de comunicação e visibilidade previstos.</w:t>
      </w:r>
    </w:p>
    <w:p w:rsidR="009D32B3" w:rsidRPr="009D32B3" w:rsidRDefault="009D32B3" w:rsidP="009D32B3">
      <w:pPr>
        <w:rPr>
          <w:lang w:val="pt-PT"/>
        </w:rPr>
      </w:pPr>
      <w:r w:rsidRPr="009D32B3">
        <w:rPr>
          <w:lang w:val="pt-PT"/>
        </w:rPr>
        <w:t xml:space="preserve">O PCV deve incluir um orçamento repartido por rubricas. A comunicação eficaz do apoio da UE é uma componente essencial da execução, sendo que todos os acordos de financiamento e delegação e todos os contratos de subvenção devem incluir disposições orçamentais específicas para atividades de comunicação e visibilidade consentâneas com a dimensão, o contexto e a natureza da ação proposta. </w:t>
      </w:r>
    </w:p>
    <w:p w:rsidR="009D32B3" w:rsidRPr="009D32B3" w:rsidRDefault="009D32B3" w:rsidP="009D32B3">
      <w:pPr>
        <w:rPr>
          <w:color w:val="0000FF"/>
          <w:lang w:val="pt-PT"/>
        </w:rPr>
      </w:pPr>
      <w:r w:rsidRPr="009D32B3">
        <w:rPr>
          <w:lang w:val="pt-PT"/>
        </w:rPr>
        <w:t xml:space="preserve">O modelo a utilizar obrigatoriamente para a elaboração do PCV pode ser encontrado em </w:t>
      </w:r>
      <w:hyperlink r:id="rId13">
        <w:r w:rsidRPr="009D32B3">
          <w:rPr>
            <w:color w:val="0000FF"/>
            <w:lang w:val="pt-PT"/>
          </w:rPr>
          <w:t>https://ec.europa.eu/europeaid/communication-and-visibility-manual-eu-external-actions_en</w:t>
        </w:r>
      </w:hyperlink>
      <w:r w:rsidRPr="009D32B3">
        <w:rPr>
          <w:color w:val="0000FF"/>
          <w:lang w:val="pt-PT"/>
        </w:rPr>
        <w:t xml:space="preserve"> </w:t>
      </w:r>
    </w:p>
    <w:p w:rsidR="00072D45" w:rsidRPr="00EE42F7" w:rsidRDefault="000E6A3F" w:rsidP="0095131F">
      <w:pPr>
        <w:pStyle w:val="Heading2"/>
        <w:contextualSpacing w:val="0"/>
        <w:rPr>
          <w:sz w:val="40"/>
          <w:szCs w:val="40"/>
          <w:lang w:val="pt-PT"/>
        </w:rPr>
      </w:pPr>
      <w:r w:rsidRPr="00EE42F7">
        <w:rPr>
          <w:sz w:val="40"/>
          <w:szCs w:val="40"/>
          <w:lang w:val="pt-PT"/>
        </w:rPr>
        <w:t xml:space="preserve">2.4 </w:t>
      </w:r>
      <w:bookmarkEnd w:id="18"/>
      <w:bookmarkEnd w:id="19"/>
      <w:r w:rsidR="00EE42F7" w:rsidRPr="00EE42F7">
        <w:rPr>
          <w:sz w:val="40"/>
          <w:szCs w:val="40"/>
          <w:lang w:val="pt-PT"/>
        </w:rPr>
        <w:t>Agregação dos recursos de comunicação e visibilidade</w:t>
      </w:r>
    </w:p>
    <w:p w:rsidR="009D32B3" w:rsidRPr="009D32B3" w:rsidRDefault="009D32B3" w:rsidP="009D32B3">
      <w:pPr>
        <w:rPr>
          <w:lang w:val="pt-PT"/>
        </w:rPr>
      </w:pPr>
      <w:r w:rsidRPr="009D32B3">
        <w:rPr>
          <w:lang w:val="pt-PT"/>
        </w:rPr>
        <w:t xml:space="preserve">As medidas de comunicação e visibilidade que acompanham diferentes ações externas financiadas pela UE com um âmbito geográfico ou temático igual ou semelhante podem ser agregadas para melhorar a eficiência operacional e/ou a eficácia estratégica e o impacto. </w:t>
      </w:r>
    </w:p>
    <w:p w:rsidR="009D32B3" w:rsidRPr="009D32B3" w:rsidRDefault="009D32B3" w:rsidP="009D32B3">
      <w:pPr>
        <w:rPr>
          <w:lang w:val="pt-PT"/>
        </w:rPr>
      </w:pPr>
      <w:bookmarkStart w:id="20" w:name="_Toc502916136"/>
      <w:bookmarkStart w:id="21" w:name="_Toc494992774"/>
      <w:bookmarkStart w:id="22" w:name="_Toc476045138"/>
      <w:r w:rsidRPr="009D32B3">
        <w:rPr>
          <w:lang w:val="pt-PT"/>
        </w:rPr>
        <w:t>Nestes casos, a União Europeia pode decidir agregar num único instrumento financeiro os orçamentos de comunicação e visibilidade de duas ou mais ações financiadas pela UE separadas</w:t>
      </w:r>
      <w:r>
        <w:rPr>
          <w:rStyle w:val="FootnoteReference"/>
        </w:rPr>
        <w:footnoteReference w:id="8"/>
      </w:r>
      <w:r w:rsidRPr="009D32B3">
        <w:rPr>
          <w:lang w:val="pt-PT"/>
        </w:rPr>
        <w:t>.</w:t>
      </w:r>
    </w:p>
    <w:p w:rsidR="009D32B3" w:rsidRPr="009D32B3" w:rsidRDefault="009D32B3" w:rsidP="009D32B3">
      <w:pPr>
        <w:rPr>
          <w:lang w:val="pt-PT"/>
        </w:rPr>
      </w:pPr>
      <w:r w:rsidRPr="009D32B3">
        <w:rPr>
          <w:lang w:val="pt-PT"/>
        </w:rPr>
        <w:lastRenderedPageBreak/>
        <w:t xml:space="preserve">Quando os orçamentos destinados à comunicação e visibilidade são parcial ou totalmente agregados desta forma, a União determina caso a caso até que ponto os projetos e programas individuais em causa necessitam de PCV separados. </w:t>
      </w:r>
    </w:p>
    <w:p w:rsidR="003C5B61" w:rsidRPr="009D32B3" w:rsidRDefault="003C5B61" w:rsidP="003C5B61">
      <w:pPr>
        <w:pStyle w:val="Heading2"/>
        <w:contextualSpacing w:val="0"/>
        <w:rPr>
          <w:sz w:val="40"/>
          <w:szCs w:val="40"/>
          <w:lang w:val="pt-PT"/>
        </w:rPr>
      </w:pPr>
      <w:r w:rsidRPr="009D32B3">
        <w:rPr>
          <w:sz w:val="40"/>
          <w:szCs w:val="40"/>
          <w:lang w:val="pt-PT"/>
        </w:rPr>
        <w:t xml:space="preserve">2.5 </w:t>
      </w:r>
      <w:bookmarkEnd w:id="20"/>
      <w:r w:rsidR="009D32B3" w:rsidRPr="009D32B3">
        <w:rPr>
          <w:sz w:val="40"/>
          <w:szCs w:val="40"/>
          <w:lang w:val="pt-PT"/>
        </w:rPr>
        <w:t xml:space="preserve">Visibilidade da UE após </w:t>
      </w:r>
      <w:r w:rsidR="000C6DDA" w:rsidRPr="009D32B3">
        <w:rPr>
          <w:sz w:val="40"/>
          <w:szCs w:val="40"/>
          <w:lang w:val="pt-PT"/>
        </w:rPr>
        <w:t>conclusão</w:t>
      </w:r>
      <w:r w:rsidR="009D32B3" w:rsidRPr="009D32B3">
        <w:rPr>
          <w:sz w:val="40"/>
          <w:szCs w:val="40"/>
          <w:lang w:val="pt-PT"/>
        </w:rPr>
        <w:t xml:space="preserve"> da fase financiada pela UE</w:t>
      </w:r>
      <w:r w:rsidRPr="009D32B3">
        <w:rPr>
          <w:sz w:val="40"/>
          <w:szCs w:val="40"/>
          <w:lang w:val="pt-PT"/>
        </w:rPr>
        <w:t xml:space="preserve"> </w:t>
      </w:r>
      <w:bookmarkEnd w:id="21"/>
    </w:p>
    <w:p w:rsidR="000C6DDA" w:rsidRPr="000C6DDA" w:rsidRDefault="000C6DDA" w:rsidP="000C6DDA">
      <w:pPr>
        <w:rPr>
          <w:lang w:val="pt-PT"/>
        </w:rPr>
      </w:pPr>
      <w:bookmarkStart w:id="23" w:name="_Toc476045139"/>
      <w:bookmarkEnd w:id="22"/>
      <w:r w:rsidRPr="000C6DDA">
        <w:rPr>
          <w:lang w:val="pt-PT"/>
        </w:rPr>
        <w:t>Quando as ações continuam após a conclusão da fase financiada pela UE, o emblema da UE não pode ser incluído em quaisquer atividades de comunicação novas</w:t>
      </w:r>
      <w:r>
        <w:rPr>
          <w:lang w:val="pt-PT"/>
        </w:rPr>
        <w:t>,</w:t>
      </w:r>
      <w:r w:rsidRPr="000C6DDA">
        <w:rPr>
          <w:lang w:val="pt-PT"/>
        </w:rPr>
        <w:t xml:space="preserve"> que acompanhem a ação uma vez passados seis meses após a conclusão da fase financiada pela UE. As únicas exceções são placas comemorativas e painéis de visualização.</w:t>
      </w:r>
    </w:p>
    <w:p w:rsidR="000C6DDA" w:rsidRPr="000C6DDA" w:rsidRDefault="000C6DDA" w:rsidP="000C6DDA">
      <w:pPr>
        <w:rPr>
          <w:lang w:val="pt-PT"/>
        </w:rPr>
      </w:pPr>
      <w:r w:rsidRPr="000C6DDA">
        <w:rPr>
          <w:lang w:val="pt-PT"/>
        </w:rPr>
        <w:t>Contudo, os materiais de comunicação emitidos para a ação após decorrido o período de seis meses devem incluir a frase seguinte: «Uma fase anterior &lt;data 1 - data 2&gt; deste projeto/programa foi apoiada pela União Europeia». Deve ser dado a esta frase o mesmo destaque do que a visibilidade dada ao contributo da UE na fase financiada pela UE.</w:t>
      </w:r>
    </w:p>
    <w:p w:rsidR="000C6DDA" w:rsidRPr="000C6DDA" w:rsidRDefault="000C6DDA" w:rsidP="000C6DDA">
      <w:pPr>
        <w:rPr>
          <w:color w:val="auto"/>
          <w:lang w:val="pt-PT"/>
        </w:rPr>
      </w:pPr>
      <w:r w:rsidRPr="000C6DDA">
        <w:rPr>
          <w:color w:val="auto"/>
          <w:lang w:val="pt-PT"/>
        </w:rPr>
        <w:t xml:space="preserve">Quando a doação a uma entidade específica de um veículo ou veículos utilizados na execução de uma ação financiada pela UE constitui especificamente um dos resultados a concretizar pela ação, os parceiros de execução são obrigados a remover o emblema da UE e outros sinais de visibilidade da UE aquando da transferência de propriedade dos veículos após a conclusão da ação. </w:t>
      </w:r>
    </w:p>
    <w:p w:rsidR="003C5B61" w:rsidRPr="000C6DDA" w:rsidRDefault="003C5B61">
      <w:pPr>
        <w:pBdr>
          <w:top w:val="nil"/>
          <w:left w:val="nil"/>
          <w:bottom w:val="nil"/>
          <w:right w:val="nil"/>
          <w:between w:val="nil"/>
          <w:bar w:val="nil"/>
        </w:pBdr>
        <w:spacing w:before="0" w:line="240" w:lineRule="auto"/>
        <w:jc w:val="left"/>
        <w:rPr>
          <w:sz w:val="40"/>
          <w:szCs w:val="40"/>
          <w:lang w:val="pt-PT"/>
        </w:rPr>
      </w:pPr>
      <w:r w:rsidRPr="000C6DDA">
        <w:rPr>
          <w:lang w:val="pt-PT"/>
        </w:rPr>
        <w:br w:type="page"/>
      </w:r>
    </w:p>
    <w:p w:rsidR="009F50CD" w:rsidRPr="000C6DDA" w:rsidRDefault="00BF2CAC" w:rsidP="003C5B61">
      <w:pPr>
        <w:pStyle w:val="Heading1"/>
        <w:contextualSpacing w:val="0"/>
        <w:rPr>
          <w:lang w:val="pt-PT"/>
        </w:rPr>
      </w:pPr>
      <w:bookmarkStart w:id="24" w:name="_Toc502916137"/>
      <w:r>
        <w:rPr>
          <w:noProof/>
          <w:lang w:val="en-GB" w:eastAsia="en-GB"/>
        </w:rPr>
        <w:lastRenderedPageBreak/>
        <w:drawing>
          <wp:anchor distT="0" distB="0" distL="114300" distR="114300" simplePos="0" relativeHeight="251674624" behindDoc="1" locked="0" layoutInCell="1" allowOverlap="1" wp14:anchorId="31ACFD93" wp14:editId="5488C1D9">
            <wp:simplePos x="0" y="0"/>
            <wp:positionH relativeFrom="column">
              <wp:posOffset>-595338</wp:posOffset>
            </wp:positionH>
            <wp:positionV relativeFrom="paragraph">
              <wp:posOffset>-812165</wp:posOffset>
            </wp:positionV>
            <wp:extent cx="7621200" cy="10764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03 - Communication and Visibility-01.png"/>
                    <pic:cNvPicPr/>
                  </pic:nvPicPr>
                  <pic:blipFill>
                    <a:blip r:embed="rId14">
                      <a:extLst>
                        <a:ext uri="{28A0092B-C50C-407E-A947-70E740481C1C}">
                          <a14:useLocalDpi xmlns:a14="http://schemas.microsoft.com/office/drawing/2010/main" val="0"/>
                        </a:ext>
                      </a:extLst>
                    </a:blip>
                    <a:stretch>
                      <a:fillRect/>
                    </a:stretch>
                  </pic:blipFill>
                  <pic:spPr>
                    <a:xfrm>
                      <a:off x="0" y="0"/>
                      <a:ext cx="7621200" cy="10764000"/>
                    </a:xfrm>
                    <a:prstGeom prst="rect">
                      <a:avLst/>
                    </a:prstGeom>
                  </pic:spPr>
                </pic:pic>
              </a:graphicData>
            </a:graphic>
            <wp14:sizeRelH relativeFrom="page">
              <wp14:pctWidth>0</wp14:pctWidth>
            </wp14:sizeRelH>
            <wp14:sizeRelV relativeFrom="page">
              <wp14:pctHeight>0</wp14:pctHeight>
            </wp14:sizeRelV>
          </wp:anchor>
        </w:drawing>
      </w:r>
    </w:p>
    <w:p w:rsidR="009F50CD" w:rsidRPr="000C6DDA" w:rsidRDefault="009626E3" w:rsidP="009F50CD">
      <w:pPr>
        <w:rPr>
          <w:sz w:val="40"/>
          <w:szCs w:val="40"/>
          <w:lang w:val="pt-PT"/>
        </w:rPr>
      </w:pPr>
      <w:r w:rsidRPr="00BF2CAC">
        <w:rPr>
          <w:noProof/>
          <w:lang w:val="en-GB" w:eastAsia="en-GB"/>
        </w:rPr>
        <mc:AlternateContent>
          <mc:Choice Requires="wps">
            <w:drawing>
              <wp:anchor distT="0" distB="0" distL="114300" distR="114300" simplePos="0" relativeHeight="251677696" behindDoc="0" locked="0" layoutInCell="1" allowOverlap="1" wp14:anchorId="1D818CAF" wp14:editId="0DFEC9CD">
                <wp:simplePos x="0" y="0"/>
                <wp:positionH relativeFrom="column">
                  <wp:posOffset>2143125</wp:posOffset>
                </wp:positionH>
                <wp:positionV relativeFrom="paragraph">
                  <wp:posOffset>8124190</wp:posOffset>
                </wp:positionV>
                <wp:extent cx="4818380" cy="969645"/>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969645"/>
                        </a:xfrm>
                        <a:prstGeom prst="rect">
                          <a:avLst/>
                        </a:prstGeom>
                        <a:noFill/>
                        <a:ln w="9525">
                          <a:noFill/>
                          <a:miter lim="800000"/>
                          <a:headEnd/>
                          <a:tailEnd/>
                        </a:ln>
                      </wps:spPr>
                      <wps:txbx>
                        <w:txbxContent>
                          <w:p w:rsidR="00072EB8" w:rsidRPr="000C6DDA" w:rsidRDefault="000C6DDA" w:rsidP="00BF2CAC">
                            <w:pPr>
                              <w:spacing w:before="0" w:line="276" w:lineRule="auto"/>
                              <w:jc w:val="left"/>
                              <w:rPr>
                                <w:color w:val="FFFFFF" w:themeColor="background1"/>
                                <w:sz w:val="54"/>
                                <w:szCs w:val="54"/>
                                <w:lang w:val="pt-PT"/>
                              </w:rPr>
                            </w:pPr>
                            <w:r w:rsidRPr="000C6DDA">
                              <w:rPr>
                                <w:color w:val="FFFFFF" w:themeColor="background1"/>
                                <w:sz w:val="54"/>
                                <w:szCs w:val="54"/>
                                <w:lang w:val="pt-PT"/>
                              </w:rPr>
                              <w:t>Executar ações de comunicação e visibilidade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8.75pt;margin-top:639.7pt;width:379.4pt;height:7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" filled="f" stroked="f">
                <v:textbox>
                  <w:txbxContent>
                    <w:p w:rsidR="00072EB8" w:rsidRPr="000C6DDA" w:rsidRDefault="000C6DDA" w:rsidP="00BF2CAC">
                      <w:pPr>
                        <w:spacing w:before="0" w:line="276" w:lineRule="auto"/>
                        <w:jc w:val="left"/>
                        <w:rPr>
                          <w:color w:val="FFFFFF" w:themeColor="background1"/>
                          <w:sz w:val="54"/>
                          <w:szCs w:val="54"/>
                          <w:lang w:val="pt-PT"/>
                        </w:rPr>
                      </w:pPr>
                      <w:r w:rsidRPr="000C6DDA">
                        <w:rPr>
                          <w:color w:val="FFFFFF" w:themeColor="background1"/>
                          <w:sz w:val="54"/>
                          <w:szCs w:val="54"/>
                          <w:lang w:val="pt-PT"/>
                        </w:rPr>
                        <w:t>Executar ações de comunicação e visibilidade</w:t>
                      </w:r>
                    </w:p>
                  </w:txbxContent>
                </v:textbox>
              </v:shape>
            </w:pict>
          </mc:Fallback>
        </mc:AlternateContent>
      </w:r>
      <w:r w:rsidRPr="00BF2CAC">
        <w:rPr>
          <w:noProof/>
          <w:lang w:val="en-GB" w:eastAsia="en-GB"/>
        </w:rPr>
        <mc:AlternateContent>
          <mc:Choice Requires="wps">
            <w:drawing>
              <wp:anchor distT="0" distB="0" distL="114300" distR="114300" simplePos="0" relativeHeight="251676672" behindDoc="0" locked="0" layoutInCell="1" allowOverlap="1" wp14:anchorId="0290881B" wp14:editId="7DC223FC">
                <wp:simplePos x="0" y="0"/>
                <wp:positionH relativeFrom="column">
                  <wp:posOffset>-347053</wp:posOffset>
                </wp:positionH>
                <wp:positionV relativeFrom="paragraph">
                  <wp:posOffset>6740525</wp:posOffset>
                </wp:positionV>
                <wp:extent cx="2780030" cy="263715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637155"/>
                        </a:xfrm>
                        <a:prstGeom prst="rect">
                          <a:avLst/>
                        </a:prstGeom>
                        <a:noFill/>
                        <a:ln w="9525">
                          <a:noFill/>
                          <a:miter lim="800000"/>
                          <a:headEnd/>
                          <a:tailEnd/>
                        </a:ln>
                      </wps:spPr>
                      <wps:txbx>
                        <w:txbxContent>
                          <w:p w:rsidR="00072EB8" w:rsidRPr="00D119CF" w:rsidRDefault="00072EB8" w:rsidP="00BF2CAC">
                            <w:pPr>
                              <w:rPr>
                                <w:color w:val="FFFFFF" w:themeColor="background1"/>
                                <w:sz w:val="340"/>
                                <w:szCs w:val="340"/>
                                <w:lang w:val="fr-BE"/>
                              </w:rPr>
                            </w:pPr>
                            <w:r>
                              <w:rPr>
                                <w:color w:val="FFFFFF" w:themeColor="background1"/>
                                <w:sz w:val="340"/>
                                <w:szCs w:val="340"/>
                                <w:lang w:val="fr-BE"/>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35pt;margin-top:530.75pt;width:218.9pt;height:20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nODwIAAPs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" filled="f" stroked="f">
                <v:textbox>
                  <w:txbxContent>
                    <w:p w:rsidR="00072EB8" w:rsidRPr="00D119CF" w:rsidRDefault="00072EB8" w:rsidP="00BF2CAC">
                      <w:pPr>
                        <w:rPr>
                          <w:color w:val="FFFFFF" w:themeColor="background1"/>
                          <w:sz w:val="340"/>
                          <w:szCs w:val="340"/>
                          <w:lang w:val="fr-BE"/>
                        </w:rPr>
                      </w:pPr>
                      <w:r>
                        <w:rPr>
                          <w:color w:val="FFFFFF" w:themeColor="background1"/>
                          <w:sz w:val="340"/>
                          <w:szCs w:val="340"/>
                          <w:lang w:val="fr-BE"/>
                        </w:rPr>
                        <w:t>03</w:t>
                      </w:r>
                    </w:p>
                  </w:txbxContent>
                </v:textbox>
              </v:shape>
            </w:pict>
          </mc:Fallback>
        </mc:AlternateContent>
      </w:r>
      <w:r w:rsidR="009F50CD" w:rsidRPr="000C6DDA">
        <w:rPr>
          <w:lang w:val="pt-PT"/>
        </w:rPr>
        <w:br w:type="page"/>
      </w:r>
    </w:p>
    <w:p w:rsidR="000C6DDA" w:rsidRPr="000C6DDA" w:rsidRDefault="000C6DDA" w:rsidP="000C6DDA">
      <w:pPr>
        <w:rPr>
          <w:lang w:val="pt-PT"/>
        </w:rPr>
      </w:pPr>
      <w:bookmarkStart w:id="25" w:name="_Toc494992776"/>
      <w:bookmarkStart w:id="26" w:name="_Toc502916138"/>
      <w:bookmarkEnd w:id="24"/>
      <w:r w:rsidRPr="000C6DDA">
        <w:rPr>
          <w:lang w:val="pt-PT"/>
        </w:rPr>
        <w:lastRenderedPageBreak/>
        <w:t xml:space="preserve">As </w:t>
      </w:r>
      <w:r>
        <w:rPr>
          <w:lang w:val="pt-PT"/>
        </w:rPr>
        <w:t>várias</w:t>
      </w:r>
      <w:r w:rsidRPr="000C6DDA">
        <w:rPr>
          <w:lang w:val="pt-PT"/>
        </w:rPr>
        <w:t xml:space="preserve"> fases do ciclo do projeto podem exigir </w:t>
      </w:r>
      <w:r>
        <w:rPr>
          <w:lang w:val="pt-PT"/>
        </w:rPr>
        <w:t>diversas</w:t>
      </w:r>
      <w:r w:rsidRPr="000C6DDA">
        <w:rPr>
          <w:lang w:val="pt-PT"/>
        </w:rPr>
        <w:t xml:space="preserve"> formas de comunicação e visibilidade. As secções seguintes contêm instruções para a utilização de uma variedade de canais, instrumentos, atividades e produtos de comunicação e visibilidade. Contudo, tratando-se de um domínio que está con</w:t>
      </w:r>
      <w:r>
        <w:rPr>
          <w:lang w:val="pt-PT"/>
        </w:rPr>
        <w:t>stantemente em evolução</w:t>
      </w:r>
      <w:r w:rsidRPr="000C6DDA">
        <w:rPr>
          <w:lang w:val="pt-PT"/>
        </w:rPr>
        <w:t>, é impossível prever todas as eventualidades, pelo que as medidas de C&amp;V devem, regra geral, ser concebidas em consonância com as melhores práticas e o bom senso, seguindo o processo de consulta junto da UE.</w:t>
      </w:r>
      <w:r w:rsidRPr="000C6DDA">
        <w:rPr>
          <w:i/>
          <w:lang w:val="pt-PT"/>
        </w:rPr>
        <w:t xml:space="preserve"> </w:t>
      </w:r>
    </w:p>
    <w:p w:rsidR="003C5B61" w:rsidRPr="00417D09" w:rsidRDefault="003C5B61" w:rsidP="003C5B61">
      <w:pPr>
        <w:pStyle w:val="Heading2"/>
        <w:contextualSpacing w:val="0"/>
        <w:rPr>
          <w:sz w:val="40"/>
          <w:szCs w:val="40"/>
          <w:lang w:val="en-GB"/>
        </w:rPr>
      </w:pPr>
      <w:r w:rsidRPr="009626E3">
        <w:rPr>
          <w:sz w:val="40"/>
          <w:szCs w:val="40"/>
          <w:lang w:val="en-GB"/>
        </w:rPr>
        <w:t xml:space="preserve">3.1 </w:t>
      </w:r>
      <w:bookmarkEnd w:id="25"/>
      <w:bookmarkEnd w:id="26"/>
      <w:proofErr w:type="spellStart"/>
      <w:r w:rsidR="00EE42F7" w:rsidRPr="00417D09">
        <w:rPr>
          <w:sz w:val="40"/>
          <w:szCs w:val="40"/>
          <w:lang w:val="en-GB"/>
        </w:rPr>
        <w:t>Comunicação</w:t>
      </w:r>
      <w:proofErr w:type="spellEnd"/>
      <w:r w:rsidR="00EE42F7">
        <w:rPr>
          <w:sz w:val="40"/>
          <w:szCs w:val="40"/>
          <w:lang w:val="en-GB"/>
        </w:rPr>
        <w:t xml:space="preserve"> e </w:t>
      </w:r>
      <w:proofErr w:type="spellStart"/>
      <w:r w:rsidR="00EE42F7">
        <w:rPr>
          <w:sz w:val="40"/>
          <w:szCs w:val="40"/>
          <w:lang w:val="en-GB"/>
        </w:rPr>
        <w:t>visibilidade</w:t>
      </w:r>
      <w:proofErr w:type="spellEnd"/>
      <w:r w:rsidR="00EE42F7">
        <w:rPr>
          <w:sz w:val="40"/>
          <w:szCs w:val="40"/>
          <w:lang w:val="en-GB"/>
        </w:rPr>
        <w:t xml:space="preserve"> </w:t>
      </w:r>
      <w:proofErr w:type="spellStart"/>
      <w:r w:rsidR="00EE42F7">
        <w:rPr>
          <w:sz w:val="40"/>
          <w:szCs w:val="40"/>
          <w:lang w:val="en-GB"/>
        </w:rPr>
        <w:t>em</w:t>
      </w:r>
      <w:proofErr w:type="spellEnd"/>
      <w:r w:rsidR="00EE42F7">
        <w:rPr>
          <w:sz w:val="40"/>
          <w:szCs w:val="40"/>
          <w:lang w:val="en-GB"/>
        </w:rPr>
        <w:t xml:space="preserve"> </w:t>
      </w:r>
      <w:proofErr w:type="spellStart"/>
      <w:r w:rsidR="00EE42F7">
        <w:rPr>
          <w:sz w:val="40"/>
          <w:szCs w:val="40"/>
          <w:lang w:val="en-GB"/>
        </w:rPr>
        <w:t>linha</w:t>
      </w:r>
      <w:proofErr w:type="spellEnd"/>
    </w:p>
    <w:p w:rsidR="003C5B61" w:rsidRPr="00123C62" w:rsidRDefault="003C5B61" w:rsidP="003C5B61">
      <w:pPr>
        <w:rPr>
          <w:rFonts w:cs="MyriadPro-Regular"/>
          <w:color w:val="auto"/>
          <w:lang w:val="en-GB" w:eastAsia="en-GB"/>
        </w:rPr>
      </w:pPr>
      <w:r>
        <w:rPr>
          <w:color w:val="auto"/>
          <w:lang w:val="en-GB"/>
        </w:rPr>
        <w:t>I</w:t>
      </w:r>
      <w:r w:rsidRPr="00123C62">
        <w:rPr>
          <w:color w:val="auto"/>
          <w:lang w:val="en-GB"/>
        </w:rPr>
        <w:t>nformation about EU-</w:t>
      </w:r>
      <w:r>
        <w:rPr>
          <w:color w:val="auto"/>
          <w:lang w:val="en-GB"/>
        </w:rPr>
        <w:t xml:space="preserve">financed </w:t>
      </w:r>
      <w:r w:rsidRPr="00123C62">
        <w:rPr>
          <w:color w:val="auto"/>
          <w:lang w:val="en-GB"/>
        </w:rPr>
        <w:t xml:space="preserve">external actions </w:t>
      </w:r>
      <w:r>
        <w:rPr>
          <w:color w:val="auto"/>
          <w:lang w:val="en-GB"/>
        </w:rPr>
        <w:t>is disseminated through t</w:t>
      </w:r>
      <w:r w:rsidRPr="00123C62">
        <w:rPr>
          <w:color w:val="auto"/>
          <w:lang w:val="en-GB"/>
        </w:rPr>
        <w:t xml:space="preserve">he official websites, web platforms and social media </w:t>
      </w:r>
      <w:r w:rsidRPr="00674635">
        <w:rPr>
          <w:color w:val="auto"/>
          <w:lang w:val="en-GB"/>
        </w:rPr>
        <w:t xml:space="preserve">accounts </w:t>
      </w:r>
      <w:r w:rsidRPr="00123C62">
        <w:rPr>
          <w:color w:val="auto"/>
          <w:lang w:val="en-GB"/>
        </w:rPr>
        <w:t xml:space="preserve">of the Union. </w:t>
      </w:r>
      <w:r>
        <w:rPr>
          <w:color w:val="auto"/>
          <w:lang w:val="en-GB"/>
        </w:rPr>
        <w:t>At the EU's request, i</w:t>
      </w:r>
      <w:r w:rsidRPr="00123C62">
        <w:rPr>
          <w:color w:val="auto"/>
          <w:lang w:val="en-GB"/>
        </w:rPr>
        <w:t xml:space="preserve">mplementing partners </w:t>
      </w:r>
      <w:r w:rsidRPr="00123C62">
        <w:rPr>
          <w:rFonts w:cs="MyriadPro-Regular"/>
          <w:color w:val="auto"/>
          <w:lang w:val="en-GB" w:eastAsia="en-GB"/>
        </w:rPr>
        <w:t>are required</w:t>
      </w:r>
      <w:r>
        <w:rPr>
          <w:rFonts w:cs="MyriadPro-Regular"/>
          <w:color w:val="auto"/>
          <w:lang w:val="en-GB" w:eastAsia="en-GB"/>
        </w:rPr>
        <w:t xml:space="preserve"> </w:t>
      </w:r>
      <w:r w:rsidRPr="00123C62">
        <w:rPr>
          <w:rFonts w:cs="MyriadPro-Regular"/>
          <w:color w:val="auto"/>
          <w:lang w:val="en-GB" w:eastAsia="en-GB"/>
        </w:rPr>
        <w:t xml:space="preserve">to provide appropriately formatted content and visuals for publication on the relevant EU websites and social media </w:t>
      </w:r>
      <w:r>
        <w:rPr>
          <w:rFonts w:cs="MyriadPro-Regular"/>
          <w:color w:val="auto"/>
          <w:lang w:val="en-GB" w:eastAsia="en-GB"/>
        </w:rPr>
        <w:t>accounts</w:t>
      </w:r>
      <w:r w:rsidRPr="00123C62">
        <w:rPr>
          <w:rFonts w:cs="MyriadPro-Regular"/>
          <w:color w:val="auto"/>
          <w:lang w:val="en-GB" w:eastAsia="en-GB"/>
        </w:rPr>
        <w:t>.</w:t>
      </w:r>
    </w:p>
    <w:p w:rsidR="003C5B61" w:rsidRPr="00066268" w:rsidRDefault="003C5B61" w:rsidP="003C5B61">
      <w:pPr>
        <w:rPr>
          <w:color w:val="auto"/>
          <w:lang w:val="en-GB"/>
        </w:rPr>
      </w:pPr>
      <w:r w:rsidRPr="00123C62">
        <w:rPr>
          <w:color w:val="auto"/>
          <w:lang w:val="en-GB"/>
        </w:rPr>
        <w:t xml:space="preserve">Partners </w:t>
      </w:r>
      <w:r>
        <w:rPr>
          <w:color w:val="auto"/>
          <w:lang w:val="en-GB"/>
        </w:rPr>
        <w:t xml:space="preserve">must include </w:t>
      </w:r>
      <w:r w:rsidRPr="00123C62">
        <w:rPr>
          <w:color w:val="auto"/>
          <w:lang w:val="en-GB"/>
        </w:rPr>
        <w:t xml:space="preserve">information </w:t>
      </w:r>
      <w:r>
        <w:rPr>
          <w:color w:val="auto"/>
          <w:lang w:val="en-GB"/>
        </w:rPr>
        <w:t xml:space="preserve">about </w:t>
      </w:r>
      <w:r w:rsidRPr="00123C62">
        <w:rPr>
          <w:color w:val="auto"/>
          <w:lang w:val="en-GB"/>
        </w:rPr>
        <w:t>the EU-</w:t>
      </w:r>
      <w:r>
        <w:rPr>
          <w:color w:val="auto"/>
          <w:lang w:val="en-GB"/>
        </w:rPr>
        <w:t xml:space="preserve">financed </w:t>
      </w:r>
      <w:r w:rsidRPr="00123C62">
        <w:rPr>
          <w:color w:val="auto"/>
          <w:lang w:val="en-GB"/>
        </w:rPr>
        <w:t xml:space="preserve">actions they are implementing on their home websites and social media </w:t>
      </w:r>
      <w:r w:rsidRPr="00674635">
        <w:rPr>
          <w:color w:val="auto"/>
          <w:lang w:val="en-GB"/>
        </w:rPr>
        <w:t>accounts</w:t>
      </w:r>
      <w:r>
        <w:rPr>
          <w:color w:val="auto"/>
          <w:lang w:val="en-GB"/>
        </w:rPr>
        <w:t xml:space="preserve">, which </w:t>
      </w:r>
      <w:r w:rsidRPr="00066268">
        <w:rPr>
          <w:color w:val="auto"/>
          <w:lang w:val="en-GB"/>
        </w:rPr>
        <w:t xml:space="preserve">must </w:t>
      </w:r>
      <w:r>
        <w:rPr>
          <w:lang w:val="en-GB"/>
        </w:rPr>
        <w:t xml:space="preserve">prominently </w:t>
      </w:r>
      <w:r w:rsidRPr="00123C62">
        <w:rPr>
          <w:lang w:val="en-GB"/>
        </w:rPr>
        <w:t xml:space="preserve">feature the EU emblem accompanied by </w:t>
      </w:r>
      <w:r>
        <w:rPr>
          <w:lang w:val="en-GB"/>
        </w:rPr>
        <w:t>text acknowledging the support of the Union</w:t>
      </w:r>
      <w:r>
        <w:rPr>
          <w:color w:val="FF0000"/>
          <w:lang w:val="en-GB"/>
        </w:rPr>
        <w:t xml:space="preserve"> </w:t>
      </w:r>
      <w:r w:rsidRPr="00066268">
        <w:rPr>
          <w:color w:val="auto"/>
          <w:lang w:val="en-GB"/>
        </w:rPr>
        <w:t xml:space="preserve">(section 2.1.2), and include links to the relevant EU websites and social media accounts. </w:t>
      </w:r>
    </w:p>
    <w:p w:rsidR="003C5B61" w:rsidRPr="00417D09" w:rsidRDefault="003C5B61" w:rsidP="003C5B61">
      <w:pPr>
        <w:pStyle w:val="Heading3"/>
        <w:contextualSpacing w:val="0"/>
        <w:rPr>
          <w:sz w:val="32"/>
          <w:szCs w:val="32"/>
          <w:lang w:val="pt-PT"/>
        </w:rPr>
      </w:pPr>
      <w:bookmarkStart w:id="27" w:name="_Toc494992777"/>
      <w:bookmarkStart w:id="28" w:name="_Toc502916139"/>
      <w:r w:rsidRPr="00417D09">
        <w:rPr>
          <w:sz w:val="32"/>
          <w:szCs w:val="32"/>
          <w:lang w:val="pt-PT"/>
        </w:rPr>
        <w:t xml:space="preserve">3.1.1 </w:t>
      </w:r>
      <w:bookmarkEnd w:id="27"/>
      <w:bookmarkEnd w:id="28"/>
      <w:r w:rsidR="00EE42F7" w:rsidRPr="00417D09">
        <w:rPr>
          <w:sz w:val="32"/>
          <w:szCs w:val="32"/>
          <w:lang w:val="pt-PT"/>
        </w:rPr>
        <w:t>Sítios web</w:t>
      </w:r>
    </w:p>
    <w:p w:rsidR="000C6DDA" w:rsidRPr="000C6DDA" w:rsidRDefault="000C6DDA" w:rsidP="000C6DDA">
      <w:pPr>
        <w:contextualSpacing/>
        <w:rPr>
          <w:color w:val="auto"/>
          <w:lang w:val="pt-PT"/>
        </w:rPr>
      </w:pPr>
      <w:bookmarkStart w:id="29" w:name="_Toc494992778"/>
      <w:bookmarkStart w:id="30" w:name="_Toc502916140"/>
      <w:r w:rsidRPr="000C6DDA">
        <w:rPr>
          <w:color w:val="auto"/>
          <w:lang w:val="pt-PT"/>
        </w:rPr>
        <w:t>Todos os sítios web oficiais das instituições e agências da UE utilizam endereços URL no domínio de segundo nível «</w:t>
      </w:r>
      <w:r w:rsidRPr="000C6DDA">
        <w:rPr>
          <w:i/>
          <w:color w:val="auto"/>
          <w:lang w:val="pt-PT"/>
        </w:rPr>
        <w:t>europa.eu</w:t>
      </w:r>
      <w:r w:rsidRPr="000C6DDA">
        <w:rPr>
          <w:color w:val="auto"/>
          <w:lang w:val="pt-PT"/>
        </w:rPr>
        <w:t xml:space="preserve">». </w:t>
      </w:r>
    </w:p>
    <w:p w:rsidR="000C6DDA" w:rsidRPr="000C6DDA" w:rsidRDefault="000C6DDA" w:rsidP="000C6DDA">
      <w:pPr>
        <w:autoSpaceDE w:val="0"/>
        <w:autoSpaceDN w:val="0"/>
        <w:adjustRightInd w:val="0"/>
        <w:rPr>
          <w:lang w:val="pt-PT"/>
        </w:rPr>
      </w:pPr>
      <w:r w:rsidRPr="000C6DDA">
        <w:rPr>
          <w:lang w:val="pt-PT"/>
        </w:rPr>
        <w:t>Se, além de veicularem informações acerca das ações financiadas pela UE nos respetivos sítios web, os parceiros de execução pretenderem criar sítios web dedicados e localizados em servidores externos (ou seja, com endereços URL fora do domínio «</w:t>
      </w:r>
      <w:r w:rsidRPr="000C6DDA">
        <w:rPr>
          <w:i/>
          <w:lang w:val="pt-PT"/>
        </w:rPr>
        <w:t>europa.eu</w:t>
      </w:r>
      <w:r w:rsidRPr="000C6DDA">
        <w:rPr>
          <w:lang w:val="pt-PT"/>
        </w:rPr>
        <w:t>») para ações externas específicas financiadas pela UE, estes sítios web não devem utilizar os modelos oficiais do domínio «</w:t>
      </w:r>
      <w:r w:rsidRPr="000C6DDA">
        <w:rPr>
          <w:i/>
          <w:lang w:val="pt-PT"/>
        </w:rPr>
        <w:t>europa.eu</w:t>
      </w:r>
      <w:r w:rsidRPr="000C6DDA">
        <w:rPr>
          <w:lang w:val="pt-PT"/>
        </w:rPr>
        <w:t>» para a UE, mas devem cumprir os critérios de comunicação e visibilidade adequados definidos na secção 2.1. Devem dar destaque ao emblema da UE acompanhado pelo texto que reconhece o apoio da União (secção 2.1.2), ligações aos sítios web pertinentes da UE e uma declaração de exoneração de responsabilidade (secção 5.4).</w:t>
      </w:r>
    </w:p>
    <w:p w:rsidR="000C6DDA" w:rsidRDefault="000C6DDA" w:rsidP="000C6DDA">
      <w:pPr>
        <w:rPr>
          <w:lang w:val="pt-PT"/>
        </w:rPr>
      </w:pPr>
      <w:r w:rsidRPr="000C6DDA">
        <w:rPr>
          <w:lang w:val="pt-PT"/>
        </w:rPr>
        <w:t xml:space="preserve">Os parceiros devem assegurar que as informações prestadas nestes sítios web estão atualizadas e que todas </w:t>
      </w:r>
      <w:r w:rsidRPr="000C6DDA">
        <w:rPr>
          <w:color w:val="auto"/>
          <w:lang w:val="pt-PT"/>
        </w:rPr>
        <w:t>as ligações que constam do sítio funcionam corretamente. Quando as ações financiadas pela UE terminam, os parceiros devem assegurar que estes sítios web específicos indicam</w:t>
      </w:r>
      <w:r w:rsidRPr="000C6DDA">
        <w:rPr>
          <w:lang w:val="pt-PT"/>
        </w:rPr>
        <w:t xml:space="preserve"> que já não se encontram ativos ou atualizados. Quando as ações continuam sem financiamento da UE, os parceiros devem cumprir as instruções dadas na secção 2.5.</w:t>
      </w:r>
    </w:p>
    <w:p w:rsidR="000C6DDA" w:rsidRPr="000C6DDA" w:rsidRDefault="000C6DDA" w:rsidP="000C6DDA">
      <w:pPr>
        <w:autoSpaceDE w:val="0"/>
        <w:autoSpaceDN w:val="0"/>
        <w:adjustRightInd w:val="0"/>
        <w:rPr>
          <w:color w:val="auto"/>
          <w:lang w:val="pt-PT"/>
        </w:rPr>
      </w:pPr>
      <w:r w:rsidRPr="000C6DDA">
        <w:rPr>
          <w:color w:val="auto"/>
          <w:lang w:val="pt-PT"/>
        </w:rPr>
        <w:lastRenderedPageBreak/>
        <w:t>Quando as ações externas financiadas pela UE terminam, os parceiros de execução devem disponibilizar à UE, num formato adequado, todos os materiais e documentos gerados pela ação (fotografias, vídeos e produtos técnicos, tais como estudos e materiais de formação).</w:t>
      </w:r>
    </w:p>
    <w:p w:rsidR="003C5B61" w:rsidRPr="000C6DDA" w:rsidRDefault="003C5B61" w:rsidP="000C6DDA">
      <w:pPr>
        <w:pStyle w:val="Heading3"/>
        <w:rPr>
          <w:sz w:val="32"/>
          <w:szCs w:val="32"/>
          <w:lang w:val="pt-PT"/>
        </w:rPr>
      </w:pPr>
      <w:r w:rsidRPr="000C6DDA">
        <w:rPr>
          <w:sz w:val="32"/>
          <w:szCs w:val="32"/>
          <w:lang w:val="pt-PT"/>
        </w:rPr>
        <w:t xml:space="preserve">3.1.2 </w:t>
      </w:r>
      <w:bookmarkEnd w:id="29"/>
      <w:bookmarkEnd w:id="30"/>
      <w:r w:rsidR="000C6DDA">
        <w:rPr>
          <w:sz w:val="32"/>
          <w:szCs w:val="32"/>
          <w:lang w:val="pt-PT"/>
        </w:rPr>
        <w:t>Redes sociais</w:t>
      </w:r>
    </w:p>
    <w:p w:rsidR="000C6DDA" w:rsidRPr="000C6DDA" w:rsidRDefault="00615687" w:rsidP="000C6DDA">
      <w:pPr>
        <w:contextualSpacing/>
        <w:rPr>
          <w:lang w:val="pt-PT"/>
        </w:rPr>
      </w:pPr>
      <w:r>
        <w:rPr>
          <w:noProof/>
          <w:lang w:val="en-GB" w:eastAsia="en-GB"/>
        </w:rPr>
        <w:drawing>
          <wp:anchor distT="0" distB="0" distL="114300" distR="114300" simplePos="0" relativeHeight="251687936" behindDoc="0" locked="0" layoutInCell="1" allowOverlap="1" wp14:anchorId="1BEB72E3" wp14:editId="32A32DEE">
            <wp:simplePos x="0" y="0"/>
            <wp:positionH relativeFrom="column">
              <wp:posOffset>-540385</wp:posOffset>
            </wp:positionH>
            <wp:positionV relativeFrom="paragraph">
              <wp:posOffset>2345690</wp:posOffset>
            </wp:positionV>
            <wp:extent cx="7631430" cy="3635375"/>
            <wp:effectExtent l="0" t="0" r="7620" b="3175"/>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1.png"/>
                    <pic:cNvPicPr/>
                  </pic:nvPicPr>
                  <pic:blipFill>
                    <a:blip r:embed="rId15">
                      <a:extLst>
                        <a:ext uri="{28A0092B-C50C-407E-A947-70E740481C1C}">
                          <a14:useLocalDpi xmlns:a14="http://schemas.microsoft.com/office/drawing/2010/main" val="0"/>
                        </a:ext>
                      </a:extLst>
                    </a:blip>
                    <a:stretch>
                      <a:fillRect/>
                    </a:stretch>
                  </pic:blipFill>
                  <pic:spPr>
                    <a:xfrm>
                      <a:off x="0" y="0"/>
                      <a:ext cx="7631430" cy="3635375"/>
                    </a:xfrm>
                    <a:prstGeom prst="rect">
                      <a:avLst/>
                    </a:prstGeom>
                  </pic:spPr>
                </pic:pic>
              </a:graphicData>
            </a:graphic>
            <wp14:sizeRelH relativeFrom="page">
              <wp14:pctWidth>0</wp14:pctWidth>
            </wp14:sizeRelH>
            <wp14:sizeRelV relativeFrom="page">
              <wp14:pctHeight>0</wp14:pctHeight>
            </wp14:sizeRelV>
          </wp:anchor>
        </w:drawing>
      </w:r>
      <w:bookmarkEnd w:id="23"/>
      <w:r w:rsidR="000C6DDA" w:rsidRPr="000C6DDA">
        <w:rPr>
          <w:color w:val="auto"/>
          <w:lang w:val="pt-PT"/>
        </w:rPr>
        <w:t xml:space="preserve"> Se, além de veicularem informações acerca das ações financiadas pela UE nas respetivas contas nas redes sociais, os parceiros de execução pretenderem criar contas nas redes sociais dedicadas a ações externas específicas financiadas pela UE, estas</w:t>
      </w:r>
      <w:r w:rsidR="000C6DDA" w:rsidRPr="000C6DDA">
        <w:rPr>
          <w:lang w:val="pt-PT"/>
        </w:rPr>
        <w:t xml:space="preserve"> contas devem cumprir os critérios de comunicação e visibilidade adequados, definidos na secção 2.1, e as melhores práticas aplicáveis ao canal das redes sociais em causa. Devem dizer reconhecidamente respeito às ações apoiadas – e poderem ser diretamente identificadas como tal – e ostentar visivelmente o emblema da UE acompanhado pelo texto que reconhece o apoio da União Europeia (secção 2.1.2), as ligações para as contas nas redes sociais e os sítios web da UE pertinentes, bem como uma declaração de exoneração de responsabilidade (secção 5.4).</w:t>
      </w:r>
    </w:p>
    <w:p w:rsidR="000C6DDA" w:rsidRPr="000C6DDA" w:rsidRDefault="000C6DDA" w:rsidP="000C6DDA">
      <w:pPr>
        <w:rPr>
          <w:color w:val="auto"/>
          <w:lang w:val="pt-PT"/>
        </w:rPr>
      </w:pPr>
      <w:r w:rsidRPr="000C6DDA">
        <w:rPr>
          <w:lang w:val="pt-PT"/>
        </w:rPr>
        <w:t xml:space="preserve">Os parceiros devem assegurar que as informações prestadas nestas contas estão atualizadas e que todas as </w:t>
      </w:r>
      <w:r w:rsidR="007122DB">
        <w:rPr>
          <w:color w:val="auto"/>
          <w:lang w:val="pt-PT"/>
        </w:rPr>
        <w:t>ligações que constam d</w:t>
      </w:r>
      <w:r w:rsidRPr="000C6DDA">
        <w:rPr>
          <w:color w:val="auto"/>
          <w:lang w:val="pt-PT"/>
        </w:rPr>
        <w:t>a conta funcionam corretamente</w:t>
      </w:r>
      <w:r w:rsidRPr="000C6DDA">
        <w:rPr>
          <w:lang w:val="pt-PT"/>
        </w:rPr>
        <w:t>.</w:t>
      </w:r>
      <w:r w:rsidRPr="000C6DDA">
        <w:rPr>
          <w:color w:val="auto"/>
          <w:lang w:val="pt-PT"/>
        </w:rPr>
        <w:t xml:space="preserve"> Quando as ações externas financiadas pela UE que têm contas nas redes sociais especificamente dedicadas às mesmas terminam, os parceiros de execução devem assegurar que essas contas indicam claramente (ou seja, na descrição do perfil) que já não se encontram</w:t>
      </w:r>
      <w:r w:rsidRPr="000C6DDA">
        <w:rPr>
          <w:lang w:val="pt-PT"/>
        </w:rPr>
        <w:t xml:space="preserve"> ativas ou atualizadas. Quando as ações continuam sem financiamento da UE, os parceiros devem cumprir as instruções dadas na secção 2.5.</w:t>
      </w:r>
    </w:p>
    <w:p w:rsidR="00543725" w:rsidRPr="007122DB" w:rsidRDefault="00030EBF" w:rsidP="00BB64AE">
      <w:pPr>
        <w:pStyle w:val="Heading3"/>
        <w:rPr>
          <w:sz w:val="32"/>
          <w:szCs w:val="32"/>
          <w:lang w:val="pt-PT"/>
        </w:rPr>
      </w:pPr>
      <w:bookmarkStart w:id="31" w:name="_Toc502916141"/>
      <w:r w:rsidRPr="007122DB">
        <w:rPr>
          <w:sz w:val="32"/>
          <w:szCs w:val="32"/>
          <w:lang w:val="pt-PT"/>
        </w:rPr>
        <w:lastRenderedPageBreak/>
        <w:t>3.1.3</w:t>
      </w:r>
      <w:r w:rsidR="00E23B98" w:rsidRPr="007122DB">
        <w:rPr>
          <w:sz w:val="32"/>
          <w:szCs w:val="32"/>
          <w:lang w:val="pt-PT"/>
        </w:rPr>
        <w:t xml:space="preserve"> </w:t>
      </w:r>
      <w:bookmarkEnd w:id="31"/>
      <w:r w:rsidR="007122DB" w:rsidRPr="007122DB">
        <w:rPr>
          <w:sz w:val="32"/>
          <w:szCs w:val="32"/>
          <w:lang w:val="pt-PT"/>
        </w:rPr>
        <w:t>Boletins informativos eletrónicos, artigos em linha e blogues</w:t>
      </w:r>
    </w:p>
    <w:p w:rsidR="007122DB" w:rsidRPr="007122DB" w:rsidRDefault="007122DB" w:rsidP="007122DB">
      <w:pPr>
        <w:rPr>
          <w:color w:val="FF0000"/>
          <w:lang w:val="pt-PT"/>
        </w:rPr>
      </w:pPr>
      <w:bookmarkStart w:id="32" w:name="_Toc476045142"/>
      <w:bookmarkStart w:id="33" w:name="_Toc502916142"/>
      <w:r w:rsidRPr="007122DB">
        <w:rPr>
          <w:lang w:val="pt-PT"/>
        </w:rPr>
        <w:t xml:space="preserve">Os parceiros que produzam e divulguem boletins informativos eletrónicos, artigos em linha e blogues com o intuito de informar as partes interessadas visadas acerca das ações externas financiadas pela </w:t>
      </w:r>
      <w:r>
        <w:rPr>
          <w:lang w:val="pt-PT"/>
        </w:rPr>
        <w:t>UE,</w:t>
      </w:r>
      <w:r w:rsidRPr="007122DB">
        <w:rPr>
          <w:lang w:val="pt-PT"/>
        </w:rPr>
        <w:t xml:space="preserve"> </w:t>
      </w:r>
      <w:r w:rsidRPr="007122DB">
        <w:rPr>
          <w:color w:val="auto"/>
          <w:lang w:val="pt-PT"/>
        </w:rPr>
        <w:t>devem cumprir os</w:t>
      </w:r>
      <w:r w:rsidRPr="007122DB">
        <w:rPr>
          <w:lang w:val="pt-PT"/>
        </w:rPr>
        <w:t xml:space="preserve"> critérios de comunicação e visibilidade adequados definidos na secção 2.1 dos presentes requisitos e as melhores práticas aplicáveis ao canal de comunicação em causa.</w:t>
      </w:r>
    </w:p>
    <w:p w:rsidR="007122DB" w:rsidRPr="007122DB" w:rsidRDefault="007122DB" w:rsidP="007122DB">
      <w:pPr>
        <w:rPr>
          <w:lang w:val="pt-PT"/>
        </w:rPr>
      </w:pPr>
      <w:r w:rsidRPr="007122DB">
        <w:rPr>
          <w:lang w:val="pt-PT"/>
        </w:rPr>
        <w:t>Uma declaração de exoneração de responsabilidade (seção 5.4) deve indicar claramente que o boletim informativo, o artigo em linha ou o blogue em causa não refletem necessariamente a posição da União Europeia.</w:t>
      </w:r>
    </w:p>
    <w:p w:rsidR="00072D45" w:rsidRPr="007122DB" w:rsidRDefault="000E6A3F" w:rsidP="009626E3">
      <w:pPr>
        <w:pStyle w:val="Heading2"/>
        <w:contextualSpacing w:val="0"/>
        <w:jc w:val="left"/>
        <w:rPr>
          <w:sz w:val="40"/>
          <w:szCs w:val="40"/>
          <w:lang w:val="pt-PT"/>
        </w:rPr>
      </w:pPr>
      <w:r w:rsidRPr="007122DB">
        <w:rPr>
          <w:sz w:val="40"/>
          <w:szCs w:val="40"/>
          <w:lang w:val="pt-PT"/>
        </w:rPr>
        <w:t xml:space="preserve">3.2 </w:t>
      </w:r>
      <w:bookmarkEnd w:id="32"/>
      <w:bookmarkEnd w:id="33"/>
      <w:r w:rsidR="007122DB" w:rsidRPr="007122DB">
        <w:rPr>
          <w:sz w:val="40"/>
          <w:szCs w:val="40"/>
          <w:lang w:val="pt-PT"/>
        </w:rPr>
        <w:t>Campanhas de informação, eventos, visitas e reuniões com partes interessadas</w:t>
      </w:r>
    </w:p>
    <w:p w:rsidR="007122DB" w:rsidRPr="007122DB" w:rsidRDefault="007122DB" w:rsidP="007122DB">
      <w:pPr>
        <w:rPr>
          <w:lang w:val="pt-PT"/>
        </w:rPr>
      </w:pPr>
      <w:r w:rsidRPr="007122DB">
        <w:rPr>
          <w:lang w:val="pt-PT"/>
        </w:rPr>
        <w:t xml:space="preserve">As campanhas de informação, os eventos, as visitas de grande visibilidade e as reuniões com partes interessadas estão sujeitos aos critérios de comunicação e visibilidade adequados definidos na secção 2.1 dos presentes requisitos. No caso de utilização de lemas, palavras de ordem e logótipos, ver secção 2.1.2. </w:t>
      </w:r>
    </w:p>
    <w:p w:rsidR="007122DB" w:rsidRPr="007122DB" w:rsidRDefault="007122DB" w:rsidP="007122DB">
      <w:pPr>
        <w:rPr>
          <w:lang w:val="pt-PT"/>
        </w:rPr>
      </w:pPr>
      <w:r w:rsidRPr="007122DB">
        <w:rPr>
          <w:lang w:val="pt-PT"/>
        </w:rPr>
        <w:t>A delegação da UE acreditada para o país beneficiário deve estar estreitamente envolvida na preparação e na execução destes eventos, incluindo contactos com os meios de comunicação social.</w:t>
      </w:r>
    </w:p>
    <w:p w:rsidR="00DA307B" w:rsidRPr="007122DB" w:rsidRDefault="007122DB" w:rsidP="00DA307B">
      <w:pPr>
        <w:pStyle w:val="Heading6"/>
        <w:contextualSpacing w:val="0"/>
        <w:rPr>
          <w:lang w:val="pt-PT"/>
        </w:rPr>
      </w:pPr>
      <w:r w:rsidRPr="007122DB">
        <w:rPr>
          <w:lang w:val="pt-PT"/>
        </w:rPr>
        <w:t>Campanha</w:t>
      </w:r>
      <w:r w:rsidR="00DA307B" w:rsidRPr="007122DB">
        <w:rPr>
          <w:lang w:val="pt-PT"/>
        </w:rPr>
        <w:t>s</w:t>
      </w:r>
    </w:p>
    <w:p w:rsidR="007122DB" w:rsidRPr="007122DB" w:rsidRDefault="007122DB" w:rsidP="007122DB">
      <w:pPr>
        <w:rPr>
          <w:lang w:val="pt-PT"/>
        </w:rPr>
      </w:pPr>
      <w:r w:rsidRPr="007122DB">
        <w:rPr>
          <w:lang w:val="pt-PT"/>
        </w:rPr>
        <w:t xml:space="preserve">As campanhas de informação realizadas pelos parceiros de execução das ações financiadas pela </w:t>
      </w:r>
      <w:r>
        <w:rPr>
          <w:lang w:val="pt-PT"/>
        </w:rPr>
        <w:t>EU,</w:t>
      </w:r>
      <w:r w:rsidRPr="007122DB">
        <w:rPr>
          <w:lang w:val="pt-PT"/>
        </w:rPr>
        <w:t xml:space="preserve"> que ligam os objetivos operacionais dessas ações aos objetivos globais da UE no país ou na região em causa, ou que realçam os resultados alcançados por ações específicas ou pela parceria geral entre a UE e esse país ou região, devem ser aprovadas pela União e elaboradas em coordenação com a União.</w:t>
      </w:r>
    </w:p>
    <w:p w:rsidR="00072D45" w:rsidRPr="007122DB" w:rsidRDefault="000E6A3F" w:rsidP="0095131F">
      <w:pPr>
        <w:pStyle w:val="Heading6"/>
        <w:contextualSpacing w:val="0"/>
        <w:rPr>
          <w:lang w:val="pt-PT"/>
        </w:rPr>
      </w:pPr>
      <w:r w:rsidRPr="007122DB">
        <w:rPr>
          <w:lang w:val="pt-PT"/>
        </w:rPr>
        <w:t>Event</w:t>
      </w:r>
      <w:r w:rsidR="007122DB" w:rsidRPr="007122DB">
        <w:rPr>
          <w:lang w:val="pt-PT"/>
        </w:rPr>
        <w:t>o</w:t>
      </w:r>
      <w:r w:rsidRPr="007122DB">
        <w:rPr>
          <w:lang w:val="pt-PT"/>
        </w:rPr>
        <w:t>s</w:t>
      </w:r>
      <w:proofErr w:type="gramStart"/>
      <w:r w:rsidR="00DA307B" w:rsidRPr="007122DB">
        <w:rPr>
          <w:lang w:val="pt-PT"/>
        </w:rPr>
        <w:t>,</w:t>
      </w:r>
      <w:proofErr w:type="gramEnd"/>
      <w:r w:rsidR="00DA307B" w:rsidRPr="007122DB">
        <w:rPr>
          <w:lang w:val="pt-PT"/>
        </w:rPr>
        <w:t xml:space="preserve"> visit</w:t>
      </w:r>
      <w:r w:rsidR="007122DB" w:rsidRPr="007122DB">
        <w:rPr>
          <w:lang w:val="pt-PT"/>
        </w:rPr>
        <w:t>a</w:t>
      </w:r>
      <w:r w:rsidR="00DA307B" w:rsidRPr="007122DB">
        <w:rPr>
          <w:lang w:val="pt-PT"/>
        </w:rPr>
        <w:t>s</w:t>
      </w:r>
    </w:p>
    <w:p w:rsidR="007122DB" w:rsidRPr="007122DB" w:rsidRDefault="007122DB" w:rsidP="007122DB">
      <w:pPr>
        <w:rPr>
          <w:lang w:val="pt-PT"/>
        </w:rPr>
      </w:pPr>
      <w:bookmarkStart w:id="34" w:name="_Toc476045143"/>
      <w:bookmarkStart w:id="35" w:name="_Toc502916143"/>
      <w:r w:rsidRPr="007122DB">
        <w:rPr>
          <w:lang w:val="pt-PT"/>
        </w:rPr>
        <w:t xml:space="preserve">Os eventos públicos (tais como conferências, sessões de trabalho, seminários, debates, cursos de formação, feiras e exposições) financiados pelo orçamento de C&amp;V de uma dada ação financiada pela UE para publicitar os objetivos ou os resultados da ação devem ser aprovados pela União Europeia e organizados em coordenação com a União Europeia, quer o evento seja organizado diretamente pelo parceiro de execução ou não. </w:t>
      </w:r>
    </w:p>
    <w:p w:rsidR="007122DB" w:rsidRPr="007122DB" w:rsidRDefault="007122DB" w:rsidP="007122DB">
      <w:pPr>
        <w:rPr>
          <w:lang w:val="pt-PT"/>
        </w:rPr>
      </w:pPr>
      <w:r w:rsidRPr="007122DB">
        <w:rPr>
          <w:lang w:val="pt-PT"/>
        </w:rPr>
        <w:lastRenderedPageBreak/>
        <w:t>O emblema da UE (secção 5.2.1) deve aparecer em destaque nos materiais, em linha e nos locais do evento, para garantir que as pessoas que participam nos eventos têm conhecimento do apoio financeiro dado pela UE.</w:t>
      </w:r>
    </w:p>
    <w:p w:rsidR="007122DB" w:rsidRPr="007122DB" w:rsidRDefault="007122DB" w:rsidP="007122DB">
      <w:pPr>
        <w:rPr>
          <w:lang w:val="pt-PT"/>
        </w:rPr>
      </w:pPr>
      <w:r w:rsidRPr="007122DB">
        <w:rPr>
          <w:lang w:val="pt-PT"/>
        </w:rPr>
        <w:t>Aquando da organização de visitas de grande visibilidade de altos funcionários, líderes políticos e outras figuras públicas aos locais onde se realizam as ações financiadas pela UE, os parceiros devem trabalhar em conjunto com a UE para organizar uma cobertura mediática adequada</w:t>
      </w:r>
      <w:r>
        <w:rPr>
          <w:lang w:val="pt-PT"/>
        </w:rPr>
        <w:t>,</w:t>
      </w:r>
      <w:r w:rsidRPr="007122DB">
        <w:rPr>
          <w:lang w:val="pt-PT"/>
        </w:rPr>
        <w:t xml:space="preserve"> através de comunicados de imprensa, eventos mediáticos, cobertura em linha e oportunidades fotográficas. </w:t>
      </w:r>
    </w:p>
    <w:p w:rsidR="00072D45" w:rsidRPr="00EE42F7" w:rsidRDefault="000E6A3F" w:rsidP="0095131F">
      <w:pPr>
        <w:pStyle w:val="Heading2"/>
        <w:contextualSpacing w:val="0"/>
        <w:rPr>
          <w:sz w:val="40"/>
          <w:szCs w:val="40"/>
          <w:lang w:val="pt-PT"/>
        </w:rPr>
      </w:pPr>
      <w:r w:rsidRPr="00EE42F7">
        <w:rPr>
          <w:sz w:val="40"/>
          <w:szCs w:val="40"/>
          <w:lang w:val="pt-PT"/>
        </w:rPr>
        <w:t xml:space="preserve">3.3 </w:t>
      </w:r>
      <w:bookmarkEnd w:id="34"/>
      <w:bookmarkEnd w:id="35"/>
      <w:r w:rsidR="007122DB" w:rsidRPr="00EE42F7">
        <w:rPr>
          <w:sz w:val="40"/>
          <w:szCs w:val="40"/>
          <w:lang w:val="pt-PT"/>
        </w:rPr>
        <w:t xml:space="preserve">Imprensa e meios de </w:t>
      </w:r>
      <w:r w:rsidR="007122DB" w:rsidRPr="007122DB">
        <w:rPr>
          <w:sz w:val="40"/>
          <w:szCs w:val="40"/>
          <w:lang w:val="pt-PT"/>
        </w:rPr>
        <w:t>comunicação</w:t>
      </w:r>
      <w:r w:rsidR="007122DB" w:rsidRPr="00EE42F7">
        <w:rPr>
          <w:sz w:val="40"/>
          <w:szCs w:val="40"/>
          <w:lang w:val="pt-PT"/>
        </w:rPr>
        <w:t xml:space="preserve"> social</w:t>
      </w:r>
    </w:p>
    <w:p w:rsidR="00072D45" w:rsidRPr="00EE42F7" w:rsidRDefault="000E6A3F" w:rsidP="00AD6319">
      <w:pPr>
        <w:pStyle w:val="Heading3"/>
        <w:contextualSpacing w:val="0"/>
        <w:rPr>
          <w:sz w:val="32"/>
          <w:szCs w:val="32"/>
          <w:lang w:val="pt-PT"/>
        </w:rPr>
      </w:pPr>
      <w:bookmarkStart w:id="36" w:name="_Toc476045144"/>
      <w:bookmarkStart w:id="37" w:name="_Toc502916144"/>
      <w:r w:rsidRPr="00EE42F7">
        <w:rPr>
          <w:sz w:val="32"/>
          <w:szCs w:val="32"/>
          <w:lang w:val="pt-PT"/>
        </w:rPr>
        <w:t xml:space="preserve">3.3.1 </w:t>
      </w:r>
      <w:bookmarkEnd w:id="36"/>
      <w:bookmarkEnd w:id="37"/>
      <w:r w:rsidR="007122DB" w:rsidRPr="00EE42F7">
        <w:rPr>
          <w:sz w:val="32"/>
          <w:szCs w:val="32"/>
          <w:lang w:val="pt-PT"/>
        </w:rPr>
        <w:t>Comunicados de imprensa</w:t>
      </w:r>
    </w:p>
    <w:p w:rsidR="007122DB" w:rsidRPr="007122DB" w:rsidRDefault="007122DB" w:rsidP="007122DB">
      <w:pPr>
        <w:rPr>
          <w:lang w:val="pt-PT"/>
        </w:rPr>
      </w:pPr>
      <w:bookmarkStart w:id="38" w:name="_Toc476045145"/>
      <w:bookmarkStart w:id="39" w:name="_Toc502916145"/>
      <w:r w:rsidRPr="007122DB">
        <w:rPr>
          <w:lang w:val="pt-PT"/>
        </w:rPr>
        <w:t>É habitual emitir-se um comunicado de imprensa no lançamento de uma ação para dar a conhecer os seus objetivos, beneficiários e orçamento e a parceria da UE com o país ou a região em causa</w:t>
      </w:r>
      <w:r>
        <w:rPr>
          <w:lang w:val="pt-PT"/>
        </w:rPr>
        <w:t>, bem como no</w:t>
      </w:r>
      <w:r w:rsidRPr="007122DB">
        <w:rPr>
          <w:lang w:val="pt-PT"/>
        </w:rPr>
        <w:t xml:space="preserve"> final da ação para publicitar os resultados alcançados e o que a ação conseguiu realizar.</w:t>
      </w:r>
    </w:p>
    <w:p w:rsidR="007122DB" w:rsidRPr="007122DB" w:rsidRDefault="007122DB" w:rsidP="007122DB">
      <w:pPr>
        <w:rPr>
          <w:lang w:val="pt-PT"/>
        </w:rPr>
      </w:pPr>
      <w:r w:rsidRPr="007122DB">
        <w:rPr>
          <w:lang w:val="pt-PT"/>
        </w:rPr>
        <w:t>Os parceiros que pretendam emitir comunicados de imprensa ou fazer declarações públicas relacionadas com a ação financiada pela UE</w:t>
      </w:r>
      <w:r>
        <w:rPr>
          <w:lang w:val="pt-PT"/>
        </w:rPr>
        <w:t>,,</w:t>
      </w:r>
      <w:r w:rsidRPr="007122DB">
        <w:rPr>
          <w:lang w:val="pt-PT"/>
        </w:rPr>
        <w:t xml:space="preserve"> devem primeiro garantir a aprovação do texto por parte da UE. Quando o comunicado de imprensa é emitido pela União, o parceiro de execução em causa deve fornecer, mediante pedido, todas as informações técnicas e os antecedentes necessários. </w:t>
      </w:r>
    </w:p>
    <w:p w:rsidR="00072D45" w:rsidRPr="007122DB" w:rsidRDefault="000E6A3F" w:rsidP="0095131F">
      <w:pPr>
        <w:pStyle w:val="Heading3"/>
        <w:contextualSpacing w:val="0"/>
        <w:rPr>
          <w:sz w:val="32"/>
          <w:szCs w:val="32"/>
          <w:lang w:val="pt-PT"/>
        </w:rPr>
      </w:pPr>
      <w:r w:rsidRPr="007122DB">
        <w:rPr>
          <w:sz w:val="32"/>
          <w:szCs w:val="32"/>
          <w:lang w:val="pt-PT"/>
        </w:rPr>
        <w:t xml:space="preserve">3.3.2 </w:t>
      </w:r>
      <w:bookmarkEnd w:id="38"/>
      <w:bookmarkEnd w:id="39"/>
      <w:r w:rsidR="007122DB" w:rsidRPr="007122DB">
        <w:rPr>
          <w:sz w:val="32"/>
          <w:szCs w:val="32"/>
          <w:lang w:val="pt-PT"/>
        </w:rPr>
        <w:t>C</w:t>
      </w:r>
      <w:r w:rsidR="007122DB">
        <w:rPr>
          <w:sz w:val="32"/>
          <w:szCs w:val="32"/>
          <w:lang w:val="pt-PT"/>
        </w:rPr>
        <w:t>onfer</w:t>
      </w:r>
      <w:r w:rsidR="007122DB" w:rsidRPr="007122DB">
        <w:rPr>
          <w:sz w:val="32"/>
          <w:szCs w:val="32"/>
          <w:lang w:val="pt-PT"/>
        </w:rPr>
        <w:t>ências de imprensa</w:t>
      </w:r>
    </w:p>
    <w:p w:rsidR="007122DB" w:rsidRPr="007122DB" w:rsidRDefault="007122DB" w:rsidP="007122DB">
      <w:pPr>
        <w:rPr>
          <w:lang w:val="pt-PT"/>
        </w:rPr>
      </w:pPr>
      <w:bookmarkStart w:id="40" w:name="_Toc476045146"/>
      <w:bookmarkStart w:id="41" w:name="_Toc502916146"/>
      <w:r w:rsidRPr="007122DB">
        <w:rPr>
          <w:lang w:val="pt-PT"/>
        </w:rPr>
        <w:t xml:space="preserve">As conferências de imprensa realizadas no contexto do plano de comunicação e visibilidade (secção 2.3.2) de uma ação financiada pela </w:t>
      </w:r>
      <w:r w:rsidR="006B6000">
        <w:rPr>
          <w:lang w:val="pt-PT"/>
        </w:rPr>
        <w:t>UE</w:t>
      </w:r>
      <w:proofErr w:type="gramStart"/>
      <w:r w:rsidR="006B6000">
        <w:rPr>
          <w:lang w:val="pt-PT"/>
        </w:rPr>
        <w:t>,</w:t>
      </w:r>
      <w:proofErr w:type="gramEnd"/>
      <w:r w:rsidRPr="007122DB">
        <w:rPr>
          <w:lang w:val="pt-PT"/>
        </w:rPr>
        <w:t xml:space="preserve"> devem ser sempre organizadas em cooperação com a União. Na conferência de imprensa propriamente dita, a bandeira da UE deve ser exibida se forem exibidas outras bandeiras ou emblemas.</w:t>
      </w:r>
    </w:p>
    <w:p w:rsidR="00072D45" w:rsidRDefault="000E6A3F" w:rsidP="0095131F">
      <w:pPr>
        <w:pStyle w:val="Heading3"/>
        <w:contextualSpacing w:val="0"/>
        <w:rPr>
          <w:sz w:val="32"/>
          <w:szCs w:val="32"/>
          <w:lang w:val="pt-PT"/>
        </w:rPr>
      </w:pPr>
      <w:r w:rsidRPr="006B6000">
        <w:rPr>
          <w:sz w:val="32"/>
          <w:szCs w:val="32"/>
          <w:lang w:val="pt-PT"/>
        </w:rPr>
        <w:t xml:space="preserve">3.3.3 </w:t>
      </w:r>
      <w:bookmarkEnd w:id="40"/>
      <w:bookmarkEnd w:id="41"/>
      <w:r w:rsidR="006B6000" w:rsidRPr="006B6000">
        <w:rPr>
          <w:sz w:val="32"/>
          <w:szCs w:val="32"/>
          <w:lang w:val="pt-PT"/>
        </w:rPr>
        <w:t>Visitas de imprensa</w:t>
      </w:r>
    </w:p>
    <w:p w:rsidR="006B6000" w:rsidRPr="006B6000" w:rsidRDefault="006B6000" w:rsidP="006B6000">
      <w:pPr>
        <w:rPr>
          <w:lang w:val="pt-PT"/>
        </w:rPr>
      </w:pPr>
      <w:r w:rsidRPr="006B6000">
        <w:rPr>
          <w:lang w:val="pt-PT"/>
        </w:rPr>
        <w:t>As visitas dos meios de comunicação social aos locais onde as ações financiadas pela UE se realizam</w:t>
      </w:r>
      <w:r>
        <w:rPr>
          <w:lang w:val="pt-PT"/>
        </w:rPr>
        <w:t>,</w:t>
      </w:r>
      <w:r w:rsidRPr="006B6000">
        <w:rPr>
          <w:lang w:val="pt-PT"/>
        </w:rPr>
        <w:t xml:space="preserve"> devem ser bem calendarizadas e adequadamente preparadas. Em princípio, os grupos de jornalistas que visitam o local devem estar acompanhados por representantes da </w:t>
      </w:r>
      <w:r>
        <w:rPr>
          <w:lang w:val="pt-PT"/>
        </w:rPr>
        <w:t>UE.</w:t>
      </w:r>
    </w:p>
    <w:p w:rsidR="00072D45" w:rsidRPr="00EE42F7" w:rsidRDefault="00615687" w:rsidP="009626E3">
      <w:pPr>
        <w:pStyle w:val="Heading2"/>
        <w:contextualSpacing w:val="0"/>
        <w:jc w:val="left"/>
        <w:rPr>
          <w:lang w:val="pt-PT"/>
        </w:rPr>
      </w:pPr>
      <w:bookmarkStart w:id="42" w:name="_Toc476045147"/>
      <w:bookmarkStart w:id="43" w:name="_Toc502916147"/>
      <w:r>
        <w:rPr>
          <w:noProof/>
          <w:lang w:val="en-GB" w:eastAsia="en-GB"/>
        </w:rPr>
        <w:lastRenderedPageBreak/>
        <w:drawing>
          <wp:anchor distT="0" distB="0" distL="114300" distR="114300" simplePos="0" relativeHeight="251688960" behindDoc="0" locked="0" layoutInCell="1" allowOverlap="1" wp14:anchorId="24A30A2C" wp14:editId="1DC9F4F5">
            <wp:simplePos x="0" y="0"/>
            <wp:positionH relativeFrom="column">
              <wp:posOffset>-914400</wp:posOffset>
            </wp:positionH>
            <wp:positionV relativeFrom="paragraph">
              <wp:posOffset>-740410</wp:posOffset>
            </wp:positionV>
            <wp:extent cx="7631430" cy="3635375"/>
            <wp:effectExtent l="0" t="0" r="7620" b="3175"/>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png"/>
                    <pic:cNvPicPr/>
                  </pic:nvPicPr>
                  <pic:blipFill>
                    <a:blip r:embed="rId16">
                      <a:extLst>
                        <a:ext uri="{28A0092B-C50C-407E-A947-70E740481C1C}">
                          <a14:useLocalDpi xmlns:a14="http://schemas.microsoft.com/office/drawing/2010/main" val="0"/>
                        </a:ext>
                      </a:extLst>
                    </a:blip>
                    <a:stretch>
                      <a:fillRect/>
                    </a:stretch>
                  </pic:blipFill>
                  <pic:spPr>
                    <a:xfrm>
                      <a:off x="0" y="0"/>
                      <a:ext cx="7631430" cy="3635375"/>
                    </a:xfrm>
                    <a:prstGeom prst="rect">
                      <a:avLst/>
                    </a:prstGeom>
                  </pic:spPr>
                </pic:pic>
              </a:graphicData>
            </a:graphic>
            <wp14:sizeRelH relativeFrom="page">
              <wp14:pctWidth>0</wp14:pctWidth>
            </wp14:sizeRelH>
            <wp14:sizeRelV relativeFrom="page">
              <wp14:pctHeight>0</wp14:pctHeight>
            </wp14:sizeRelV>
          </wp:anchor>
        </w:drawing>
      </w:r>
      <w:r w:rsidR="000E6A3F" w:rsidRPr="00EE42F7">
        <w:rPr>
          <w:sz w:val="40"/>
          <w:szCs w:val="40"/>
          <w:lang w:val="pt-PT"/>
        </w:rPr>
        <w:t xml:space="preserve">3.4 </w:t>
      </w:r>
      <w:r w:rsidR="006B6000" w:rsidRPr="00EE42F7">
        <w:rPr>
          <w:sz w:val="40"/>
          <w:szCs w:val="40"/>
          <w:lang w:val="pt-PT"/>
        </w:rPr>
        <w:t>Material a</w:t>
      </w:r>
      <w:r w:rsidR="00DE32AB" w:rsidRPr="00EE42F7">
        <w:rPr>
          <w:sz w:val="40"/>
          <w:szCs w:val="40"/>
          <w:lang w:val="pt-PT"/>
        </w:rPr>
        <w:t>udiovisual</w:t>
      </w:r>
      <w:r w:rsidR="0076118D" w:rsidRPr="00EE42F7">
        <w:rPr>
          <w:sz w:val="40"/>
          <w:szCs w:val="40"/>
          <w:lang w:val="pt-PT"/>
        </w:rPr>
        <w:t xml:space="preserve">, </w:t>
      </w:r>
      <w:bookmarkEnd w:id="42"/>
      <w:r w:rsidR="006B6000" w:rsidRPr="00EE42F7">
        <w:rPr>
          <w:sz w:val="40"/>
          <w:szCs w:val="40"/>
          <w:lang w:val="pt-PT"/>
        </w:rPr>
        <w:t xml:space="preserve">fotografia e outras </w:t>
      </w:r>
      <w:r w:rsidR="006B6000" w:rsidRPr="006B6000">
        <w:rPr>
          <w:sz w:val="40"/>
          <w:szCs w:val="40"/>
          <w:lang w:val="pt-PT"/>
        </w:rPr>
        <w:t>produções</w:t>
      </w:r>
      <w:bookmarkEnd w:id="43"/>
    </w:p>
    <w:p w:rsidR="006B6000" w:rsidRPr="006B6000" w:rsidRDefault="006B6000" w:rsidP="006B6000">
      <w:pPr>
        <w:rPr>
          <w:lang w:val="pt-PT"/>
        </w:rPr>
      </w:pPr>
      <w:bookmarkStart w:id="44" w:name="_Toc476045148"/>
      <w:bookmarkStart w:id="45" w:name="_Toc502916148"/>
      <w:r w:rsidRPr="006B6000">
        <w:rPr>
          <w:lang w:val="pt-PT"/>
        </w:rPr>
        <w:t xml:space="preserve">O material audiovisual e fotográfico deve cumprir os critérios de comunicação e visibilidade adequados definidos na secção 2.1, bem como as normas geralmente aceites e as melhores práticas aplicáveis ao domínio em causa. </w:t>
      </w:r>
    </w:p>
    <w:p w:rsidR="006B6000" w:rsidRPr="006B6000" w:rsidRDefault="006B6000" w:rsidP="006B6000">
      <w:pPr>
        <w:rPr>
          <w:lang w:val="pt-PT"/>
        </w:rPr>
      </w:pPr>
      <w:r w:rsidRPr="006B6000">
        <w:rPr>
          <w:lang w:val="pt-PT"/>
        </w:rPr>
        <w:t>A União Europeia tem o direito de utilizar ou reproduzir todo o material audiovisual e fotográfico produzido com fundos da UE, como consta da secção 3.6 sobre direitos de propriedade intelectual.</w:t>
      </w:r>
    </w:p>
    <w:p w:rsidR="006B6000" w:rsidRPr="006B6000" w:rsidRDefault="006B6000" w:rsidP="006B6000">
      <w:pPr>
        <w:rPr>
          <w:lang w:val="pt-PT"/>
        </w:rPr>
      </w:pPr>
      <w:r w:rsidRPr="006B6000">
        <w:rPr>
          <w:lang w:val="pt-PT"/>
        </w:rPr>
        <w:t>Outros requisitos aplicáveis a produtos de comunicação e visibilidade específicos encontram-se definidos abaixo.</w:t>
      </w:r>
    </w:p>
    <w:p w:rsidR="00072D45" w:rsidRPr="006B6000" w:rsidRDefault="006B6000" w:rsidP="0095131F">
      <w:pPr>
        <w:pStyle w:val="Heading3"/>
        <w:contextualSpacing w:val="0"/>
        <w:rPr>
          <w:sz w:val="32"/>
          <w:szCs w:val="32"/>
          <w:lang w:val="pt-PT"/>
        </w:rPr>
      </w:pPr>
      <w:r w:rsidRPr="006B6000">
        <w:rPr>
          <w:sz w:val="32"/>
          <w:szCs w:val="32"/>
          <w:lang w:val="pt-PT"/>
        </w:rPr>
        <w:t>3.4.1 Ví</w:t>
      </w:r>
      <w:r w:rsidR="000E6A3F" w:rsidRPr="006B6000">
        <w:rPr>
          <w:sz w:val="32"/>
          <w:szCs w:val="32"/>
          <w:lang w:val="pt-PT"/>
        </w:rPr>
        <w:t>deo</w:t>
      </w:r>
      <w:bookmarkEnd w:id="44"/>
      <w:bookmarkEnd w:id="45"/>
    </w:p>
    <w:p w:rsidR="006B6000" w:rsidRPr="006B6000" w:rsidRDefault="006B6000" w:rsidP="006B6000">
      <w:pPr>
        <w:rPr>
          <w:lang w:val="pt-PT"/>
        </w:rPr>
      </w:pPr>
      <w:bookmarkStart w:id="46" w:name="_Toc502916149"/>
      <w:bookmarkStart w:id="47" w:name="_Toc476045149"/>
      <w:r w:rsidRPr="006B6000">
        <w:rPr>
          <w:lang w:val="pt-PT"/>
        </w:rPr>
        <w:t>Os vídeos produzidos pelas ações externas financiadas pela UE devem ser aprovados pela UE antes de serem exibidos, difundidos ou distribuídos. Devem conter o emblema da UE no início e/ou no fim da produção, acompanhado do seguinte texto:</w:t>
      </w:r>
    </w:p>
    <w:p w:rsidR="006B6000" w:rsidRPr="006B6000" w:rsidRDefault="006B6000" w:rsidP="006B6000">
      <w:pPr>
        <w:rPr>
          <w:lang w:val="pt-PT"/>
        </w:rPr>
      </w:pPr>
      <w:r w:rsidRPr="006B6000">
        <w:rPr>
          <w:lang w:val="pt-PT"/>
        </w:rPr>
        <w:t>«Este [filme/vídeo/...] foi produzido com o apoio financeiro da União Europeia.»</w:t>
      </w:r>
    </w:p>
    <w:p w:rsidR="006B6000" w:rsidRPr="006B6000" w:rsidRDefault="006B6000" w:rsidP="006B6000">
      <w:pPr>
        <w:rPr>
          <w:lang w:val="pt-PT"/>
        </w:rPr>
      </w:pPr>
      <w:r w:rsidRPr="006B6000">
        <w:rPr>
          <w:lang w:val="pt-PT"/>
        </w:rPr>
        <w:t>As declarações de exoneração de responsabilidade devem ser incluídas da forma indicada na secção 5.4.</w:t>
      </w:r>
    </w:p>
    <w:p w:rsidR="006B6000" w:rsidRPr="006B6000" w:rsidRDefault="006B6000" w:rsidP="006B6000">
      <w:pPr>
        <w:rPr>
          <w:lang w:val="pt-PT"/>
        </w:rPr>
      </w:pPr>
      <w:r w:rsidRPr="006B6000">
        <w:rPr>
          <w:lang w:val="pt-PT"/>
        </w:rPr>
        <w:t xml:space="preserve">Os parceiros de execução devem assegurar que todas essas produções </w:t>
      </w:r>
      <w:r>
        <w:rPr>
          <w:lang w:val="pt-PT"/>
        </w:rPr>
        <w:t xml:space="preserve">de </w:t>
      </w:r>
      <w:r w:rsidRPr="006B6000">
        <w:rPr>
          <w:lang w:val="pt-PT"/>
        </w:rPr>
        <w:t xml:space="preserve">vídeo são disponibilizadas à União Europeia no formato contratualmente especificado, juntamente com todas as informações relacionadas com a sua difusão, distribuição e alcance e com os </w:t>
      </w:r>
      <w:proofErr w:type="spellStart"/>
      <w:r w:rsidRPr="006B6000">
        <w:rPr>
          <w:lang w:val="pt-PT"/>
        </w:rPr>
        <w:t>metadados</w:t>
      </w:r>
      <w:proofErr w:type="spellEnd"/>
      <w:r w:rsidRPr="006B6000">
        <w:rPr>
          <w:lang w:val="pt-PT"/>
        </w:rPr>
        <w:t xml:space="preserve"> descritivos pertinentes em </w:t>
      </w:r>
      <w:r w:rsidRPr="006B6000">
        <w:rPr>
          <w:lang w:val="pt-PT"/>
        </w:rPr>
        <w:lastRenderedPageBreak/>
        <w:t xml:space="preserve">inglês, nomeadamente: título, resumo, datas de filmagem e produção, empresa de produção, realizador e </w:t>
      </w:r>
      <w:proofErr w:type="gramStart"/>
      <w:r w:rsidRPr="006B6000">
        <w:rPr>
          <w:lang w:val="pt-PT"/>
        </w:rPr>
        <w:t>versão(</w:t>
      </w:r>
      <w:proofErr w:type="spellStart"/>
      <w:r w:rsidRPr="006B6000">
        <w:rPr>
          <w:lang w:val="pt-PT"/>
        </w:rPr>
        <w:t>ões</w:t>
      </w:r>
      <w:proofErr w:type="spellEnd"/>
      <w:proofErr w:type="gramEnd"/>
      <w:r w:rsidRPr="006B6000">
        <w:rPr>
          <w:lang w:val="pt-PT"/>
        </w:rPr>
        <w:t>) linguística(s), mais o guião e o ficheiro com as legendas se disponível.</w:t>
      </w:r>
    </w:p>
    <w:p w:rsidR="00072D45" w:rsidRPr="006B6000" w:rsidRDefault="000E6A3F" w:rsidP="0095131F">
      <w:pPr>
        <w:pStyle w:val="Heading3"/>
        <w:contextualSpacing w:val="0"/>
        <w:rPr>
          <w:sz w:val="32"/>
          <w:szCs w:val="32"/>
          <w:lang w:val="pt-PT"/>
        </w:rPr>
      </w:pPr>
      <w:r w:rsidRPr="006B6000">
        <w:rPr>
          <w:sz w:val="32"/>
          <w:szCs w:val="32"/>
          <w:lang w:val="pt-PT"/>
        </w:rPr>
        <w:t xml:space="preserve">3.4.2 </w:t>
      </w:r>
      <w:r w:rsidR="00EE42F7">
        <w:rPr>
          <w:sz w:val="32"/>
          <w:szCs w:val="32"/>
          <w:lang w:val="pt-PT"/>
        </w:rPr>
        <w:t>Á</w:t>
      </w:r>
      <w:r w:rsidR="002E6E13" w:rsidRPr="006B6000">
        <w:rPr>
          <w:sz w:val="32"/>
          <w:szCs w:val="32"/>
          <w:lang w:val="pt-PT"/>
        </w:rPr>
        <w:t>udio</w:t>
      </w:r>
      <w:bookmarkEnd w:id="46"/>
      <w:r w:rsidR="002E6E13" w:rsidRPr="006B6000">
        <w:rPr>
          <w:sz w:val="32"/>
          <w:szCs w:val="32"/>
          <w:lang w:val="pt-PT"/>
        </w:rPr>
        <w:t xml:space="preserve"> </w:t>
      </w:r>
    </w:p>
    <w:p w:rsidR="006B6000" w:rsidRPr="006B6000" w:rsidRDefault="006B6000" w:rsidP="006B6000">
      <w:pPr>
        <w:rPr>
          <w:lang w:val="pt-PT"/>
        </w:rPr>
      </w:pPr>
      <w:bookmarkStart w:id="48" w:name="_Toc476045150"/>
      <w:bookmarkStart w:id="49" w:name="_Toc502916150"/>
      <w:bookmarkEnd w:id="47"/>
      <w:r w:rsidRPr="006B6000">
        <w:rPr>
          <w:lang w:val="pt-PT"/>
        </w:rPr>
        <w:t>Produções para rádio e outras produções áudio produzidas pelas ações externas financiadas pela UE devem ser aprovadas pela UE antes de serem difundidas ou distribuídas. Devem incluir a seguinte frase:</w:t>
      </w:r>
    </w:p>
    <w:p w:rsidR="006B6000" w:rsidRPr="006B6000" w:rsidRDefault="006B6000" w:rsidP="006B6000">
      <w:pPr>
        <w:rPr>
          <w:lang w:val="pt-PT"/>
        </w:rPr>
      </w:pPr>
      <w:r w:rsidRPr="006B6000">
        <w:rPr>
          <w:lang w:val="pt-PT"/>
        </w:rPr>
        <w:t>«Este [programa/...] foi produzido com o apoio financeiro da União Europeia.»</w:t>
      </w:r>
    </w:p>
    <w:p w:rsidR="006B6000" w:rsidRPr="006B6000" w:rsidRDefault="006B6000" w:rsidP="006B6000">
      <w:pPr>
        <w:rPr>
          <w:lang w:val="pt-PT"/>
        </w:rPr>
      </w:pPr>
      <w:r w:rsidRPr="006B6000">
        <w:rPr>
          <w:lang w:val="pt-PT"/>
        </w:rPr>
        <w:t>As declarações de exoneração de responsabilidade devem ser incluídas da forma indicada na secção 5.4.</w:t>
      </w:r>
    </w:p>
    <w:p w:rsidR="00DB5E5F" w:rsidRPr="006B6000" w:rsidRDefault="006B6000" w:rsidP="00DB5E5F">
      <w:pPr>
        <w:rPr>
          <w:lang w:val="pt-PT"/>
        </w:rPr>
      </w:pPr>
      <w:r w:rsidRPr="006B6000">
        <w:rPr>
          <w:lang w:val="pt-PT"/>
        </w:rPr>
        <w:t xml:space="preserve">Os parceiros de execução devem assegurar que cópias dessas produções áudio são disponibilizadas à União Europeia nos formatos contratualmente especificados, juntamente com todas as informações relacionadas com a sua difusão, distribuição e alcance e com os </w:t>
      </w:r>
      <w:proofErr w:type="spellStart"/>
      <w:r w:rsidRPr="006B6000">
        <w:rPr>
          <w:lang w:val="pt-PT"/>
        </w:rPr>
        <w:t>metadados</w:t>
      </w:r>
      <w:proofErr w:type="spellEnd"/>
      <w:r w:rsidRPr="006B6000">
        <w:rPr>
          <w:lang w:val="pt-PT"/>
        </w:rPr>
        <w:t xml:space="preserve"> descritivos pertinentes em inglês, nomeadamente: título, resumo, datas de gravação e produção, empresa de produção, realizador e </w:t>
      </w:r>
      <w:proofErr w:type="gramStart"/>
      <w:r w:rsidRPr="006B6000">
        <w:rPr>
          <w:lang w:val="pt-PT"/>
        </w:rPr>
        <w:t>versão(</w:t>
      </w:r>
      <w:proofErr w:type="spellStart"/>
      <w:r w:rsidRPr="006B6000">
        <w:rPr>
          <w:lang w:val="pt-PT"/>
        </w:rPr>
        <w:t>ões</w:t>
      </w:r>
      <w:proofErr w:type="spellEnd"/>
      <w:proofErr w:type="gramEnd"/>
      <w:r w:rsidRPr="006B6000">
        <w:rPr>
          <w:lang w:val="pt-PT"/>
        </w:rPr>
        <w:t>) linguística(s).</w:t>
      </w:r>
    </w:p>
    <w:p w:rsidR="0076118D" w:rsidRPr="006B6000" w:rsidRDefault="002E6E13" w:rsidP="00DB5E5F">
      <w:pPr>
        <w:rPr>
          <w:color w:val="404040" w:themeColor="text1" w:themeTint="BF"/>
          <w:sz w:val="32"/>
          <w:szCs w:val="32"/>
          <w:lang w:val="pt-PT"/>
        </w:rPr>
      </w:pPr>
      <w:r w:rsidRPr="006B6000">
        <w:rPr>
          <w:color w:val="404040" w:themeColor="text1" w:themeTint="BF"/>
          <w:sz w:val="32"/>
          <w:szCs w:val="32"/>
          <w:lang w:val="pt-PT"/>
        </w:rPr>
        <w:t xml:space="preserve">3.4.3 </w:t>
      </w:r>
      <w:bookmarkEnd w:id="48"/>
      <w:bookmarkEnd w:id="49"/>
      <w:r w:rsidR="006B6000" w:rsidRPr="006B6000">
        <w:rPr>
          <w:color w:val="404040" w:themeColor="text1" w:themeTint="BF"/>
          <w:sz w:val="32"/>
          <w:szCs w:val="32"/>
          <w:lang w:val="pt-PT"/>
        </w:rPr>
        <w:t>Fotografia</w:t>
      </w:r>
    </w:p>
    <w:p w:rsidR="006B6000" w:rsidRPr="006B6000" w:rsidRDefault="006B6000" w:rsidP="006B6000">
      <w:pPr>
        <w:pStyle w:val="CommentText"/>
        <w:spacing w:line="360" w:lineRule="auto"/>
        <w:rPr>
          <w:sz w:val="22"/>
          <w:szCs w:val="22"/>
          <w:lang w:val="pt-PT"/>
        </w:rPr>
      </w:pPr>
      <w:bookmarkStart w:id="50" w:name="_Toc502916151"/>
      <w:r w:rsidRPr="006B6000">
        <w:rPr>
          <w:sz w:val="22"/>
          <w:lang w:val="pt-PT"/>
        </w:rPr>
        <w:t xml:space="preserve">Os progressos, resultados e impacto das ações financiadas pela UE e dos eventos conexos devem, </w:t>
      </w:r>
      <w:r w:rsidRPr="006B6000">
        <w:rPr>
          <w:color w:val="auto"/>
          <w:sz w:val="22"/>
          <w:lang w:val="pt-PT"/>
        </w:rPr>
        <w:t>quando pertinente e possível</w:t>
      </w:r>
      <w:proofErr w:type="gramStart"/>
      <w:r w:rsidRPr="006B6000">
        <w:rPr>
          <w:color w:val="auto"/>
          <w:sz w:val="22"/>
          <w:lang w:val="pt-PT"/>
        </w:rPr>
        <w:t>,</w:t>
      </w:r>
      <w:proofErr w:type="gramEnd"/>
      <w:r w:rsidRPr="006B6000">
        <w:rPr>
          <w:sz w:val="22"/>
          <w:lang w:val="pt-PT"/>
        </w:rPr>
        <w:t xml:space="preserve"> ser documentados </w:t>
      </w:r>
      <w:r w:rsidRPr="006B6000">
        <w:rPr>
          <w:color w:val="auto"/>
          <w:sz w:val="22"/>
          <w:lang w:val="pt-PT"/>
        </w:rPr>
        <w:t>através de fotografias</w:t>
      </w:r>
      <w:r w:rsidRPr="006B6000">
        <w:rPr>
          <w:sz w:val="22"/>
          <w:lang w:val="pt-PT"/>
        </w:rPr>
        <w:t xml:space="preserve"> para utilização subsequente em ações e produtos de comunicação.</w:t>
      </w:r>
    </w:p>
    <w:p w:rsidR="006B6000" w:rsidRPr="006B6000" w:rsidRDefault="006B6000" w:rsidP="006B6000">
      <w:pPr>
        <w:tabs>
          <w:tab w:val="left" w:pos="1418"/>
        </w:tabs>
        <w:rPr>
          <w:lang w:val="pt-PT"/>
        </w:rPr>
      </w:pPr>
      <w:r w:rsidRPr="006B6000">
        <w:rPr>
          <w:lang w:val="pt-PT"/>
        </w:rPr>
        <w:t xml:space="preserve">Deve ser disponibilizada à União Europeia uma cópia de todas as fotografias produzidas no contexto das ações externas financiadas pela UE no formato contratualmente especificado. </w:t>
      </w:r>
    </w:p>
    <w:p w:rsidR="006B6000" w:rsidRPr="006B6000" w:rsidRDefault="006B6000" w:rsidP="006B6000">
      <w:pPr>
        <w:tabs>
          <w:tab w:val="left" w:pos="1418"/>
        </w:tabs>
        <w:rPr>
          <w:lang w:val="pt-PT"/>
        </w:rPr>
      </w:pPr>
      <w:r w:rsidRPr="006B6000">
        <w:rPr>
          <w:lang w:val="pt-PT"/>
        </w:rPr>
        <w:t xml:space="preserve">As fotografias devem ser acompanhadas dos </w:t>
      </w:r>
      <w:proofErr w:type="spellStart"/>
      <w:r w:rsidRPr="006B6000">
        <w:rPr>
          <w:lang w:val="pt-PT"/>
        </w:rPr>
        <w:t>metadados</w:t>
      </w:r>
      <w:proofErr w:type="spellEnd"/>
      <w:r w:rsidRPr="006B6000">
        <w:rPr>
          <w:lang w:val="pt-PT"/>
        </w:rPr>
        <w:t xml:space="preserve"> IPTC</w:t>
      </w:r>
      <w:r>
        <w:rPr>
          <w:rStyle w:val="FootnoteReference"/>
        </w:rPr>
        <w:footnoteReference w:id="9"/>
      </w:r>
      <w:r w:rsidRPr="006B6000">
        <w:rPr>
          <w:lang w:val="pt-PT"/>
        </w:rPr>
        <w:t xml:space="preserve"> ou de um ficheiro de </w:t>
      </w:r>
      <w:proofErr w:type="spellStart"/>
      <w:r w:rsidRPr="006B6000">
        <w:rPr>
          <w:lang w:val="pt-PT"/>
        </w:rPr>
        <w:t>metadados</w:t>
      </w:r>
      <w:proofErr w:type="spellEnd"/>
      <w:r w:rsidRPr="006B6000">
        <w:rPr>
          <w:lang w:val="pt-PT"/>
        </w:rPr>
        <w:t xml:space="preserve"> separado em inglês que especifique (para cada imagem) o nome do fotógrafo, a data de produção, o local de produção e uma breve descrição da imagem, incluindo nomes e funções de quaisquer indivíduos identificáveis.</w:t>
      </w:r>
    </w:p>
    <w:p w:rsidR="002E6E13" w:rsidRPr="006B6000" w:rsidRDefault="0076118D" w:rsidP="005D30BA">
      <w:pPr>
        <w:pStyle w:val="Heading3"/>
        <w:contextualSpacing w:val="0"/>
        <w:rPr>
          <w:sz w:val="32"/>
          <w:szCs w:val="32"/>
          <w:lang w:val="pt-PT"/>
        </w:rPr>
      </w:pPr>
      <w:r w:rsidRPr="00417D09">
        <w:rPr>
          <w:sz w:val="32"/>
          <w:szCs w:val="32"/>
          <w:lang w:val="pt-PT"/>
        </w:rPr>
        <w:t xml:space="preserve">3.4.4 </w:t>
      </w:r>
      <w:bookmarkEnd w:id="50"/>
      <w:r w:rsidR="006B6000" w:rsidRPr="00417D09">
        <w:rPr>
          <w:sz w:val="32"/>
          <w:szCs w:val="32"/>
          <w:lang w:val="pt-PT"/>
        </w:rPr>
        <w:t xml:space="preserve">Outros tipos de </w:t>
      </w:r>
      <w:r w:rsidR="006B6000" w:rsidRPr="006B6000">
        <w:rPr>
          <w:sz w:val="32"/>
          <w:szCs w:val="32"/>
          <w:lang w:val="pt-PT"/>
        </w:rPr>
        <w:t xml:space="preserve">produção </w:t>
      </w:r>
    </w:p>
    <w:p w:rsidR="006B6000" w:rsidRPr="006B6000" w:rsidRDefault="006B6000" w:rsidP="006B6000">
      <w:pPr>
        <w:rPr>
          <w:lang w:val="pt-PT"/>
        </w:rPr>
      </w:pPr>
      <w:bookmarkStart w:id="51" w:name="_Toc476045151"/>
      <w:bookmarkStart w:id="52" w:name="_Toc502916152"/>
      <w:r w:rsidRPr="006B6000">
        <w:rPr>
          <w:lang w:val="pt-PT"/>
        </w:rPr>
        <w:t xml:space="preserve">Em relação a produções e ações de C&amp;V tradicionais e de baixo cariz tecnológico, produzidas com fundos da UE (tais como teatro, mímica, formas de propaganda e artistas de rua), as opções de promoção da visibilidade da UE devem ser determinadas caso a caso no acordo celebrado com a União Europeia. </w:t>
      </w:r>
    </w:p>
    <w:p w:rsidR="00072D45" w:rsidRPr="00811225" w:rsidRDefault="000B692D" w:rsidP="0095131F">
      <w:pPr>
        <w:pStyle w:val="Heading2"/>
        <w:contextualSpacing w:val="0"/>
        <w:rPr>
          <w:sz w:val="40"/>
          <w:szCs w:val="40"/>
          <w:lang w:val="pt-PT"/>
        </w:rPr>
      </w:pPr>
      <w:r w:rsidRPr="009626E3">
        <w:rPr>
          <w:noProof/>
          <w:sz w:val="40"/>
          <w:szCs w:val="40"/>
          <w:lang w:val="en-GB" w:eastAsia="en-GB"/>
        </w:rPr>
        <w:lastRenderedPageBreak/>
        <w:drawing>
          <wp:anchor distT="0" distB="0" distL="114300" distR="114300" simplePos="0" relativeHeight="251691008" behindDoc="1" locked="0" layoutInCell="1" allowOverlap="1" wp14:anchorId="39C79CE6" wp14:editId="39DAF933">
            <wp:simplePos x="0" y="0"/>
            <wp:positionH relativeFrom="page">
              <wp:posOffset>0</wp:posOffset>
            </wp:positionH>
            <wp:positionV relativeFrom="paragraph">
              <wp:posOffset>681355</wp:posOffset>
            </wp:positionV>
            <wp:extent cx="7631430" cy="3635375"/>
            <wp:effectExtent l="0" t="0" r="7620" b="3175"/>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1.png"/>
                    <pic:cNvPicPr/>
                  </pic:nvPicPr>
                  <pic:blipFill>
                    <a:blip r:embed="rId17">
                      <a:extLst>
                        <a:ext uri="{28A0092B-C50C-407E-A947-70E740481C1C}">
                          <a14:useLocalDpi xmlns:a14="http://schemas.microsoft.com/office/drawing/2010/main" val="0"/>
                        </a:ext>
                      </a:extLst>
                    </a:blip>
                    <a:stretch>
                      <a:fillRect/>
                    </a:stretch>
                  </pic:blipFill>
                  <pic:spPr>
                    <a:xfrm>
                      <a:off x="0" y="0"/>
                      <a:ext cx="7631430" cy="3635375"/>
                    </a:xfrm>
                    <a:prstGeom prst="rect">
                      <a:avLst/>
                    </a:prstGeom>
                  </pic:spPr>
                </pic:pic>
              </a:graphicData>
            </a:graphic>
            <wp14:sizeRelH relativeFrom="page">
              <wp14:pctWidth>0</wp14:pctWidth>
            </wp14:sizeRelH>
            <wp14:sizeRelV relativeFrom="page">
              <wp14:pctHeight>0</wp14:pctHeight>
            </wp14:sizeRelV>
          </wp:anchor>
        </w:drawing>
      </w:r>
      <w:r w:rsidR="000E6A3F" w:rsidRPr="00811225">
        <w:rPr>
          <w:sz w:val="40"/>
          <w:szCs w:val="40"/>
          <w:lang w:val="pt-PT"/>
        </w:rPr>
        <w:t xml:space="preserve">3.5 </w:t>
      </w:r>
      <w:bookmarkEnd w:id="51"/>
      <w:bookmarkEnd w:id="52"/>
      <w:r w:rsidR="00811225" w:rsidRPr="00811225">
        <w:rPr>
          <w:sz w:val="40"/>
          <w:szCs w:val="40"/>
          <w:lang w:val="pt-PT"/>
        </w:rPr>
        <w:t>Comunica</w:t>
      </w:r>
      <w:r w:rsidR="00811225">
        <w:rPr>
          <w:sz w:val="40"/>
          <w:szCs w:val="40"/>
          <w:lang w:val="pt-PT"/>
        </w:rPr>
        <w:t>ção e visibilidade em materiais impressos</w:t>
      </w:r>
    </w:p>
    <w:p w:rsidR="000B692D" w:rsidRPr="00811225" w:rsidRDefault="000B692D" w:rsidP="000B692D">
      <w:pPr>
        <w:rPr>
          <w:lang w:val="pt-PT"/>
        </w:rPr>
      </w:pPr>
    </w:p>
    <w:p w:rsidR="00811225" w:rsidRPr="00811225" w:rsidRDefault="00811225" w:rsidP="00811225">
      <w:pPr>
        <w:rPr>
          <w:lang w:val="pt-PT"/>
        </w:rPr>
      </w:pPr>
      <w:bookmarkStart w:id="53" w:name="_Toc476045152"/>
      <w:bookmarkStart w:id="54" w:name="_Toc502916153"/>
      <w:r w:rsidRPr="00811225">
        <w:rPr>
          <w:lang w:val="pt-PT"/>
        </w:rPr>
        <w:t xml:space="preserve">Os materiais impressos de comunicação e visibilidade produzidos com financiamento da UE devem incluir de forma destacada o emblema da UE (secção 5.2.1). </w:t>
      </w:r>
    </w:p>
    <w:p w:rsidR="00072D45" w:rsidRPr="00811225" w:rsidRDefault="00560F97" w:rsidP="0095131F">
      <w:pPr>
        <w:pStyle w:val="Heading3"/>
        <w:contextualSpacing w:val="0"/>
        <w:rPr>
          <w:sz w:val="32"/>
          <w:szCs w:val="32"/>
          <w:lang w:val="pt-PT"/>
        </w:rPr>
      </w:pPr>
      <w:r w:rsidRPr="00811225">
        <w:rPr>
          <w:sz w:val="32"/>
          <w:szCs w:val="32"/>
          <w:lang w:val="pt-PT"/>
        </w:rPr>
        <w:t xml:space="preserve">3.5.1 </w:t>
      </w:r>
      <w:bookmarkEnd w:id="53"/>
      <w:bookmarkEnd w:id="54"/>
      <w:r w:rsidR="00811225" w:rsidRPr="00811225">
        <w:rPr>
          <w:sz w:val="32"/>
          <w:szCs w:val="32"/>
          <w:lang w:val="pt-PT"/>
        </w:rPr>
        <w:t>Boletins informativos, panfletos, brochuras e outros materiais impressos</w:t>
      </w:r>
    </w:p>
    <w:p w:rsidR="00811225" w:rsidRPr="00811225" w:rsidRDefault="00811225" w:rsidP="00811225">
      <w:pPr>
        <w:rPr>
          <w:lang w:val="pt-PT"/>
        </w:rPr>
      </w:pPr>
      <w:bookmarkStart w:id="55" w:name="_Toc476045153"/>
      <w:bookmarkStart w:id="56" w:name="_Toc502916154"/>
      <w:r w:rsidRPr="00811225">
        <w:rPr>
          <w:lang w:val="pt-PT"/>
        </w:rPr>
        <w:t xml:space="preserve">Embora seja necessário considerar os meios de comunicação e as práticas de distribuição da informação adequados ao público-alvo, os boletins informativos, os panfletos, as brochuras e outros materiais impressos (incluindo artigos de jornal, revistas e artigos de opinião) devem, por defeito, ser divulgados em formato eletrónico através de sítios web, redes sociais, correio eletrónico, </w:t>
      </w:r>
      <w:r>
        <w:rPr>
          <w:lang w:val="pt-PT"/>
        </w:rPr>
        <w:t xml:space="preserve">entre outros, </w:t>
      </w:r>
      <w:r w:rsidRPr="00811225">
        <w:rPr>
          <w:lang w:val="pt-PT"/>
        </w:rPr>
        <w:t>com base no plano de C&amp;V da ação em causa (ver também secção 3.1.3). Qualquer versão em papel deve ser produzida tendo em conta as melhores práticas ambientais.</w:t>
      </w:r>
    </w:p>
    <w:p w:rsidR="00811225" w:rsidRPr="00811225" w:rsidRDefault="00811225" w:rsidP="00811225">
      <w:pPr>
        <w:rPr>
          <w:lang w:val="pt-PT"/>
        </w:rPr>
      </w:pPr>
      <w:r w:rsidRPr="00811225">
        <w:rPr>
          <w:lang w:val="pt-PT"/>
        </w:rPr>
        <w:t>Os boletins informativos, os panfletos, as brochuras e outros materiais impressos devem cumprir os critérios de comunicação e visibilidade adequados definidos na secção 2.1, bem como as normas geralmente aceites e as melhores práticas aplicáveis ao domínio em causa.</w:t>
      </w:r>
    </w:p>
    <w:p w:rsidR="00811225" w:rsidRPr="00811225" w:rsidRDefault="00811225" w:rsidP="00811225">
      <w:pPr>
        <w:rPr>
          <w:lang w:val="pt-PT"/>
        </w:rPr>
      </w:pPr>
      <w:r w:rsidRPr="00811225">
        <w:rPr>
          <w:lang w:val="pt-PT"/>
        </w:rPr>
        <w:lastRenderedPageBreak/>
        <w:t xml:space="preserve">Quando os boletins informativos, panfletos, brochuras e outros materiais impressos produzidos por um parceiro incluem uma definição da União Europeia (ver secção 5.3), a capa ou a primeira página devem identificar claramente que a publicação faz parte de uma ação financiada pela UE. A parte inferior da primeira ou da última página deve incluir uma declaração de exoneração de responsabilidade (secção 5.4). </w:t>
      </w:r>
    </w:p>
    <w:p w:rsidR="00811225" w:rsidRPr="00811225" w:rsidRDefault="00811225" w:rsidP="00811225">
      <w:pPr>
        <w:tabs>
          <w:tab w:val="left" w:pos="1418"/>
        </w:tabs>
        <w:rPr>
          <w:lang w:val="pt-PT"/>
        </w:rPr>
      </w:pPr>
      <w:r w:rsidRPr="00811225">
        <w:rPr>
          <w:lang w:val="pt-PT"/>
        </w:rPr>
        <w:t xml:space="preserve">A versão eletrónica e, se disponíveis, as cópias em papel das publicações produzidas no contexto de uma ação externa financiada pela UE devem ser aprovadas pela União Europeia antes da sua publicação. </w:t>
      </w:r>
    </w:p>
    <w:p w:rsidR="00072D45" w:rsidRPr="00417D09" w:rsidRDefault="000E6A3F" w:rsidP="0095131F">
      <w:pPr>
        <w:pStyle w:val="Heading3"/>
        <w:contextualSpacing w:val="0"/>
        <w:rPr>
          <w:sz w:val="32"/>
          <w:szCs w:val="32"/>
          <w:lang w:val="pt-PT"/>
        </w:rPr>
      </w:pPr>
      <w:r w:rsidRPr="00417D09">
        <w:rPr>
          <w:sz w:val="32"/>
          <w:szCs w:val="32"/>
          <w:lang w:val="pt-PT"/>
        </w:rPr>
        <w:t xml:space="preserve">3.5.2 </w:t>
      </w:r>
      <w:bookmarkEnd w:id="55"/>
      <w:bookmarkEnd w:id="56"/>
      <w:r w:rsidR="00811225" w:rsidRPr="00417D09">
        <w:rPr>
          <w:sz w:val="32"/>
          <w:szCs w:val="32"/>
          <w:lang w:val="pt-PT"/>
        </w:rPr>
        <w:t>Painéis</w:t>
      </w:r>
    </w:p>
    <w:p w:rsidR="00072D45" w:rsidRPr="00811225" w:rsidRDefault="000E6A3F" w:rsidP="00AD6319">
      <w:pPr>
        <w:pStyle w:val="Heading4"/>
        <w:tabs>
          <w:tab w:val="left" w:pos="1418"/>
        </w:tabs>
        <w:spacing w:before="120" w:after="120" w:line="240" w:lineRule="auto"/>
        <w:contextualSpacing w:val="0"/>
        <w:rPr>
          <w:lang w:val="pt-PT"/>
        </w:rPr>
      </w:pPr>
      <w:r w:rsidRPr="00417D09">
        <w:rPr>
          <w:lang w:val="pt-PT"/>
        </w:rPr>
        <w:t xml:space="preserve">3.5.2.1 </w:t>
      </w:r>
      <w:r w:rsidR="00811225" w:rsidRPr="00417D09">
        <w:rPr>
          <w:lang w:val="pt-PT"/>
        </w:rPr>
        <w:t xml:space="preserve">Painéis de </w:t>
      </w:r>
      <w:r w:rsidR="00811225" w:rsidRPr="00811225">
        <w:rPr>
          <w:lang w:val="pt-PT"/>
        </w:rPr>
        <w:t xml:space="preserve">visualização </w:t>
      </w:r>
    </w:p>
    <w:p w:rsidR="00811225" w:rsidRPr="00811225" w:rsidRDefault="00811225" w:rsidP="00811225">
      <w:pPr>
        <w:tabs>
          <w:tab w:val="left" w:pos="1418"/>
        </w:tabs>
        <w:rPr>
          <w:lang w:val="pt-PT"/>
        </w:rPr>
      </w:pPr>
      <w:r w:rsidRPr="00811225">
        <w:rPr>
          <w:lang w:val="pt-PT"/>
        </w:rPr>
        <w:t xml:space="preserve">Os painéis de visualização devem identificar os principais resultados a alcançar e as estruturas de gestão do projeto das ações financiadas pela UE a que se referem. Devem estar bem visíveis para que os transeuntes consigam lê-los e compreender a natureza da ação e o papel da UE enquanto entidade doadora. Os painéis de visualização devem ser colocados junto a estradas de acesso ao local onde a ação está a decorrer e devem aí permanecer desde o início da ação até seis meses após a sua conclusão. </w:t>
      </w:r>
    </w:p>
    <w:p w:rsidR="00811225" w:rsidRPr="00811225" w:rsidRDefault="00811225" w:rsidP="00811225">
      <w:pPr>
        <w:tabs>
          <w:tab w:val="left" w:pos="1418"/>
        </w:tabs>
        <w:rPr>
          <w:lang w:val="pt-PT"/>
        </w:rPr>
      </w:pPr>
      <w:r w:rsidRPr="00811225">
        <w:rPr>
          <w:lang w:val="pt-PT"/>
        </w:rPr>
        <w:t>Os parceiros também devem produzir painéis de visualização para quando promovem ações financiadas pela UE em exposições ou eventos, nas entradas dos centros de formação, nas receções dos gabinetes, etc.</w:t>
      </w:r>
    </w:p>
    <w:p w:rsidR="00811225" w:rsidRPr="00811225" w:rsidRDefault="00811225" w:rsidP="00811225">
      <w:pPr>
        <w:tabs>
          <w:tab w:val="left" w:pos="1418"/>
        </w:tabs>
        <w:rPr>
          <w:lang w:val="pt-PT"/>
        </w:rPr>
      </w:pPr>
      <w:r w:rsidRPr="00811225">
        <w:rPr>
          <w:lang w:val="pt-PT"/>
        </w:rPr>
        <w:t>Quando a UE é a única entidade doadora a apoiar a ação, o emblema da UE (secção 5.2.1) deve aparecer no painel de visualização num local onde esteja em destaque. Quando existem vários doadores, o emblema da UE deve ter, no mínimo, o mesmo destaque do que os emblemas dos outros parceiros financeiros, sendo que o posicionamento dos emblemas no painel deve ser determinado de comum acordo entre todos os doadores.</w:t>
      </w:r>
    </w:p>
    <w:p w:rsidR="00072D45" w:rsidRPr="00811225" w:rsidRDefault="000E6A3F" w:rsidP="0095131F">
      <w:pPr>
        <w:pStyle w:val="Heading4"/>
        <w:tabs>
          <w:tab w:val="left" w:pos="1418"/>
          <w:tab w:val="left" w:pos="2268"/>
        </w:tabs>
        <w:spacing w:before="120" w:after="120" w:line="240" w:lineRule="auto"/>
        <w:contextualSpacing w:val="0"/>
        <w:rPr>
          <w:lang w:val="pt-PT"/>
        </w:rPr>
      </w:pPr>
      <w:r w:rsidRPr="00811225">
        <w:rPr>
          <w:lang w:val="pt-PT"/>
        </w:rPr>
        <w:t xml:space="preserve">3.5.2.2 </w:t>
      </w:r>
      <w:r w:rsidR="00811225">
        <w:rPr>
          <w:lang w:val="pt-PT"/>
        </w:rPr>
        <w:t>Faixas</w:t>
      </w:r>
    </w:p>
    <w:p w:rsidR="00811225" w:rsidRPr="00811225" w:rsidRDefault="00811225" w:rsidP="00811225">
      <w:pPr>
        <w:tabs>
          <w:tab w:val="left" w:pos="1418"/>
        </w:tabs>
        <w:rPr>
          <w:lang w:val="pt-PT"/>
        </w:rPr>
      </w:pPr>
      <w:r w:rsidRPr="00811225">
        <w:rPr>
          <w:lang w:val="pt-PT"/>
        </w:rPr>
        <w:t>Em relação às faixas de plástico ou têxtil produzidas para servirem de pano de fundo a eventos especiais, tais como inaugurações e conferências, onde a UE seja a única entidade doadora a apoiar a ação, o emblema da UE (secção 5.2.1) deve aparecer na faixa, em lugar de destaque. Quando existem vários doadores, o emblema da UE deve ter, no mínimo, o mesmo destaque do que os emblemas dos outros parceiros financeiros, sendo que o posicionamento dos emblemas na faixa deve ser determinado de comum acordo entre todos os doadores.</w:t>
      </w:r>
    </w:p>
    <w:p w:rsidR="00072D45" w:rsidRPr="00811225" w:rsidRDefault="00811225" w:rsidP="0095131F">
      <w:pPr>
        <w:pStyle w:val="Heading4"/>
        <w:tabs>
          <w:tab w:val="left" w:pos="1418"/>
        </w:tabs>
        <w:spacing w:before="120" w:after="120" w:line="240" w:lineRule="auto"/>
        <w:contextualSpacing w:val="0"/>
        <w:rPr>
          <w:lang w:val="pt-PT"/>
        </w:rPr>
      </w:pPr>
      <w:r w:rsidRPr="00811225">
        <w:rPr>
          <w:lang w:val="pt-PT"/>
        </w:rPr>
        <w:lastRenderedPageBreak/>
        <w:t>3.5.2.3 Placas comemorativas</w:t>
      </w:r>
    </w:p>
    <w:p w:rsidR="00811225" w:rsidRPr="00811225" w:rsidRDefault="00811225" w:rsidP="00811225">
      <w:pPr>
        <w:tabs>
          <w:tab w:val="left" w:pos="1418"/>
        </w:tabs>
        <w:rPr>
          <w:lang w:val="pt-PT"/>
        </w:rPr>
      </w:pPr>
      <w:bookmarkStart w:id="57" w:name="_Toc476045154"/>
      <w:bookmarkStart w:id="58" w:name="_Toc502916155"/>
      <w:r w:rsidRPr="00811225">
        <w:rPr>
          <w:lang w:val="pt-PT"/>
        </w:rPr>
        <w:t>Os contributos da UE para a construção de estruturas permanentes, tais como habitações, clínicas, fábricas, instituições, centros de formação, estradas e pontes, devem ser reconhecidos por placas comemorativas permanentes. Estas placas devem ser colocadas, por exemplo durante a cerimónia de abertura, na parte mais visível da estrutura, como é o caso da entrada principal ou da frente do edifício.</w:t>
      </w:r>
    </w:p>
    <w:p w:rsidR="00811225" w:rsidRPr="00811225" w:rsidRDefault="00811225" w:rsidP="00811225">
      <w:pPr>
        <w:tabs>
          <w:tab w:val="left" w:pos="1418"/>
        </w:tabs>
        <w:rPr>
          <w:lang w:val="pt-PT"/>
        </w:rPr>
      </w:pPr>
      <w:r w:rsidRPr="00811225">
        <w:rPr>
          <w:lang w:val="pt-PT"/>
        </w:rPr>
        <w:t>A placa deve ter a seguinte inscrição: «Este(a) [nome da estrutura] foi construído(a) com o apoio financeiro da União Europeia.»</w:t>
      </w:r>
    </w:p>
    <w:p w:rsidR="00811225" w:rsidRPr="00811225" w:rsidRDefault="00811225" w:rsidP="00811225">
      <w:pPr>
        <w:tabs>
          <w:tab w:val="left" w:pos="1418"/>
        </w:tabs>
        <w:rPr>
          <w:lang w:val="pt-PT"/>
        </w:rPr>
      </w:pPr>
      <w:r w:rsidRPr="00811225">
        <w:rPr>
          <w:lang w:val="pt-PT"/>
        </w:rPr>
        <w:t>Quando a UE é a única entidade doadora, o emblema da UE (secção 5.2.1) deve aparecer na placa em lugar de destaque. Quando existem vários doadores, o emblema da UE deve ter, no mínimo, o mesmo destaque do que os emblemas dos outros parceiros financeiros, sendo que o posicionamento dos emblemas na placa deve ser determinado de comum acordo entre todos os doadores.</w:t>
      </w:r>
    </w:p>
    <w:p w:rsidR="00072D45" w:rsidRPr="00811225" w:rsidRDefault="000E6A3F" w:rsidP="00001D2B">
      <w:pPr>
        <w:pStyle w:val="Heading3"/>
        <w:tabs>
          <w:tab w:val="left" w:pos="1418"/>
        </w:tabs>
        <w:contextualSpacing w:val="0"/>
        <w:rPr>
          <w:sz w:val="32"/>
          <w:szCs w:val="32"/>
          <w:lang w:val="pt-PT"/>
        </w:rPr>
      </w:pPr>
      <w:r w:rsidRPr="00811225">
        <w:rPr>
          <w:sz w:val="32"/>
          <w:szCs w:val="32"/>
          <w:lang w:val="pt-PT"/>
        </w:rPr>
        <w:t xml:space="preserve">3.5.3 </w:t>
      </w:r>
      <w:bookmarkEnd w:id="57"/>
      <w:bookmarkEnd w:id="58"/>
      <w:r w:rsidR="00811225" w:rsidRPr="00811225">
        <w:rPr>
          <w:sz w:val="32"/>
          <w:szCs w:val="32"/>
          <w:lang w:val="pt-PT"/>
        </w:rPr>
        <w:t>Veículos, materiais e equipamentos</w:t>
      </w:r>
    </w:p>
    <w:p w:rsidR="00811225" w:rsidRPr="00811225" w:rsidRDefault="00811225" w:rsidP="00811225">
      <w:pPr>
        <w:tabs>
          <w:tab w:val="left" w:pos="1418"/>
        </w:tabs>
        <w:rPr>
          <w:lang w:val="pt-PT"/>
        </w:rPr>
      </w:pPr>
      <w:bookmarkStart w:id="59" w:name="_Toc476045155"/>
      <w:bookmarkStart w:id="60" w:name="_Toc502916156"/>
      <w:r w:rsidRPr="00811225">
        <w:rPr>
          <w:lang w:val="pt-PT"/>
        </w:rPr>
        <w:t>Todos os veículos utilizados nas ações financiadas pela UE devem estar claramente identificados e ostentar visivelmente o emblema da UE com a frase «Fornecido com o apoio financeiro da União Europeia», na língua operacional do programa da UE e na língua local. Outros emblemas, como os logótipos do parceiro de execução e de outros doadores, podem aparecer nos veículos, mas o emblema da UE deve ter, no mínimo, o mesmo destaque do que os emblemas dos outros parceiros. Ver também a secção 2.5, relativa às regras de visibilidade aplicáveis aos veículos após a conclusão da ação.</w:t>
      </w:r>
    </w:p>
    <w:p w:rsidR="00811225" w:rsidRPr="00811225" w:rsidRDefault="00811225" w:rsidP="00811225">
      <w:pPr>
        <w:rPr>
          <w:lang w:val="pt-PT"/>
        </w:rPr>
      </w:pPr>
      <w:r w:rsidRPr="00811225">
        <w:rPr>
          <w:lang w:val="pt-PT"/>
        </w:rPr>
        <w:t xml:space="preserve">Salvo acordo em contrário com a União, quaisquer materiais ou equipamentos fornecidos no âmbito da ação financiada pela UE devem estar claramente identificados e ostentar destacadamente o emblema da UE com a frase «Fornecido com o apoio financeiro da União Europeia», na língua operacional do programa da UE e na língua local. </w:t>
      </w:r>
    </w:p>
    <w:p w:rsidR="00072D45" w:rsidRPr="00811225" w:rsidRDefault="000E6A3F" w:rsidP="0095131F">
      <w:pPr>
        <w:pStyle w:val="Heading3"/>
        <w:contextualSpacing w:val="0"/>
        <w:rPr>
          <w:sz w:val="32"/>
          <w:szCs w:val="32"/>
          <w:lang w:val="pt-PT"/>
        </w:rPr>
      </w:pPr>
      <w:r w:rsidRPr="00811225">
        <w:rPr>
          <w:sz w:val="32"/>
          <w:szCs w:val="32"/>
          <w:lang w:val="pt-PT"/>
        </w:rPr>
        <w:t xml:space="preserve">3.5.4 </w:t>
      </w:r>
      <w:r w:rsidR="00811225" w:rsidRPr="00811225">
        <w:rPr>
          <w:sz w:val="32"/>
          <w:szCs w:val="32"/>
          <w:lang w:val="pt-PT"/>
        </w:rPr>
        <w:t xml:space="preserve">Artigos de papelaria, cartões profissionais, cabeçalhos, </w:t>
      </w:r>
      <w:r w:rsidRPr="00811225">
        <w:rPr>
          <w:sz w:val="32"/>
          <w:szCs w:val="32"/>
          <w:lang w:val="pt-PT"/>
        </w:rPr>
        <w:t>etc.</w:t>
      </w:r>
      <w:bookmarkEnd w:id="59"/>
      <w:bookmarkEnd w:id="60"/>
    </w:p>
    <w:p w:rsidR="00811225" w:rsidRPr="00811225" w:rsidRDefault="00811225" w:rsidP="00811225">
      <w:pPr>
        <w:rPr>
          <w:lang w:val="pt-PT"/>
        </w:rPr>
      </w:pPr>
      <w:bookmarkStart w:id="61" w:name="_Toc476045157"/>
      <w:bookmarkStart w:id="62" w:name="_Toc502916157"/>
      <w:r w:rsidRPr="00811225">
        <w:rPr>
          <w:lang w:val="pt-PT"/>
        </w:rPr>
        <w:t xml:space="preserve">Quando o título de uma ação financiada pela UE é mencionado em artigos de papelaria (por exemplo, em cabeçalhos, linhas de assunto na correspondência, folhas de rosto num fax, cartões profissionais e assinaturas de correio eletrónico) utilizados pelo parceiro de execução, esse título deve ser acompanhado pela frase «Este projeto/programa é financiado/cofinanciado pela União Europeia» ou outra frase nesse sentido. O emblema da UE não pode, em circunstância alguma, ser utilizado nos cartões profissionais, nos artigos de papelaria ou na correspondência (seja via postal ou correio eletrónico) dos parceiros. </w:t>
      </w:r>
    </w:p>
    <w:p w:rsidR="00072D45" w:rsidRPr="00984EF6" w:rsidRDefault="000E6A3F" w:rsidP="0095131F">
      <w:pPr>
        <w:pStyle w:val="Heading2"/>
        <w:contextualSpacing w:val="0"/>
        <w:rPr>
          <w:lang w:val="pt-PT"/>
        </w:rPr>
      </w:pPr>
      <w:r w:rsidRPr="00984EF6">
        <w:rPr>
          <w:lang w:val="pt-PT"/>
        </w:rPr>
        <w:lastRenderedPageBreak/>
        <w:t xml:space="preserve">3.6 </w:t>
      </w:r>
      <w:bookmarkEnd w:id="61"/>
      <w:bookmarkEnd w:id="62"/>
      <w:r w:rsidR="00984EF6" w:rsidRPr="00984EF6">
        <w:rPr>
          <w:lang w:val="pt-PT"/>
        </w:rPr>
        <w:t>Direitos de propriedade intelectual</w:t>
      </w:r>
    </w:p>
    <w:p w:rsidR="00015AE4" w:rsidRPr="00984EF6" w:rsidRDefault="00015AE4" w:rsidP="00F27481">
      <w:pPr>
        <w:pStyle w:val="Heading3"/>
        <w:rPr>
          <w:lang w:val="pt-PT"/>
        </w:rPr>
      </w:pPr>
      <w:bookmarkStart w:id="63" w:name="_Toc502916158"/>
      <w:r w:rsidRPr="00984EF6">
        <w:rPr>
          <w:lang w:val="pt-PT"/>
        </w:rPr>
        <w:t xml:space="preserve">3.6.1 </w:t>
      </w:r>
      <w:bookmarkEnd w:id="63"/>
      <w:r w:rsidR="00984EF6" w:rsidRPr="00984EF6">
        <w:rPr>
          <w:lang w:val="pt-PT"/>
        </w:rPr>
        <w:t>Propriedade dos resultados de comunicação do parceiro de execução</w:t>
      </w:r>
    </w:p>
    <w:p w:rsidR="00984EF6" w:rsidRPr="00984EF6" w:rsidRDefault="00984EF6" w:rsidP="00984EF6">
      <w:pPr>
        <w:rPr>
          <w:lang w:val="pt-PT"/>
        </w:rPr>
      </w:pPr>
      <w:bookmarkStart w:id="64" w:name="_Toc502916159"/>
      <w:bookmarkStart w:id="65" w:name="_Toc441250839"/>
      <w:bookmarkStart w:id="66" w:name="_Toc453326727"/>
      <w:r w:rsidRPr="00984EF6">
        <w:rPr>
          <w:lang w:val="pt-PT"/>
        </w:rPr>
        <w:t xml:space="preserve">Salvo se acordado especificamente em contrário pela União Europeia antes do lançamento de uma dada ação, os parceiros de execução conservam a total propriedade, bem como a titularidade dos direitos de propriedade industrial e intelectual, de todos os materiais e produtos </w:t>
      </w:r>
      <w:proofErr w:type="gramStart"/>
      <w:r w:rsidRPr="00984EF6">
        <w:rPr>
          <w:lang w:val="pt-PT"/>
        </w:rPr>
        <w:t>(«resultados</w:t>
      </w:r>
      <w:proofErr w:type="gramEnd"/>
      <w:r w:rsidRPr="00984EF6">
        <w:rPr>
          <w:lang w:val="pt-PT"/>
        </w:rPr>
        <w:t>») de comunicação e visibilidade (C&amp;V) desenvolvidos para apoiar as ações externas financiadas pela UE abrangidas pelos presentes requisitos.</w:t>
      </w:r>
    </w:p>
    <w:p w:rsidR="00A37809" w:rsidRPr="00984EF6" w:rsidRDefault="00A37809" w:rsidP="009626E3">
      <w:pPr>
        <w:pStyle w:val="Heading3"/>
        <w:contextualSpacing w:val="0"/>
        <w:jc w:val="left"/>
        <w:rPr>
          <w:sz w:val="32"/>
          <w:szCs w:val="32"/>
          <w:lang w:val="pt-PT"/>
        </w:rPr>
      </w:pPr>
      <w:r w:rsidRPr="00984EF6">
        <w:rPr>
          <w:sz w:val="32"/>
          <w:szCs w:val="32"/>
          <w:lang w:val="pt-PT"/>
        </w:rPr>
        <w:t xml:space="preserve">3.6.2 </w:t>
      </w:r>
      <w:bookmarkEnd w:id="64"/>
      <w:r w:rsidR="00984EF6" w:rsidRPr="00984EF6">
        <w:rPr>
          <w:sz w:val="32"/>
          <w:szCs w:val="32"/>
          <w:lang w:val="pt-PT"/>
        </w:rPr>
        <w:t>Direto da UE a utilizar os resultados da comunicação e os direitos pré-existentes</w:t>
      </w:r>
    </w:p>
    <w:p w:rsidR="00984EF6" w:rsidRPr="00984EF6" w:rsidRDefault="00984EF6" w:rsidP="00984EF6">
      <w:pPr>
        <w:spacing w:after="120"/>
        <w:rPr>
          <w:lang w:val="pt-PT"/>
        </w:rPr>
      </w:pPr>
      <w:bookmarkStart w:id="67" w:name="_Toc487810193"/>
      <w:bookmarkStart w:id="68" w:name="_Toc502916160"/>
      <w:bookmarkEnd w:id="65"/>
      <w:bookmarkEnd w:id="66"/>
      <w:r w:rsidRPr="00984EF6">
        <w:rPr>
          <w:lang w:val="pt-PT"/>
        </w:rPr>
        <w:t xml:space="preserve">Os parceiros de execução concedem à União uma licença isenta de </w:t>
      </w:r>
      <w:r w:rsidRPr="00984EF6">
        <w:rPr>
          <w:i/>
          <w:lang w:val="pt-PT"/>
        </w:rPr>
        <w:t>royalties</w:t>
      </w:r>
      <w:r w:rsidRPr="00984EF6">
        <w:rPr>
          <w:lang w:val="pt-PT"/>
        </w:rPr>
        <w:t xml:space="preserve">, não exclusiva e irrevogável de utilização de todos os materiais e produtos </w:t>
      </w:r>
      <w:proofErr w:type="gramStart"/>
      <w:r w:rsidRPr="00984EF6">
        <w:rPr>
          <w:lang w:val="pt-PT"/>
        </w:rPr>
        <w:t>(«resultados</w:t>
      </w:r>
      <w:proofErr w:type="gramEnd"/>
      <w:r w:rsidRPr="00984EF6">
        <w:rPr>
          <w:lang w:val="pt-PT"/>
        </w:rPr>
        <w:t>») de comunicação e visibilidade desenvolvidos para apoiar as ações externas financiadas pela UE abrangidas pelos presentes requisitos, para os seguintes fins:</w:t>
      </w:r>
    </w:p>
    <w:p w:rsidR="00984EF6" w:rsidRPr="00984EF6" w:rsidRDefault="00984EF6" w:rsidP="00984EF6">
      <w:pPr>
        <w:adjustRightInd w:val="0"/>
        <w:spacing w:before="0"/>
        <w:ind w:left="425" w:hanging="425"/>
        <w:rPr>
          <w:i/>
          <w:lang w:val="pt-PT"/>
        </w:rPr>
      </w:pPr>
      <w:r w:rsidRPr="00984EF6">
        <w:rPr>
          <w:lang w:val="pt-PT"/>
        </w:rPr>
        <w:t>a)</w:t>
      </w:r>
      <w:r w:rsidRPr="00984EF6">
        <w:rPr>
          <w:lang w:val="pt-PT"/>
        </w:rPr>
        <w:tab/>
        <w:t>Utilização interna: a UE, em especial, tem o direito de disponibilizar estes resultados às instituições e agências da UE e dos Estados-Membros da UE, bem como aos respetivos funcionários, e para o efeito copiar e reproduzir os resultados na íntegra ou parcialmente numa quantidade ilimitada de cópias;</w:t>
      </w:r>
    </w:p>
    <w:p w:rsidR="00984EF6" w:rsidRPr="00984EF6" w:rsidRDefault="00984EF6" w:rsidP="00984EF6">
      <w:pPr>
        <w:adjustRightInd w:val="0"/>
        <w:spacing w:before="0"/>
        <w:ind w:left="425" w:hanging="425"/>
        <w:rPr>
          <w:lang w:val="pt-PT"/>
        </w:rPr>
      </w:pPr>
      <w:r w:rsidRPr="00984EF6">
        <w:rPr>
          <w:lang w:val="pt-PT"/>
        </w:rPr>
        <w:t>b)</w:t>
      </w:r>
      <w:r w:rsidRPr="00984EF6">
        <w:rPr>
          <w:lang w:val="pt-PT"/>
        </w:rPr>
        <w:tab/>
        <w:t>Reprodução: a UE tem o direito de autorizar direta ou indiretamente, temporária ou permanentemente, a reprodução destes resultados através de quaisquer meios (mecânicos, digitais ou outros) e sob qualquer formato, na íntegra ou parcialmente;</w:t>
      </w:r>
    </w:p>
    <w:p w:rsidR="00984EF6" w:rsidRPr="00984EF6" w:rsidRDefault="00984EF6" w:rsidP="00984EF6">
      <w:pPr>
        <w:adjustRightInd w:val="0"/>
        <w:spacing w:before="0"/>
        <w:ind w:left="425" w:hanging="425"/>
        <w:rPr>
          <w:lang w:val="pt-PT"/>
        </w:rPr>
      </w:pPr>
      <w:r w:rsidRPr="00984EF6">
        <w:rPr>
          <w:lang w:val="pt-PT"/>
        </w:rPr>
        <w:t>c)</w:t>
      </w:r>
      <w:r w:rsidRPr="00984EF6">
        <w:rPr>
          <w:lang w:val="pt-PT"/>
        </w:rPr>
        <w:tab/>
        <w:t>Comunicação ao público: a UE tem o direito de autorizar toda e qualquer visualização, exibição ou outra forma de comunicação destes resultados ao público utilizando todo e qualquer meio de transmissão, incluindo meios com ou sem fios, a Internet e comunicação e difusão por cabo e satélite;</w:t>
      </w:r>
    </w:p>
    <w:p w:rsidR="00984EF6" w:rsidRPr="00984EF6" w:rsidRDefault="00984EF6" w:rsidP="00984EF6">
      <w:pPr>
        <w:adjustRightInd w:val="0"/>
        <w:spacing w:before="0"/>
        <w:ind w:left="425" w:hanging="425"/>
        <w:rPr>
          <w:lang w:val="pt-PT"/>
        </w:rPr>
      </w:pPr>
      <w:r w:rsidRPr="00984EF6">
        <w:rPr>
          <w:lang w:val="pt-PT"/>
        </w:rPr>
        <w:t>d)</w:t>
      </w:r>
      <w:r w:rsidRPr="00984EF6">
        <w:rPr>
          <w:lang w:val="pt-PT"/>
        </w:rPr>
        <w:tab/>
        <w:t>Distribuição: a UE tem o direito de autorizar toda e qualquer forma de distribuição destes resultados, ou cópias dos mesmos, ao público;</w:t>
      </w:r>
    </w:p>
    <w:p w:rsidR="00984EF6" w:rsidRPr="00984EF6" w:rsidRDefault="00984EF6" w:rsidP="00984EF6">
      <w:pPr>
        <w:adjustRightInd w:val="0"/>
        <w:spacing w:before="0"/>
        <w:ind w:left="425" w:hanging="425"/>
        <w:rPr>
          <w:lang w:val="pt-PT"/>
        </w:rPr>
      </w:pPr>
      <w:r w:rsidRPr="00984EF6">
        <w:rPr>
          <w:lang w:val="pt-PT"/>
        </w:rPr>
        <w:t>e)</w:t>
      </w:r>
      <w:r w:rsidRPr="00984EF6">
        <w:rPr>
          <w:lang w:val="pt-PT"/>
        </w:rPr>
        <w:tab/>
        <w:t>Adaptação: a UE tem o direito de autorizar qualquer modificação destes resultados;</w:t>
      </w:r>
    </w:p>
    <w:p w:rsidR="00984EF6" w:rsidRPr="00984EF6" w:rsidRDefault="00984EF6" w:rsidP="00984EF6">
      <w:pPr>
        <w:adjustRightInd w:val="0"/>
        <w:spacing w:before="0"/>
        <w:ind w:left="425" w:hanging="425"/>
        <w:rPr>
          <w:lang w:val="pt-PT"/>
        </w:rPr>
      </w:pPr>
      <w:r w:rsidRPr="00984EF6">
        <w:rPr>
          <w:lang w:val="pt-PT"/>
        </w:rPr>
        <w:t>f)</w:t>
      </w:r>
      <w:r w:rsidRPr="00984EF6">
        <w:rPr>
          <w:lang w:val="pt-PT"/>
        </w:rPr>
        <w:tab/>
        <w:t>Tradução: a UE tem o direito de autorizar toda e qualquer tradução, adaptação e disposição, a criação de obras derivadas e qualquer outra alteração destes resultados, desde que os direitos morais dos autores sejam respeitados, quando aplicável;</w:t>
      </w:r>
    </w:p>
    <w:p w:rsidR="00984EF6" w:rsidRPr="00984EF6" w:rsidRDefault="00984EF6" w:rsidP="00984EF6">
      <w:pPr>
        <w:adjustRightInd w:val="0"/>
        <w:spacing w:before="0"/>
        <w:ind w:left="425" w:hanging="425"/>
        <w:rPr>
          <w:lang w:val="pt-PT"/>
        </w:rPr>
      </w:pPr>
      <w:r w:rsidRPr="00984EF6">
        <w:rPr>
          <w:lang w:val="pt-PT"/>
        </w:rPr>
        <w:t>g)</w:t>
      </w:r>
      <w:r w:rsidRPr="00984EF6">
        <w:rPr>
          <w:lang w:val="pt-PT"/>
        </w:rPr>
        <w:tab/>
      </w:r>
      <w:proofErr w:type="spellStart"/>
      <w:r w:rsidRPr="00984EF6">
        <w:rPr>
          <w:lang w:val="pt-PT"/>
        </w:rPr>
        <w:t>Sublicenciamento</w:t>
      </w:r>
      <w:proofErr w:type="spellEnd"/>
      <w:r w:rsidRPr="00984EF6">
        <w:rPr>
          <w:lang w:val="pt-PT"/>
        </w:rPr>
        <w:t xml:space="preserve">: a UE tem o direito de </w:t>
      </w:r>
      <w:proofErr w:type="spellStart"/>
      <w:r w:rsidRPr="00984EF6">
        <w:rPr>
          <w:lang w:val="pt-PT"/>
        </w:rPr>
        <w:t>sublicenciar</w:t>
      </w:r>
      <w:proofErr w:type="spellEnd"/>
      <w:r w:rsidRPr="00984EF6">
        <w:rPr>
          <w:lang w:val="pt-PT"/>
        </w:rPr>
        <w:t xml:space="preserve"> a terceiros os modos de exploração definidos nas alíneas a) a f);</w:t>
      </w:r>
    </w:p>
    <w:p w:rsidR="00984EF6" w:rsidRPr="00984EF6" w:rsidRDefault="00984EF6" w:rsidP="00984EF6">
      <w:pPr>
        <w:adjustRightInd w:val="0"/>
        <w:spacing w:before="0"/>
        <w:ind w:left="425" w:hanging="425"/>
        <w:rPr>
          <w:lang w:val="pt-PT"/>
        </w:rPr>
      </w:pPr>
      <w:r w:rsidRPr="00984EF6">
        <w:rPr>
          <w:lang w:val="pt-PT"/>
        </w:rPr>
        <w:lastRenderedPageBreak/>
        <w:t>h)</w:t>
      </w:r>
      <w:r w:rsidRPr="00984EF6">
        <w:rPr>
          <w:lang w:val="pt-PT"/>
        </w:rPr>
        <w:tab/>
        <w:t>Conservação e arquivo: a UE tem o direito de conservar e arquivar estes resultados em consonância com as suas regras internas de gestão de documentos, incluindo digitalizar ou converter o formato para efeitos de conservação ou reutilização;</w:t>
      </w:r>
    </w:p>
    <w:p w:rsidR="00984EF6" w:rsidRPr="00984EF6" w:rsidRDefault="00984EF6" w:rsidP="00984EF6">
      <w:pPr>
        <w:adjustRightInd w:val="0"/>
        <w:spacing w:before="0" w:after="100" w:afterAutospacing="1"/>
        <w:ind w:left="425" w:hanging="425"/>
        <w:rPr>
          <w:lang w:val="pt-PT"/>
        </w:rPr>
      </w:pPr>
      <w:r w:rsidRPr="00984EF6">
        <w:rPr>
          <w:lang w:val="pt-PT"/>
        </w:rPr>
        <w:t>i)</w:t>
      </w:r>
      <w:r w:rsidRPr="00984EF6">
        <w:rPr>
          <w:lang w:val="pt-PT"/>
        </w:rPr>
        <w:tab/>
        <w:t>Reutilização dos documentos: quando os resultados assumem a forma de documentos, a UE tem o direito de autorizar a sua reutilização em conformidade com a Decisão 2011/833/UE da Comissão, de 12 de dezembro de 2011, relativa à reutilização de documentos da Comissão, caso a decisão seja aplicável e se os documentos em causa estiverem abrangidos pelo âmbito de aplicação da decisão e não forem excluídos por qualquer das suas disposições. Para efeitos da presente disposição, a aceção dos termos «reutilização» e «documento» é a mesma do que a aceção que consta da Decisão 2011/833/UE.</w:t>
      </w:r>
    </w:p>
    <w:p w:rsidR="00984EF6" w:rsidRPr="00984EF6" w:rsidRDefault="00984EF6" w:rsidP="00984EF6">
      <w:pPr>
        <w:rPr>
          <w:lang w:val="pt-PT"/>
        </w:rPr>
      </w:pPr>
      <w:r w:rsidRPr="00984EF6">
        <w:rPr>
          <w:lang w:val="pt-PT"/>
        </w:rPr>
        <w:t>Esta licença abrange todos os territórios do mundo e é válida enquanto durar a proteção dos direitos de propriedade intelectual.</w:t>
      </w:r>
    </w:p>
    <w:p w:rsidR="00984EF6" w:rsidRPr="00984EF6" w:rsidRDefault="00984EF6" w:rsidP="00984EF6">
      <w:pPr>
        <w:rPr>
          <w:lang w:val="pt-PT"/>
        </w:rPr>
      </w:pPr>
      <w:r w:rsidRPr="00984EF6">
        <w:rPr>
          <w:lang w:val="pt-PT"/>
        </w:rPr>
        <w:t>Os modos de exploração supramencionados podem ser mais desenvolvidos, pormenorizados e especificados em acordos de subvenção ou contratos específicos, que podem prever mais direitos deste tipo à UE.</w:t>
      </w:r>
    </w:p>
    <w:p w:rsidR="00984EF6" w:rsidRPr="00984EF6" w:rsidRDefault="00984EF6" w:rsidP="00984EF6">
      <w:pPr>
        <w:rPr>
          <w:lang w:val="pt-PT"/>
        </w:rPr>
      </w:pPr>
      <w:r w:rsidRPr="00984EF6">
        <w:rPr>
          <w:lang w:val="pt-PT"/>
        </w:rPr>
        <w:t>Os parceiros de execução devem assegurar que os direitos pré-existentes incluídos nos resultados da ação são livres de qualquer reivindicação por parte dos criadores ou quaisquer outros terceiros e que a União tem o direito de utilizar estes direitos pré-existentes. Os direitos pré-existentes podem ser utilizados para os mesmos fins e nas mesmas condições que os aplicáveis aos direitos de utilização dos resultados de comunicação e visibilidade da ação, salvo disposição em contrário nos acordos de subvenção ou nos contratos em causa.</w:t>
      </w:r>
    </w:p>
    <w:p w:rsidR="00DE02F1" w:rsidRPr="00FC3CAF" w:rsidRDefault="00DE02F1" w:rsidP="003C5B61">
      <w:pPr>
        <w:pStyle w:val="Heading3"/>
        <w:rPr>
          <w:sz w:val="32"/>
          <w:szCs w:val="32"/>
          <w:lang w:val="pt-PT"/>
        </w:rPr>
      </w:pPr>
      <w:r w:rsidRPr="00FC3CAF">
        <w:rPr>
          <w:sz w:val="32"/>
          <w:szCs w:val="32"/>
          <w:lang w:val="pt-PT"/>
        </w:rPr>
        <w:t xml:space="preserve">3.6.3 </w:t>
      </w:r>
      <w:bookmarkEnd w:id="67"/>
      <w:bookmarkEnd w:id="68"/>
      <w:r w:rsidR="00FC3CAF" w:rsidRPr="00FC3CAF">
        <w:rPr>
          <w:sz w:val="32"/>
          <w:szCs w:val="32"/>
          <w:lang w:val="pt-PT"/>
        </w:rPr>
        <w:t>Identificação e prova da concessão dos direitos pré-existentes</w:t>
      </w:r>
    </w:p>
    <w:p w:rsidR="00FC3CAF" w:rsidRPr="00FC3CAF" w:rsidRDefault="00FC3CAF" w:rsidP="00FC3CAF">
      <w:pPr>
        <w:rPr>
          <w:lang w:val="pt-PT"/>
        </w:rPr>
      </w:pPr>
      <w:bookmarkStart w:id="69" w:name="_Toc487810194"/>
      <w:bookmarkStart w:id="70" w:name="_Toc502916161"/>
      <w:r w:rsidRPr="00FC3CAF">
        <w:rPr>
          <w:lang w:val="pt-PT"/>
        </w:rPr>
        <w:t>Os parceiros de execução devem criar uma lista com todos os direitos pré-existentes relacionados com os resultados de comunicação e visibilidade da ação, identificando os titulares desses direitos. Os parceiros de execução devem fornecer essa lista à UE o mais tardar quando apresentarem os seus pedidos de pagamento do saldo.</w:t>
      </w:r>
    </w:p>
    <w:p w:rsidR="00FC3CAF" w:rsidRPr="00FC3CAF" w:rsidRDefault="00FC3CAF" w:rsidP="00FC3CAF">
      <w:pPr>
        <w:rPr>
          <w:lang w:val="pt-PT"/>
        </w:rPr>
      </w:pPr>
      <w:r w:rsidRPr="00FC3CAF">
        <w:rPr>
          <w:lang w:val="pt-PT"/>
        </w:rPr>
        <w:t>Mediante pedido por escrito da UE, os parceiros de execução devem apresentar provas de que são titulares ou têm direito de utilizar todos os direitos pré-existentes incluídos na lista, exceto aqueles cuja titularidade seja da União Europeia ou que esta última tenha licenciado.</w:t>
      </w:r>
    </w:p>
    <w:p w:rsidR="00DE02F1" w:rsidRPr="00FC3CAF" w:rsidRDefault="00DE02F1" w:rsidP="003C5B61">
      <w:pPr>
        <w:pStyle w:val="Heading3"/>
        <w:rPr>
          <w:sz w:val="32"/>
          <w:szCs w:val="32"/>
          <w:lang w:val="pt-PT"/>
        </w:rPr>
      </w:pPr>
      <w:r w:rsidRPr="00FC3CAF">
        <w:rPr>
          <w:sz w:val="32"/>
          <w:szCs w:val="32"/>
          <w:lang w:val="pt-PT"/>
        </w:rPr>
        <w:lastRenderedPageBreak/>
        <w:t xml:space="preserve">3.6.4 </w:t>
      </w:r>
      <w:bookmarkEnd w:id="69"/>
      <w:bookmarkEnd w:id="70"/>
      <w:r w:rsidR="00FC3CAF" w:rsidRPr="00FC3CAF">
        <w:rPr>
          <w:sz w:val="32"/>
          <w:szCs w:val="32"/>
          <w:lang w:val="pt-PT"/>
        </w:rPr>
        <w:t>Direitos morais dos criadores</w:t>
      </w:r>
    </w:p>
    <w:p w:rsidR="00FC3CAF" w:rsidRPr="00FC3CAF" w:rsidRDefault="00FC3CAF" w:rsidP="00FC3CAF">
      <w:pPr>
        <w:spacing w:after="120"/>
        <w:rPr>
          <w:snapToGrid w:val="0"/>
          <w:szCs w:val="24"/>
          <w:lang w:val="pt-PT"/>
        </w:rPr>
      </w:pPr>
      <w:bookmarkStart w:id="71" w:name="_Toc487810195"/>
      <w:bookmarkStart w:id="72" w:name="_Toc502916162"/>
      <w:r w:rsidRPr="00FC3CAF">
        <w:rPr>
          <w:lang w:val="pt-PT"/>
        </w:rPr>
        <w:t xml:space="preserve">Aquando da apresentação dos resultados de comunicação e visibilidade de uma ação externa financiada pela UE, os parceiros de execução garantem que os criadores em causa não se opõem ao seguinte com base nos seus direitos morais ao abrigo dos direitos de autor: </w:t>
      </w:r>
    </w:p>
    <w:p w:rsidR="00FC3CAF" w:rsidRPr="00FC3CAF" w:rsidRDefault="00FC3CAF" w:rsidP="00FC3CAF">
      <w:pPr>
        <w:numPr>
          <w:ilvl w:val="0"/>
          <w:numId w:val="21"/>
        </w:numPr>
        <w:spacing w:before="0" w:after="100" w:afterAutospacing="1"/>
        <w:ind w:left="426" w:hanging="426"/>
        <w:rPr>
          <w:lang w:val="pt-PT"/>
        </w:rPr>
      </w:pPr>
      <w:r w:rsidRPr="00FC3CAF">
        <w:rPr>
          <w:lang w:val="pt-PT"/>
        </w:rPr>
        <w:t xml:space="preserve">Que os seus nomes sejam ou não mencionados quando os resultados são apresentados ao público; </w:t>
      </w:r>
    </w:p>
    <w:p w:rsidR="00FC3CAF" w:rsidRPr="00FC3CAF" w:rsidRDefault="00FC3CAF" w:rsidP="00FC3CAF">
      <w:pPr>
        <w:numPr>
          <w:ilvl w:val="0"/>
          <w:numId w:val="21"/>
        </w:numPr>
        <w:spacing w:before="100" w:beforeAutospacing="1" w:after="100" w:afterAutospacing="1"/>
        <w:ind w:left="426" w:hanging="426"/>
        <w:rPr>
          <w:lang w:val="pt-PT"/>
        </w:rPr>
      </w:pPr>
      <w:r w:rsidRPr="00FC3CAF">
        <w:rPr>
          <w:lang w:val="pt-PT"/>
        </w:rPr>
        <w:t xml:space="preserve">Que os resultados sejam ou não divulgados após terem sido apresentados na sua versão final à União Europeia; </w:t>
      </w:r>
    </w:p>
    <w:p w:rsidR="00FC3CAF" w:rsidRPr="00FC3CAF" w:rsidRDefault="00FC3CAF" w:rsidP="00FC3CAF">
      <w:pPr>
        <w:numPr>
          <w:ilvl w:val="0"/>
          <w:numId w:val="21"/>
        </w:numPr>
        <w:spacing w:before="100" w:beforeAutospacing="1" w:after="100" w:afterAutospacing="1"/>
        <w:ind w:left="426" w:hanging="426"/>
        <w:rPr>
          <w:lang w:val="pt-PT"/>
        </w:rPr>
      </w:pPr>
      <w:r w:rsidRPr="00FC3CAF">
        <w:rPr>
          <w:lang w:val="pt-PT"/>
        </w:rPr>
        <w:t xml:space="preserve">Que os resultados sejam adaptados como previsto na secção 3.6.2 dos presentes requisitos, desde que tal seja feito de forma que não seja prejudicial à honra ou reputação dos criadores. </w:t>
      </w:r>
    </w:p>
    <w:p w:rsidR="00C64A9A" w:rsidRPr="00FC3CAF" w:rsidRDefault="00FC3CAF" w:rsidP="00FC3CAF">
      <w:pPr>
        <w:spacing w:before="100" w:beforeAutospacing="1" w:after="100" w:afterAutospacing="1"/>
        <w:rPr>
          <w:bCs/>
          <w:snapToGrid w:val="0"/>
          <w:szCs w:val="24"/>
          <w:lang w:val="pt-PT"/>
        </w:rPr>
      </w:pPr>
      <w:r w:rsidRPr="00FC3CAF">
        <w:rPr>
          <w:lang w:val="pt-PT"/>
        </w:rPr>
        <w:t xml:space="preserve">Caso existam direitos morais de partes dos resultados protegidos pelos direitos de autor, os parceiros de execução devem obter o consentimento dos criadores em causa para conceder ou renunciar aos direitos morais pertinentes em conformidade com as disposições jurídicas aplicáveis e, mediante pedido, apresentar provas documentais para o efeito. </w:t>
      </w:r>
    </w:p>
    <w:p w:rsidR="00DE02F1" w:rsidRPr="00FC3CAF" w:rsidRDefault="00DE02F1" w:rsidP="003C5B61">
      <w:pPr>
        <w:pStyle w:val="Heading3"/>
        <w:rPr>
          <w:sz w:val="32"/>
          <w:szCs w:val="32"/>
          <w:lang w:val="pt-PT"/>
        </w:rPr>
      </w:pPr>
      <w:r w:rsidRPr="00FC3CAF">
        <w:rPr>
          <w:sz w:val="32"/>
          <w:szCs w:val="32"/>
          <w:lang w:val="pt-PT"/>
        </w:rPr>
        <w:t xml:space="preserve">3.6.5 </w:t>
      </w:r>
      <w:bookmarkEnd w:id="71"/>
      <w:bookmarkEnd w:id="72"/>
      <w:r w:rsidR="00FC3CAF" w:rsidRPr="00FC3CAF">
        <w:rPr>
          <w:sz w:val="32"/>
          <w:szCs w:val="32"/>
          <w:lang w:val="pt-PT"/>
        </w:rPr>
        <w:t>Direitos de imagem e gravações de som</w:t>
      </w:r>
    </w:p>
    <w:p w:rsidR="00FC3CAF" w:rsidRPr="00FC3CAF" w:rsidRDefault="00FC3CAF" w:rsidP="00FC3CAF">
      <w:pPr>
        <w:spacing w:before="100" w:beforeAutospacing="1" w:after="100" w:afterAutospacing="1"/>
        <w:rPr>
          <w:bCs/>
          <w:snapToGrid w:val="0"/>
          <w:szCs w:val="24"/>
          <w:lang w:val="pt-PT"/>
        </w:rPr>
      </w:pPr>
      <w:bookmarkStart w:id="73" w:name="_Toc487810196"/>
      <w:bookmarkStart w:id="74" w:name="_Toc502916163"/>
      <w:r w:rsidRPr="00FC3CAF">
        <w:rPr>
          <w:lang w:val="pt-PT"/>
        </w:rPr>
        <w:t>Se aparecerem imagens de pessoas singulares, as suas vozes ou quaisquer outros atributos pessoais privados de forma reconhecível nos resultados de comunicação e visibilidade de uma ação externa financiada pela UE, os parceiros de execução devem obter declarações das pessoas em causa (ou, se forem menores, das pessoas que exercem a autoridade parental) em como autorizam a utilização especificada da sua imagem, voz ou outro atributo pessoal privado e, mediante pedido, apresentar cópias dessas declarações à União Europeia. Os parceiros devem tomar as medidas necessárias para obter as referidas autorizações em conformidade com as disposições jurídicas aplicáveis.</w:t>
      </w:r>
    </w:p>
    <w:p w:rsidR="00DE02F1" w:rsidRPr="00FC3CAF" w:rsidRDefault="003C5B61" w:rsidP="003C5B61">
      <w:pPr>
        <w:pStyle w:val="Heading3"/>
        <w:rPr>
          <w:sz w:val="32"/>
          <w:szCs w:val="32"/>
          <w:lang w:val="pt-PT"/>
        </w:rPr>
      </w:pPr>
      <w:r w:rsidRPr="00FC3CAF">
        <w:rPr>
          <w:sz w:val="32"/>
          <w:szCs w:val="32"/>
          <w:lang w:val="pt-PT"/>
        </w:rPr>
        <w:t>3.6.6</w:t>
      </w:r>
      <w:r w:rsidR="00DE02F1" w:rsidRPr="00FC3CAF">
        <w:rPr>
          <w:sz w:val="32"/>
          <w:szCs w:val="32"/>
          <w:lang w:val="pt-PT"/>
        </w:rPr>
        <w:t xml:space="preserve"> </w:t>
      </w:r>
      <w:bookmarkEnd w:id="73"/>
      <w:bookmarkEnd w:id="74"/>
      <w:r w:rsidR="00FC3CAF" w:rsidRPr="00FC3CAF">
        <w:rPr>
          <w:sz w:val="32"/>
          <w:szCs w:val="32"/>
          <w:lang w:val="pt-PT"/>
        </w:rPr>
        <w:t>Declaração sobre os direitos de autor</w:t>
      </w:r>
    </w:p>
    <w:p w:rsidR="00FC3CAF" w:rsidRPr="00FC3CAF" w:rsidRDefault="00FC3CAF" w:rsidP="00FC3CAF">
      <w:pPr>
        <w:spacing w:before="100" w:beforeAutospacing="1" w:after="100" w:afterAutospacing="1"/>
        <w:rPr>
          <w:bCs/>
          <w:snapToGrid w:val="0"/>
          <w:szCs w:val="24"/>
          <w:lang w:val="pt-PT"/>
        </w:rPr>
      </w:pPr>
      <w:bookmarkStart w:id="75" w:name="_Toc476045158"/>
      <w:r w:rsidRPr="00FC3CAF">
        <w:rPr>
          <w:lang w:val="pt-PT"/>
        </w:rPr>
        <w:t>As informações acerca da titularidade dos direitos de autor devem ser incluídas nos resultados de comunicação e visibilidade das ações externas financiadas pela UE, com a seguinte redação: «© — ano — nome do titular dos direitos de autor.</w:t>
      </w:r>
      <w:r w:rsidRPr="00FC3CAF">
        <w:rPr>
          <w:i/>
          <w:lang w:val="pt-PT"/>
        </w:rPr>
        <w:t xml:space="preserve"> </w:t>
      </w:r>
      <w:r w:rsidRPr="00FC3CAF">
        <w:rPr>
          <w:lang w:val="pt-PT"/>
        </w:rPr>
        <w:t>Todos os direitos reservados.</w:t>
      </w:r>
      <w:r w:rsidRPr="00FC3CAF">
        <w:rPr>
          <w:i/>
          <w:lang w:val="pt-PT"/>
        </w:rPr>
        <w:t xml:space="preserve"> </w:t>
      </w:r>
      <w:r w:rsidRPr="00FC3CAF">
        <w:rPr>
          <w:lang w:val="pt-PT"/>
        </w:rPr>
        <w:t>Licenciado à União Europeia sob condições.»</w:t>
      </w:r>
    </w:p>
    <w:p w:rsidR="00723803" w:rsidRPr="00FC3CAF" w:rsidRDefault="00723803" w:rsidP="007E7992">
      <w:pPr>
        <w:pStyle w:val="Heading1"/>
        <w:contextualSpacing w:val="0"/>
        <w:rPr>
          <w:lang w:val="pt-PT"/>
        </w:rPr>
      </w:pPr>
    </w:p>
    <w:p w:rsidR="00723803" w:rsidRPr="00FC3CAF" w:rsidRDefault="00723803">
      <w:pPr>
        <w:pBdr>
          <w:top w:val="nil"/>
          <w:left w:val="nil"/>
          <w:bottom w:val="nil"/>
          <w:right w:val="nil"/>
          <w:between w:val="nil"/>
          <w:bar w:val="nil"/>
        </w:pBdr>
        <w:spacing w:before="0" w:line="240" w:lineRule="auto"/>
        <w:jc w:val="left"/>
        <w:rPr>
          <w:sz w:val="40"/>
          <w:szCs w:val="40"/>
          <w:lang w:val="pt-PT"/>
        </w:rPr>
      </w:pPr>
      <w:r w:rsidRPr="00FC3CAF">
        <w:rPr>
          <w:lang w:val="pt-PT"/>
        </w:rPr>
        <w:br w:type="page"/>
      </w:r>
    </w:p>
    <w:p w:rsidR="00302903" w:rsidRPr="00FC3CAF" w:rsidRDefault="000B692D" w:rsidP="007E7992">
      <w:pPr>
        <w:pStyle w:val="Heading1"/>
        <w:contextualSpacing w:val="0"/>
        <w:rPr>
          <w:lang w:val="pt-PT"/>
        </w:rPr>
      </w:pPr>
      <w:bookmarkStart w:id="76" w:name="_Toc502916164"/>
      <w:r>
        <w:rPr>
          <w:noProof/>
          <w:lang w:val="en-GB" w:eastAsia="en-GB"/>
        </w:rPr>
        <w:lastRenderedPageBreak/>
        <w:drawing>
          <wp:anchor distT="0" distB="0" distL="114300" distR="114300" simplePos="0" relativeHeight="251678720" behindDoc="1" locked="0" layoutInCell="1" allowOverlap="1" wp14:anchorId="25DE889E" wp14:editId="652BD815">
            <wp:simplePos x="0" y="0"/>
            <wp:positionH relativeFrom="column">
              <wp:posOffset>-595973</wp:posOffset>
            </wp:positionH>
            <wp:positionV relativeFrom="paragraph">
              <wp:posOffset>-812165</wp:posOffset>
            </wp:positionV>
            <wp:extent cx="7617460" cy="107638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04 - Communication and Visibility-01.png"/>
                    <pic:cNvPicPr/>
                  </pic:nvPicPr>
                  <pic:blipFill>
                    <a:blip r:embed="rId18">
                      <a:extLst>
                        <a:ext uri="{28A0092B-C50C-407E-A947-70E740481C1C}">
                          <a14:useLocalDpi xmlns:a14="http://schemas.microsoft.com/office/drawing/2010/main" val="0"/>
                        </a:ext>
                      </a:extLst>
                    </a:blip>
                    <a:stretch>
                      <a:fillRect/>
                    </a:stretch>
                  </pic:blipFill>
                  <pic:spPr>
                    <a:xfrm>
                      <a:off x="0" y="0"/>
                      <a:ext cx="7617460" cy="10763885"/>
                    </a:xfrm>
                    <a:prstGeom prst="rect">
                      <a:avLst/>
                    </a:prstGeom>
                  </pic:spPr>
                </pic:pic>
              </a:graphicData>
            </a:graphic>
            <wp14:sizeRelH relativeFrom="page">
              <wp14:pctWidth>0</wp14:pctWidth>
            </wp14:sizeRelH>
            <wp14:sizeRelV relativeFrom="page">
              <wp14:pctHeight>0</wp14:pctHeight>
            </wp14:sizeRelV>
          </wp:anchor>
        </w:drawing>
      </w:r>
    </w:p>
    <w:p w:rsidR="00302903" w:rsidRPr="00FC3CAF" w:rsidRDefault="00E15F3C" w:rsidP="00302903">
      <w:pPr>
        <w:rPr>
          <w:sz w:val="40"/>
          <w:szCs w:val="40"/>
          <w:lang w:val="pt-PT"/>
        </w:rPr>
      </w:pPr>
      <w:r w:rsidRPr="00302903">
        <w:rPr>
          <w:noProof/>
          <w:lang w:val="en-GB" w:eastAsia="en-GB"/>
        </w:rPr>
        <mc:AlternateContent>
          <mc:Choice Requires="wps">
            <w:drawing>
              <wp:anchor distT="0" distB="0" distL="114300" distR="114300" simplePos="0" relativeHeight="251681792" behindDoc="0" locked="0" layoutInCell="1" allowOverlap="1" wp14:anchorId="5746338C" wp14:editId="3B34642A">
                <wp:simplePos x="0" y="0"/>
                <wp:positionH relativeFrom="column">
                  <wp:posOffset>2167890</wp:posOffset>
                </wp:positionH>
                <wp:positionV relativeFrom="paragraph">
                  <wp:posOffset>8173720</wp:posOffset>
                </wp:positionV>
                <wp:extent cx="4817745" cy="969645"/>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969645"/>
                        </a:xfrm>
                        <a:prstGeom prst="rect">
                          <a:avLst/>
                        </a:prstGeom>
                        <a:noFill/>
                        <a:ln w="9525">
                          <a:noFill/>
                          <a:miter lim="800000"/>
                          <a:headEnd/>
                          <a:tailEnd/>
                        </a:ln>
                      </wps:spPr>
                      <wps:txbx>
                        <w:txbxContent>
                          <w:p w:rsidR="00072EB8" w:rsidRDefault="00072EB8" w:rsidP="00302903">
                            <w:pPr>
                              <w:spacing w:before="0" w:line="276" w:lineRule="auto"/>
                              <w:jc w:val="left"/>
                              <w:rPr>
                                <w:color w:val="FFFFFF" w:themeColor="background1"/>
                                <w:sz w:val="54"/>
                                <w:szCs w:val="54"/>
                                <w:lang w:val="en-GB"/>
                              </w:rPr>
                            </w:pPr>
                          </w:p>
                          <w:p w:rsidR="00072EB8" w:rsidRPr="00E52AE8" w:rsidRDefault="00FC3CAF" w:rsidP="00302903">
                            <w:pPr>
                              <w:spacing w:before="0" w:line="276" w:lineRule="auto"/>
                              <w:jc w:val="left"/>
                              <w:rPr>
                                <w:color w:val="FFFFFF" w:themeColor="background1"/>
                                <w:sz w:val="54"/>
                                <w:szCs w:val="54"/>
                                <w:lang w:val="fr-BE"/>
                              </w:rPr>
                            </w:pPr>
                            <w:r w:rsidRPr="00FC3CAF">
                              <w:rPr>
                                <w:color w:val="FFFFFF" w:themeColor="background1"/>
                                <w:sz w:val="54"/>
                                <w:szCs w:val="54"/>
                                <w:lang w:val="pt-PT"/>
                              </w:rPr>
                              <w:t>Apresentação</w:t>
                            </w:r>
                            <w:r>
                              <w:rPr>
                                <w:color w:val="FFFFFF" w:themeColor="background1"/>
                                <w:sz w:val="54"/>
                                <w:szCs w:val="54"/>
                                <w:lang w:val="en-GB"/>
                              </w:rPr>
                              <w:t xml:space="preserve"> de </w:t>
                            </w:r>
                            <w:proofErr w:type="spellStart"/>
                            <w:r>
                              <w:rPr>
                                <w:color w:val="FFFFFF" w:themeColor="background1"/>
                                <w:sz w:val="54"/>
                                <w:szCs w:val="54"/>
                                <w:lang w:val="en-GB"/>
                              </w:rPr>
                              <w:t>relatório</w:t>
                            </w:r>
                            <w:r w:rsidR="00EE42F7">
                              <w:rPr>
                                <w:color w:val="FFFFFF" w:themeColor="background1"/>
                                <w:sz w:val="54"/>
                                <w:szCs w:val="54"/>
                                <w:lang w:val="en-GB"/>
                              </w:rPr>
                              <w:t>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70.7pt;margin-top:643.6pt;width:379.35pt;height:7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" filled="f" stroked="f">
                <v:textbox>
                  <w:txbxContent>
                    <w:p w:rsidR="00072EB8" w:rsidRDefault="00072EB8" w:rsidP="00302903">
                      <w:pPr>
                        <w:spacing w:before="0" w:line="276" w:lineRule="auto"/>
                        <w:jc w:val="left"/>
                        <w:rPr>
                          <w:color w:val="FFFFFF" w:themeColor="background1"/>
                          <w:sz w:val="54"/>
                          <w:szCs w:val="54"/>
                          <w:lang w:val="en-GB"/>
                        </w:rPr>
                      </w:pPr>
                    </w:p>
                    <w:p w:rsidR="00072EB8" w:rsidRPr="00E52AE8" w:rsidRDefault="00FC3CAF" w:rsidP="00302903">
                      <w:pPr>
                        <w:spacing w:before="0" w:line="276" w:lineRule="auto"/>
                        <w:jc w:val="left"/>
                        <w:rPr>
                          <w:color w:val="FFFFFF" w:themeColor="background1"/>
                          <w:sz w:val="54"/>
                          <w:szCs w:val="54"/>
                          <w:lang w:val="fr-BE"/>
                        </w:rPr>
                      </w:pPr>
                      <w:r w:rsidRPr="00FC3CAF">
                        <w:rPr>
                          <w:color w:val="FFFFFF" w:themeColor="background1"/>
                          <w:sz w:val="54"/>
                          <w:szCs w:val="54"/>
                          <w:lang w:val="pt-PT"/>
                        </w:rPr>
                        <w:t>Apresentação</w:t>
                      </w:r>
                      <w:r>
                        <w:rPr>
                          <w:color w:val="FFFFFF" w:themeColor="background1"/>
                          <w:sz w:val="54"/>
                          <w:szCs w:val="54"/>
                          <w:lang w:val="en-GB"/>
                        </w:rPr>
                        <w:t xml:space="preserve"> de relatório</w:t>
                      </w:r>
                      <w:r w:rsidR="00EE42F7">
                        <w:rPr>
                          <w:color w:val="FFFFFF" w:themeColor="background1"/>
                          <w:sz w:val="54"/>
                          <w:szCs w:val="54"/>
                          <w:lang w:val="en-GB"/>
                        </w:rPr>
                        <w:t>s</w:t>
                      </w:r>
                    </w:p>
                  </w:txbxContent>
                </v:textbox>
              </v:shape>
            </w:pict>
          </mc:Fallback>
        </mc:AlternateContent>
      </w:r>
      <w:r w:rsidRPr="00302903">
        <w:rPr>
          <w:noProof/>
          <w:lang w:val="en-GB" w:eastAsia="en-GB"/>
        </w:rPr>
        <mc:AlternateContent>
          <mc:Choice Requires="wps">
            <w:drawing>
              <wp:anchor distT="0" distB="0" distL="114300" distR="114300" simplePos="0" relativeHeight="251680768" behindDoc="0" locked="0" layoutInCell="1" allowOverlap="1" wp14:anchorId="63F38515" wp14:editId="10457111">
                <wp:simplePos x="0" y="0"/>
                <wp:positionH relativeFrom="column">
                  <wp:posOffset>-323558</wp:posOffset>
                </wp:positionH>
                <wp:positionV relativeFrom="paragraph">
                  <wp:posOffset>6790055</wp:posOffset>
                </wp:positionV>
                <wp:extent cx="2780030" cy="263715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637155"/>
                        </a:xfrm>
                        <a:prstGeom prst="rect">
                          <a:avLst/>
                        </a:prstGeom>
                        <a:noFill/>
                        <a:ln w="9525">
                          <a:noFill/>
                          <a:miter lim="800000"/>
                          <a:headEnd/>
                          <a:tailEnd/>
                        </a:ln>
                      </wps:spPr>
                      <wps:txbx>
                        <w:txbxContent>
                          <w:p w:rsidR="00072EB8" w:rsidRPr="00D119CF" w:rsidRDefault="00072EB8" w:rsidP="00302903">
                            <w:pPr>
                              <w:rPr>
                                <w:color w:val="FFFFFF" w:themeColor="background1"/>
                                <w:sz w:val="340"/>
                                <w:szCs w:val="340"/>
                                <w:lang w:val="fr-BE"/>
                              </w:rPr>
                            </w:pPr>
                            <w:r>
                              <w:rPr>
                                <w:color w:val="FFFFFF" w:themeColor="background1"/>
                                <w:sz w:val="340"/>
                                <w:szCs w:val="340"/>
                                <w:lang w:val="fr-BE"/>
                              </w:rP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5pt;margin-top:534.65pt;width:218.9pt;height:20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" filled="f" stroked="f">
                <v:textbox>
                  <w:txbxContent>
                    <w:p w:rsidR="00072EB8" w:rsidRPr="00D119CF" w:rsidRDefault="00072EB8" w:rsidP="00302903">
                      <w:pPr>
                        <w:rPr>
                          <w:color w:val="FFFFFF" w:themeColor="background1"/>
                          <w:sz w:val="340"/>
                          <w:szCs w:val="340"/>
                          <w:lang w:val="fr-BE"/>
                        </w:rPr>
                      </w:pPr>
                      <w:r>
                        <w:rPr>
                          <w:color w:val="FFFFFF" w:themeColor="background1"/>
                          <w:sz w:val="340"/>
                          <w:szCs w:val="340"/>
                          <w:lang w:val="fr-BE"/>
                        </w:rPr>
                        <w:t>04</w:t>
                      </w:r>
                    </w:p>
                  </w:txbxContent>
                </v:textbox>
              </v:shape>
            </w:pict>
          </mc:Fallback>
        </mc:AlternateContent>
      </w:r>
      <w:r w:rsidR="00302903" w:rsidRPr="00FC3CAF">
        <w:rPr>
          <w:lang w:val="pt-PT"/>
        </w:rPr>
        <w:br w:type="page"/>
      </w:r>
    </w:p>
    <w:p w:rsidR="00072D45" w:rsidRPr="00FC3CAF" w:rsidRDefault="003C7016" w:rsidP="007E7992">
      <w:pPr>
        <w:pStyle w:val="Heading2"/>
        <w:rPr>
          <w:sz w:val="40"/>
          <w:szCs w:val="40"/>
          <w:lang w:val="pt-PT"/>
        </w:rPr>
      </w:pPr>
      <w:bookmarkStart w:id="77" w:name="_Toc476045159"/>
      <w:bookmarkStart w:id="78" w:name="_Toc502916165"/>
      <w:bookmarkEnd w:id="75"/>
      <w:bookmarkEnd w:id="76"/>
      <w:r w:rsidRPr="00FC3CAF">
        <w:rPr>
          <w:sz w:val="40"/>
          <w:szCs w:val="40"/>
          <w:lang w:val="pt-PT"/>
        </w:rPr>
        <w:lastRenderedPageBreak/>
        <w:t>4</w:t>
      </w:r>
      <w:r w:rsidR="007E7992" w:rsidRPr="00FC3CAF">
        <w:rPr>
          <w:sz w:val="40"/>
          <w:szCs w:val="40"/>
          <w:lang w:val="pt-PT"/>
        </w:rPr>
        <w:t xml:space="preserve">.1 </w:t>
      </w:r>
      <w:bookmarkEnd w:id="77"/>
      <w:bookmarkEnd w:id="78"/>
      <w:r w:rsidR="00FC3CAF" w:rsidRPr="00FC3CAF">
        <w:rPr>
          <w:sz w:val="40"/>
          <w:szCs w:val="40"/>
          <w:lang w:val="pt-PT"/>
        </w:rPr>
        <w:t>Apresentação de relatórios sobre comunicação e visibilidade</w:t>
      </w:r>
    </w:p>
    <w:p w:rsidR="00FC3CAF" w:rsidRPr="00FC3CAF" w:rsidRDefault="00FC3CAF" w:rsidP="00FC3CAF">
      <w:pPr>
        <w:rPr>
          <w:lang w:val="pt-PT"/>
        </w:rPr>
      </w:pPr>
      <w:bookmarkStart w:id="79" w:name="_Toc476045160"/>
      <w:bookmarkStart w:id="80" w:name="_Toc502916166"/>
      <w:r w:rsidRPr="00FC3CAF">
        <w:rPr>
          <w:lang w:val="pt-PT"/>
        </w:rPr>
        <w:t>Os parceiros devem assegurar que os relatórios contratualmente acordados contêm uma descrição pormenorizada da execução do plano de comunicação e visibilidade da ação, avaliando os resultados conseguidos e o alcance das medidas de comunicação realizadas para apoiar a ação e ilustrando essa avaliação de forma adequada através de recortes de jornais, fotografias, amostras, ficheiros de áudio e vídeo, transcrições, etc.</w:t>
      </w:r>
    </w:p>
    <w:p w:rsidR="00FC3CAF" w:rsidRPr="00FC3CAF" w:rsidRDefault="00FC3CAF" w:rsidP="00FC3CAF">
      <w:pPr>
        <w:rPr>
          <w:lang w:val="pt-PT"/>
        </w:rPr>
      </w:pPr>
      <w:r w:rsidRPr="00FC3CAF">
        <w:rPr>
          <w:lang w:val="pt-PT"/>
        </w:rPr>
        <w:t>Em consonância com a secção 3.6, os parceiros devem também assegurar, em conformidade com a secção 3.6, que os direitos de autor relativos a todos os materiais utilizados para efeitos de ilustração são respeitados aquando da apresentação dos relatórios.</w:t>
      </w:r>
    </w:p>
    <w:p w:rsidR="007E7992" w:rsidRPr="00FC3CAF" w:rsidRDefault="003C7016" w:rsidP="007E7992">
      <w:pPr>
        <w:pStyle w:val="Heading2"/>
        <w:rPr>
          <w:sz w:val="40"/>
          <w:szCs w:val="40"/>
          <w:lang w:val="pt-PT"/>
        </w:rPr>
      </w:pPr>
      <w:r w:rsidRPr="00FC3CAF">
        <w:rPr>
          <w:sz w:val="40"/>
          <w:szCs w:val="40"/>
          <w:lang w:val="pt-PT"/>
        </w:rPr>
        <w:t>4</w:t>
      </w:r>
      <w:r w:rsidR="007E7992" w:rsidRPr="00FC3CAF">
        <w:rPr>
          <w:sz w:val="40"/>
          <w:szCs w:val="40"/>
          <w:lang w:val="pt-PT"/>
        </w:rPr>
        <w:t xml:space="preserve">.2 </w:t>
      </w:r>
      <w:bookmarkEnd w:id="79"/>
      <w:bookmarkEnd w:id="80"/>
      <w:r w:rsidR="00FC3CAF" w:rsidRPr="00FC3CAF">
        <w:rPr>
          <w:sz w:val="40"/>
          <w:szCs w:val="40"/>
          <w:lang w:val="pt-PT"/>
        </w:rPr>
        <w:t>Visibilidade dos relatórios</w:t>
      </w:r>
    </w:p>
    <w:p w:rsidR="00FC3CAF" w:rsidRPr="00FC3CAF" w:rsidRDefault="00FC3CAF" w:rsidP="00FC3CAF">
      <w:pPr>
        <w:rPr>
          <w:lang w:val="pt-PT"/>
        </w:rPr>
      </w:pPr>
      <w:r w:rsidRPr="00FC3CAF">
        <w:rPr>
          <w:lang w:val="pt-PT"/>
        </w:rPr>
        <w:t>Dependendo do tipo de ação em causa, a União Europeia exige a elaboração de diferentes tipos de relatórios administrativos que abranjam a fase de execução do ciclo do projeto. É necessário apresentar um relatório final em todos os casos, relatórios intercalares/de progresso na maior parte dos casos e relatórios iniciais nalguns casos. A União utiliza estes relatórios para monitorizar e avaliar a execução e os resultados das ações financiadas pela UE, bem como para manter devidamente informados os governos dos países parceiros, o Parlamento Europeu, os contribuintes da UE e outras partes interessadas.</w:t>
      </w:r>
    </w:p>
    <w:p w:rsidR="00FC3CAF" w:rsidRPr="00FC3CAF" w:rsidRDefault="00FC3CAF" w:rsidP="00FC3CAF">
      <w:pPr>
        <w:rPr>
          <w:lang w:val="pt-PT"/>
        </w:rPr>
      </w:pPr>
      <w:r w:rsidRPr="00FC3CAF">
        <w:rPr>
          <w:lang w:val="pt-PT"/>
        </w:rPr>
        <w:t xml:space="preserve">Os requisitos pormenorizados da apresentação de relatórios (conteúdo, frequência, procedimentos de entrega, etc.) encontram-se especificados nas condições gerais de todos os contratos e podem variar de ação para ação, mas os relatórios administrativos devem todos conter uma capa com o título da ação, a referência do contrato e a data de apresentação do relatório. </w:t>
      </w:r>
    </w:p>
    <w:p w:rsidR="00FC3CAF" w:rsidRPr="00FC3CAF" w:rsidRDefault="00FC3CAF" w:rsidP="00FC3CAF">
      <w:pPr>
        <w:tabs>
          <w:tab w:val="left" w:pos="1418"/>
        </w:tabs>
        <w:rPr>
          <w:lang w:val="pt-PT"/>
        </w:rPr>
      </w:pPr>
      <w:r w:rsidRPr="00FC3CAF">
        <w:rPr>
          <w:lang w:val="pt-PT"/>
        </w:rPr>
        <w:t xml:space="preserve">O emblema da UE (secção 5.2.1) deve aparecer na capa. Quando estão envolvidos vários doadores, o emblema da UE deve ter, no mínimo, o mesmo destaque do que os emblemas dos outros parceiros financeiros, sendo que o seu posicionamento na capa deve ser determinado de comum acordo com os doadores. </w:t>
      </w:r>
      <w:proofErr w:type="gramStart"/>
      <w:r w:rsidRPr="00FC3CAF">
        <w:rPr>
          <w:lang w:val="pt-PT"/>
        </w:rPr>
        <w:t>O(s</w:t>
      </w:r>
      <w:proofErr w:type="gramEnd"/>
      <w:r w:rsidRPr="00FC3CAF">
        <w:rPr>
          <w:lang w:val="pt-PT"/>
        </w:rPr>
        <w:t>) emblema(s) do(s) parceiro(s) de execução ou do(s) contratante(s) também pode(m) ser incluído(s) na capa.</w:t>
      </w:r>
    </w:p>
    <w:p w:rsidR="00FC3CAF" w:rsidRDefault="00FC3CAF" w:rsidP="00FC3CAF">
      <w:pPr>
        <w:rPr>
          <w:lang w:val="pt-PT"/>
        </w:rPr>
      </w:pPr>
      <w:r w:rsidRPr="00FC3CAF">
        <w:rPr>
          <w:lang w:val="pt-PT"/>
        </w:rPr>
        <w:t>A contracapa do relatório deve conter uma declaração de exoneração de responsabilidade (ver secção 5.4).</w:t>
      </w:r>
      <w:bookmarkStart w:id="81" w:name="_Toc476045161"/>
      <w:bookmarkStart w:id="82" w:name="_Toc502916167"/>
    </w:p>
    <w:p w:rsidR="00FC3CAF" w:rsidRDefault="00FC3CAF" w:rsidP="00FC3CAF">
      <w:pPr>
        <w:rPr>
          <w:lang w:val="pt-PT"/>
        </w:rPr>
      </w:pPr>
    </w:p>
    <w:p w:rsidR="00A21011" w:rsidRPr="00FC3CAF" w:rsidRDefault="000B692D" w:rsidP="00FC3CAF">
      <w:pPr>
        <w:rPr>
          <w:lang w:val="pt-PT"/>
        </w:rPr>
      </w:pPr>
      <w:r>
        <w:rPr>
          <w:noProof/>
          <w:lang w:val="en-GB" w:eastAsia="en-GB"/>
        </w:rPr>
        <w:lastRenderedPageBreak/>
        <w:drawing>
          <wp:anchor distT="0" distB="0" distL="114300" distR="114300" simplePos="0" relativeHeight="251682816" behindDoc="1" locked="0" layoutInCell="1" allowOverlap="1" wp14:anchorId="7692AC80" wp14:editId="73F08EAD">
            <wp:simplePos x="0" y="0"/>
            <wp:positionH relativeFrom="column">
              <wp:posOffset>-586409</wp:posOffset>
            </wp:positionH>
            <wp:positionV relativeFrom="paragraph">
              <wp:posOffset>-743585</wp:posOffset>
            </wp:positionV>
            <wp:extent cx="7617460" cy="10763885"/>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05 - Communication and Visibility-01.png"/>
                    <pic:cNvPicPr/>
                  </pic:nvPicPr>
                  <pic:blipFill>
                    <a:blip r:embed="rId19">
                      <a:extLst>
                        <a:ext uri="{28A0092B-C50C-407E-A947-70E740481C1C}">
                          <a14:useLocalDpi xmlns:a14="http://schemas.microsoft.com/office/drawing/2010/main" val="0"/>
                        </a:ext>
                      </a:extLst>
                    </a:blip>
                    <a:stretch>
                      <a:fillRect/>
                    </a:stretch>
                  </pic:blipFill>
                  <pic:spPr>
                    <a:xfrm>
                      <a:off x="0" y="0"/>
                      <a:ext cx="7617460" cy="10763885"/>
                    </a:xfrm>
                    <a:prstGeom prst="rect">
                      <a:avLst/>
                    </a:prstGeom>
                  </pic:spPr>
                </pic:pic>
              </a:graphicData>
            </a:graphic>
            <wp14:sizeRelH relativeFrom="page">
              <wp14:pctWidth>0</wp14:pctWidth>
            </wp14:sizeRelH>
            <wp14:sizeRelV relativeFrom="page">
              <wp14:pctHeight>0</wp14:pctHeight>
            </wp14:sizeRelV>
          </wp:anchor>
        </w:drawing>
      </w:r>
    </w:p>
    <w:p w:rsidR="00A21011" w:rsidRPr="00FC3CAF" w:rsidRDefault="00E15F3C" w:rsidP="00A21011">
      <w:pPr>
        <w:rPr>
          <w:sz w:val="40"/>
          <w:szCs w:val="40"/>
          <w:lang w:val="pt-PT"/>
        </w:rPr>
      </w:pPr>
      <w:r w:rsidRPr="00A21011">
        <w:rPr>
          <w:noProof/>
          <w:lang w:val="en-GB" w:eastAsia="en-GB"/>
        </w:rPr>
        <mc:AlternateContent>
          <mc:Choice Requires="wps">
            <w:drawing>
              <wp:anchor distT="0" distB="0" distL="114300" distR="114300" simplePos="0" relativeHeight="251684864" behindDoc="0" locked="0" layoutInCell="1" allowOverlap="1" wp14:anchorId="6E9E7D81" wp14:editId="5141A50A">
                <wp:simplePos x="0" y="0"/>
                <wp:positionH relativeFrom="column">
                  <wp:posOffset>-433070</wp:posOffset>
                </wp:positionH>
                <wp:positionV relativeFrom="paragraph">
                  <wp:posOffset>6788785</wp:posOffset>
                </wp:positionV>
                <wp:extent cx="2780030" cy="263715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637155"/>
                        </a:xfrm>
                        <a:prstGeom prst="rect">
                          <a:avLst/>
                        </a:prstGeom>
                        <a:noFill/>
                        <a:ln w="9525">
                          <a:noFill/>
                          <a:miter lim="800000"/>
                          <a:headEnd/>
                          <a:tailEnd/>
                        </a:ln>
                      </wps:spPr>
                      <wps:txbx>
                        <w:txbxContent>
                          <w:p w:rsidR="00072EB8" w:rsidRPr="00D119CF" w:rsidRDefault="00072EB8" w:rsidP="00A21011">
                            <w:pPr>
                              <w:rPr>
                                <w:color w:val="FFFFFF" w:themeColor="background1"/>
                                <w:sz w:val="340"/>
                                <w:szCs w:val="340"/>
                                <w:lang w:val="fr-BE"/>
                              </w:rPr>
                            </w:pPr>
                            <w:r>
                              <w:rPr>
                                <w:color w:val="FFFFFF" w:themeColor="background1"/>
                                <w:sz w:val="340"/>
                                <w:szCs w:val="340"/>
                                <w:lang w:val="fr-BE"/>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1pt;margin-top:534.55pt;width:218.9pt;height:20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" filled="f" stroked="f">
                <v:textbox>
                  <w:txbxContent>
                    <w:p w:rsidR="00072EB8" w:rsidRPr="00D119CF" w:rsidRDefault="00072EB8" w:rsidP="00A21011">
                      <w:pPr>
                        <w:rPr>
                          <w:color w:val="FFFFFF" w:themeColor="background1"/>
                          <w:sz w:val="340"/>
                          <w:szCs w:val="340"/>
                          <w:lang w:val="fr-BE"/>
                        </w:rPr>
                      </w:pPr>
                      <w:r>
                        <w:rPr>
                          <w:color w:val="FFFFFF" w:themeColor="background1"/>
                          <w:sz w:val="340"/>
                          <w:szCs w:val="340"/>
                          <w:lang w:val="fr-BE"/>
                        </w:rPr>
                        <w:t>05</w:t>
                      </w:r>
                    </w:p>
                  </w:txbxContent>
                </v:textbox>
              </v:shape>
            </w:pict>
          </mc:Fallback>
        </mc:AlternateContent>
      </w:r>
      <w:r w:rsidRPr="00A21011">
        <w:rPr>
          <w:noProof/>
          <w:lang w:val="en-GB" w:eastAsia="en-GB"/>
        </w:rPr>
        <mc:AlternateContent>
          <mc:Choice Requires="wps">
            <w:drawing>
              <wp:anchor distT="0" distB="0" distL="114300" distR="114300" simplePos="0" relativeHeight="251685888" behindDoc="0" locked="0" layoutInCell="1" allowOverlap="1" wp14:anchorId="5E654F1E" wp14:editId="6F990D9C">
                <wp:simplePos x="0" y="0"/>
                <wp:positionH relativeFrom="column">
                  <wp:posOffset>2059305</wp:posOffset>
                </wp:positionH>
                <wp:positionV relativeFrom="paragraph">
                  <wp:posOffset>8172742</wp:posOffset>
                </wp:positionV>
                <wp:extent cx="4817110" cy="969645"/>
                <wp:effectExtent l="0" t="0" r="0" b="19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969645"/>
                        </a:xfrm>
                        <a:prstGeom prst="rect">
                          <a:avLst/>
                        </a:prstGeom>
                        <a:noFill/>
                        <a:ln w="9525">
                          <a:noFill/>
                          <a:miter lim="800000"/>
                          <a:headEnd/>
                          <a:tailEnd/>
                        </a:ln>
                      </wps:spPr>
                      <wps:txbx>
                        <w:txbxContent>
                          <w:p w:rsidR="00072EB8" w:rsidRPr="00E52AE8" w:rsidRDefault="00FC3CAF" w:rsidP="00A21011">
                            <w:pPr>
                              <w:spacing w:before="0" w:line="276" w:lineRule="auto"/>
                              <w:jc w:val="left"/>
                              <w:rPr>
                                <w:color w:val="FFFFFF" w:themeColor="background1"/>
                                <w:sz w:val="54"/>
                                <w:szCs w:val="54"/>
                                <w:lang w:val="fr-BE"/>
                              </w:rPr>
                            </w:pPr>
                            <w:proofErr w:type="spellStart"/>
                            <w:r w:rsidRPr="00FC3CAF">
                              <w:rPr>
                                <w:color w:val="FFFFFF" w:themeColor="background1"/>
                                <w:sz w:val="54"/>
                                <w:szCs w:val="54"/>
                                <w:lang w:val="en-GB"/>
                              </w:rPr>
                              <w:t>Aspetos</w:t>
                            </w:r>
                            <w:proofErr w:type="spellEnd"/>
                            <w:r w:rsidRPr="00FC3CAF">
                              <w:rPr>
                                <w:color w:val="FFFFFF" w:themeColor="background1"/>
                                <w:sz w:val="54"/>
                                <w:szCs w:val="54"/>
                                <w:lang w:val="en-GB"/>
                              </w:rPr>
                              <w:t xml:space="preserve"> </w:t>
                            </w:r>
                            <w:proofErr w:type="spellStart"/>
                            <w:r w:rsidRPr="00FC3CAF">
                              <w:rPr>
                                <w:color w:val="FFFFFF" w:themeColor="background1"/>
                                <w:sz w:val="54"/>
                                <w:szCs w:val="54"/>
                                <w:lang w:val="en-GB"/>
                              </w:rPr>
                              <w:t>jurídicos</w:t>
                            </w:r>
                            <w:proofErr w:type="spellEnd"/>
                            <w:r w:rsidRPr="00FC3CAF">
                              <w:rPr>
                                <w:color w:val="FFFFFF" w:themeColor="background1"/>
                                <w:sz w:val="54"/>
                                <w:szCs w:val="54"/>
                                <w:lang w:val="en-GB"/>
                              </w:rPr>
                              <w:t xml:space="preserve"> e </w:t>
                            </w:r>
                            <w:proofErr w:type="spellStart"/>
                            <w:r w:rsidRPr="00FC3CAF">
                              <w:rPr>
                                <w:color w:val="FFFFFF" w:themeColor="background1"/>
                                <w:sz w:val="54"/>
                                <w:szCs w:val="54"/>
                                <w:lang w:val="en-GB"/>
                              </w:rPr>
                              <w:t>contratuais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62.15pt;margin-top:643.5pt;width:379.3pt;height:7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" filled="f" stroked="f">
                <v:textbox>
                  <w:txbxContent>
                    <w:p w:rsidR="00072EB8" w:rsidRPr="00E52AE8" w:rsidRDefault="00FC3CAF" w:rsidP="00A21011">
                      <w:pPr>
                        <w:spacing w:before="0" w:line="276" w:lineRule="auto"/>
                        <w:jc w:val="left"/>
                        <w:rPr>
                          <w:color w:val="FFFFFF" w:themeColor="background1"/>
                          <w:sz w:val="54"/>
                          <w:szCs w:val="54"/>
                          <w:lang w:val="fr-BE"/>
                        </w:rPr>
                      </w:pPr>
                      <w:r w:rsidRPr="00FC3CAF">
                        <w:rPr>
                          <w:color w:val="FFFFFF" w:themeColor="background1"/>
                          <w:sz w:val="54"/>
                          <w:szCs w:val="54"/>
                          <w:lang w:val="en-GB"/>
                        </w:rPr>
                        <w:t>Aspetos jurídicos e contratuais</w:t>
                      </w:r>
                    </w:p>
                  </w:txbxContent>
                </v:textbox>
              </v:shape>
            </w:pict>
          </mc:Fallback>
        </mc:AlternateContent>
      </w:r>
      <w:r w:rsidR="00A21011" w:rsidRPr="00FC3CAF">
        <w:rPr>
          <w:lang w:val="pt-PT"/>
        </w:rPr>
        <w:br w:type="page"/>
      </w:r>
    </w:p>
    <w:p w:rsidR="00072D45" w:rsidRPr="00FC3CAF" w:rsidRDefault="000E6A3F" w:rsidP="00F12EDA">
      <w:pPr>
        <w:pStyle w:val="Heading2"/>
        <w:contextualSpacing w:val="0"/>
        <w:rPr>
          <w:sz w:val="40"/>
          <w:szCs w:val="40"/>
          <w:lang w:val="pt-PT"/>
        </w:rPr>
      </w:pPr>
      <w:bookmarkStart w:id="83" w:name="_Toc476045162"/>
      <w:bookmarkStart w:id="84" w:name="_Toc502916168"/>
      <w:bookmarkEnd w:id="81"/>
      <w:bookmarkEnd w:id="82"/>
      <w:r w:rsidRPr="00FC3CAF">
        <w:rPr>
          <w:sz w:val="40"/>
          <w:szCs w:val="40"/>
          <w:lang w:val="pt-PT"/>
        </w:rPr>
        <w:lastRenderedPageBreak/>
        <w:t xml:space="preserve">5.1 </w:t>
      </w:r>
      <w:bookmarkEnd w:id="83"/>
      <w:bookmarkEnd w:id="84"/>
      <w:r w:rsidR="00FC3CAF" w:rsidRPr="00FC3CAF">
        <w:rPr>
          <w:sz w:val="40"/>
          <w:szCs w:val="40"/>
          <w:lang w:val="pt-PT"/>
        </w:rPr>
        <w:t>A obrigação jurídica de comunicar</w:t>
      </w:r>
    </w:p>
    <w:p w:rsidR="00FC3CAF" w:rsidRPr="00FC3CAF" w:rsidRDefault="00FC3CAF" w:rsidP="00FC3CAF">
      <w:pPr>
        <w:rPr>
          <w:lang w:val="pt-PT"/>
        </w:rPr>
      </w:pPr>
      <w:bookmarkStart w:id="85" w:name="_Toc476045163"/>
      <w:bookmarkStart w:id="86" w:name="_Toc502916169"/>
      <w:r w:rsidRPr="00FC3CAF">
        <w:rPr>
          <w:lang w:val="pt-PT"/>
        </w:rPr>
        <w:t xml:space="preserve">Salvo solicitação ou acordo em contrário da União Europeia, e nos termos das condições gerais, todos os parceiros da UE, sejam contratantes, beneficiários de subvenções ou entidades gestoras de fundos em nome da União, devem tomar todas as medidas necessárias para publicitar com clareza o facto de a União Europeia ter financiado ou cofinanciado a ação em causa. Em especial, o contributo financeiro da UE deve constar de todas as informações veiculadas aos beneficiários finais da ação, de todos os relatórios internos e anuais e de todas as interações com os meios de comunicação social. O emblema da UE deve aparecer onde for considerado adequado. </w:t>
      </w:r>
    </w:p>
    <w:p w:rsidR="00072D45" w:rsidRPr="00FC3CAF" w:rsidRDefault="000E6A3F" w:rsidP="0026642F">
      <w:pPr>
        <w:pStyle w:val="Heading3"/>
        <w:contextualSpacing w:val="0"/>
        <w:rPr>
          <w:sz w:val="32"/>
          <w:szCs w:val="32"/>
          <w:lang w:val="pt-PT"/>
        </w:rPr>
      </w:pPr>
      <w:r w:rsidRPr="00FC3CAF">
        <w:rPr>
          <w:sz w:val="32"/>
          <w:szCs w:val="32"/>
          <w:lang w:val="pt-PT"/>
        </w:rPr>
        <w:t xml:space="preserve">5.1.1 </w:t>
      </w:r>
      <w:bookmarkEnd w:id="85"/>
      <w:bookmarkEnd w:id="86"/>
      <w:r w:rsidR="00FC3CAF" w:rsidRPr="00FC3CAF">
        <w:rPr>
          <w:sz w:val="32"/>
          <w:szCs w:val="32"/>
          <w:lang w:val="pt-PT"/>
        </w:rPr>
        <w:t>Base jurídica</w:t>
      </w:r>
    </w:p>
    <w:p w:rsidR="00FC3CAF" w:rsidRDefault="00FC3CAF" w:rsidP="00FC3CAF">
      <w:pPr>
        <w:rPr>
          <w:lang w:val="pt-PT"/>
        </w:rPr>
      </w:pPr>
      <w:bookmarkStart w:id="87" w:name="_Toc476045164"/>
      <w:bookmarkStart w:id="88" w:name="_Toc502916170"/>
      <w:r w:rsidRPr="00FC3CAF">
        <w:rPr>
          <w:lang w:val="pt-PT"/>
        </w:rPr>
        <w:t>A obrigação da UE, e consequentemente dos seus parceiros de execução, de fornecer informações acerca da ação externa financiada pela UE e assegurar a sua visibilidade tem como base jurídica os atos que regem a cooperação e a ajuda internacionais da União, sendo o mais importante o regulamento, de 11 de março de 2014, que estabelece regras e procedimentos comuns para a execução dos instrumentos da União de financiamento da ação externa</w:t>
      </w:r>
      <w:r>
        <w:rPr>
          <w:vertAlign w:val="superscript"/>
        </w:rPr>
        <w:footnoteReference w:id="10"/>
      </w:r>
      <w:r w:rsidRPr="00FC3CAF">
        <w:rPr>
          <w:lang w:val="pt-PT"/>
        </w:rPr>
        <w:t>, cujo artigo 4.º, n.º 5, prevê o seguinte:</w:t>
      </w:r>
    </w:p>
    <w:p w:rsidR="00FC3CAF" w:rsidRPr="00FC3CAF" w:rsidRDefault="00FC3CAF" w:rsidP="00FC3CAF">
      <w:pPr>
        <w:rPr>
          <w:lang w:val="pt-PT"/>
        </w:rPr>
      </w:pPr>
    </w:p>
    <w:p w:rsidR="00FC3CAF" w:rsidRPr="00FC3CAF" w:rsidRDefault="00FC3CAF" w:rsidP="00FC3CAF">
      <w:pPr>
        <w:numPr>
          <w:ilvl w:val="0"/>
          <w:numId w:val="17"/>
        </w:numPr>
        <w:ind w:hanging="360"/>
        <w:contextualSpacing/>
        <w:rPr>
          <w:lang w:val="pt-PT"/>
        </w:rPr>
      </w:pPr>
      <w:r w:rsidRPr="00FC3CAF">
        <w:rPr>
          <w:lang w:val="pt-PT"/>
        </w:rPr>
        <w:t>«Ao prestar a assistência financeira da União a que se refere o n.º 1, a Comissão toma, se for caso disso, todas as medidas necessárias para assegurar a visibilidade do apoio financeiro da União.</w:t>
      </w:r>
      <w:r w:rsidRPr="00FC3CAF">
        <w:rPr>
          <w:i/>
          <w:lang w:val="pt-PT"/>
        </w:rPr>
        <w:t xml:space="preserve"> </w:t>
      </w:r>
      <w:r w:rsidRPr="00FC3CAF">
        <w:rPr>
          <w:lang w:val="pt-PT"/>
        </w:rPr>
        <w:t>Essas medidas compreendem medidas que imponham requisitos de visibilidade aos beneficiários dos fundos da União, com exceção de casos devidamente justificados.</w:t>
      </w:r>
      <w:r w:rsidRPr="00FC3CAF">
        <w:rPr>
          <w:i/>
          <w:lang w:val="pt-PT"/>
        </w:rPr>
        <w:t xml:space="preserve"> </w:t>
      </w:r>
      <w:r w:rsidRPr="00FC3CAF">
        <w:rPr>
          <w:lang w:val="pt-PT"/>
        </w:rPr>
        <w:t>A Comissão é responsável pela monitorização do cumprimento desses requisitos pelos beneficiários.»</w:t>
      </w:r>
    </w:p>
    <w:p w:rsidR="00FC3CAF" w:rsidRPr="00FC3CAF" w:rsidRDefault="00FC3CAF" w:rsidP="00FC3CAF">
      <w:pPr>
        <w:rPr>
          <w:vertAlign w:val="superscript"/>
          <w:lang w:val="pt-PT"/>
        </w:rPr>
      </w:pPr>
      <w:r w:rsidRPr="00FC3CAF">
        <w:rPr>
          <w:lang w:val="pt-PT"/>
        </w:rPr>
        <w:t>Da mesma forma, é obrigatório ao abrigo das normas de execução do regulamento financeiro de 29 de outubro de 2012</w:t>
      </w:r>
      <w:r>
        <w:rPr>
          <w:lang w:val="pt-PT"/>
        </w:rPr>
        <w:t>,</w:t>
      </w:r>
      <w:r w:rsidRPr="00FC3CAF">
        <w:rPr>
          <w:lang w:val="pt-PT"/>
        </w:rPr>
        <w:t xml:space="preserve"> que todos os acordos contratuais da UE que confiam tarefas de execução orçamental a outras entidades e pessoas incluam disposições que garantam a visibilidade da ação da União</w:t>
      </w:r>
      <w:r>
        <w:rPr>
          <w:rStyle w:val="FootnoteReference"/>
        </w:rPr>
        <w:footnoteReference w:id="11"/>
      </w:r>
      <w:r w:rsidRPr="00FC3CAF">
        <w:rPr>
          <w:lang w:val="pt-PT"/>
        </w:rPr>
        <w:t>.</w:t>
      </w:r>
      <w:r w:rsidRPr="00FC3CAF">
        <w:rPr>
          <w:vertAlign w:val="superscript"/>
          <w:lang w:val="pt-PT"/>
        </w:rPr>
        <w:t xml:space="preserve"> </w:t>
      </w:r>
    </w:p>
    <w:p w:rsidR="00FC3CAF" w:rsidRDefault="00FC3CAF" w:rsidP="00AD6319">
      <w:pPr>
        <w:pStyle w:val="Heading3"/>
        <w:spacing w:before="120" w:after="120" w:line="240" w:lineRule="auto"/>
        <w:contextualSpacing w:val="0"/>
        <w:rPr>
          <w:sz w:val="32"/>
          <w:szCs w:val="32"/>
          <w:lang w:val="pt-PT"/>
        </w:rPr>
      </w:pPr>
    </w:p>
    <w:p w:rsidR="00072D45" w:rsidRPr="00E736FE" w:rsidRDefault="000E6A3F" w:rsidP="00FC3CAF">
      <w:pPr>
        <w:pStyle w:val="Heading3"/>
        <w:spacing w:before="120" w:after="120"/>
        <w:contextualSpacing w:val="0"/>
        <w:rPr>
          <w:sz w:val="32"/>
          <w:szCs w:val="32"/>
          <w:lang w:val="pt-PT"/>
        </w:rPr>
      </w:pPr>
      <w:r w:rsidRPr="00E736FE">
        <w:rPr>
          <w:sz w:val="32"/>
          <w:szCs w:val="32"/>
          <w:lang w:val="pt-PT"/>
        </w:rPr>
        <w:t xml:space="preserve">5.1.2 </w:t>
      </w:r>
      <w:bookmarkEnd w:id="87"/>
      <w:bookmarkEnd w:id="88"/>
      <w:r w:rsidR="00E736FE" w:rsidRPr="00E736FE">
        <w:rPr>
          <w:sz w:val="32"/>
          <w:szCs w:val="32"/>
          <w:lang w:val="pt-PT"/>
        </w:rPr>
        <w:t>Exceções aos requisitos de visibilidade</w:t>
      </w:r>
    </w:p>
    <w:p w:rsidR="00E736FE" w:rsidRPr="00E736FE" w:rsidRDefault="00E736FE" w:rsidP="00E736FE">
      <w:pPr>
        <w:rPr>
          <w:lang w:val="pt-PT"/>
        </w:rPr>
      </w:pPr>
      <w:bookmarkStart w:id="89" w:name="_Toc476045165"/>
      <w:bookmarkStart w:id="90" w:name="_Toc502916171"/>
      <w:r w:rsidRPr="00E736FE">
        <w:rPr>
          <w:lang w:val="pt-PT"/>
        </w:rPr>
        <w:t xml:space="preserve">As exceções às obrigações contratuais de visibilidade normalizadas só são concedidas caso a caso. Quaisquer exceções devem ser devidamente justificadas e ter uma autorização prévia por escrito da União Europeia. O âmbito da exceção deve ser especificado em cada caso: uma isenção dos requisitos </w:t>
      </w:r>
      <w:r w:rsidRPr="00E736FE">
        <w:rPr>
          <w:lang w:val="pt-PT"/>
        </w:rPr>
        <w:lastRenderedPageBreak/>
        <w:t>de visibilidade nesta matéria não implica automaticamente a isenção de outros tipos de visibilidade normalizada (ver também a secção 2.1.3, sobre situações excecionais).</w:t>
      </w:r>
    </w:p>
    <w:p w:rsidR="00C64A9A" w:rsidRPr="00E736FE" w:rsidRDefault="00C64A9A" w:rsidP="00C64A9A">
      <w:pPr>
        <w:pStyle w:val="Heading2"/>
        <w:shd w:val="clear" w:color="auto" w:fill="FFFFFF" w:themeFill="background1"/>
        <w:spacing w:before="0" w:after="0"/>
        <w:contextualSpacing w:val="0"/>
        <w:rPr>
          <w:sz w:val="40"/>
          <w:szCs w:val="40"/>
          <w:lang w:val="pt-PT"/>
        </w:rPr>
      </w:pPr>
    </w:p>
    <w:p w:rsidR="00072D45" w:rsidRPr="00E736FE" w:rsidRDefault="000E6A3F" w:rsidP="00C64A9A">
      <w:pPr>
        <w:pStyle w:val="Heading2"/>
        <w:shd w:val="clear" w:color="auto" w:fill="FFFFFF" w:themeFill="background1"/>
        <w:spacing w:before="0" w:after="0"/>
        <w:contextualSpacing w:val="0"/>
        <w:rPr>
          <w:sz w:val="40"/>
          <w:szCs w:val="40"/>
          <w:lang w:val="pt-PT"/>
        </w:rPr>
      </w:pPr>
      <w:r w:rsidRPr="00E736FE">
        <w:rPr>
          <w:sz w:val="40"/>
          <w:szCs w:val="40"/>
          <w:lang w:val="pt-PT"/>
        </w:rPr>
        <w:t xml:space="preserve">5.2 </w:t>
      </w:r>
      <w:bookmarkEnd w:id="89"/>
      <w:bookmarkEnd w:id="90"/>
      <w:r w:rsidR="00E736FE" w:rsidRPr="00E736FE">
        <w:rPr>
          <w:sz w:val="40"/>
          <w:szCs w:val="40"/>
          <w:lang w:val="pt-PT"/>
        </w:rPr>
        <w:t>Regras da UE em matéria de identidade visual</w:t>
      </w:r>
    </w:p>
    <w:p w:rsidR="00072D45" w:rsidRPr="00E736FE" w:rsidRDefault="00C64A9A" w:rsidP="00C64A9A">
      <w:pPr>
        <w:pStyle w:val="Heading3"/>
        <w:shd w:val="clear" w:color="auto" w:fill="FFFFFF" w:themeFill="background1"/>
        <w:spacing w:before="0" w:after="0"/>
        <w:contextualSpacing w:val="0"/>
        <w:rPr>
          <w:sz w:val="32"/>
          <w:szCs w:val="32"/>
          <w:lang w:val="pt-PT"/>
        </w:rPr>
      </w:pPr>
      <w:bookmarkStart w:id="91" w:name="_Toc476045166"/>
      <w:bookmarkStart w:id="92" w:name="_Toc502916172"/>
      <w:r w:rsidRPr="00C64A9A">
        <w:rPr>
          <w:noProof/>
          <w:sz w:val="32"/>
          <w:szCs w:val="32"/>
          <w:lang w:val="en-GB" w:eastAsia="en-GB"/>
        </w:rPr>
        <w:drawing>
          <wp:anchor distT="0" distB="0" distL="114300" distR="114300" simplePos="0" relativeHeight="251692032" behindDoc="0" locked="0" layoutInCell="1" allowOverlap="1" wp14:anchorId="5767DB9D" wp14:editId="46610B00">
            <wp:simplePos x="0" y="0"/>
            <wp:positionH relativeFrom="column">
              <wp:posOffset>15875</wp:posOffset>
            </wp:positionH>
            <wp:positionV relativeFrom="paragraph">
              <wp:posOffset>210185</wp:posOffset>
            </wp:positionV>
            <wp:extent cx="1085850" cy="728345"/>
            <wp:effectExtent l="0" t="0" r="0" b="0"/>
            <wp:wrapSquare wrapText="bothSides"/>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085850" cy="728345"/>
                    </a:xfrm>
                    <a:prstGeom prst="rect">
                      <a:avLst/>
                    </a:prstGeom>
                    <a:ln/>
                  </pic:spPr>
                </pic:pic>
              </a:graphicData>
            </a:graphic>
            <wp14:sizeRelH relativeFrom="page">
              <wp14:pctWidth>0</wp14:pctWidth>
            </wp14:sizeRelH>
            <wp14:sizeRelV relativeFrom="page">
              <wp14:pctHeight>0</wp14:pctHeight>
            </wp14:sizeRelV>
          </wp:anchor>
        </w:drawing>
      </w:r>
      <w:r w:rsidR="000E6A3F" w:rsidRPr="00E736FE">
        <w:rPr>
          <w:sz w:val="32"/>
          <w:szCs w:val="32"/>
          <w:lang w:val="pt-PT"/>
        </w:rPr>
        <w:t xml:space="preserve">5.2.1 </w:t>
      </w:r>
      <w:bookmarkEnd w:id="91"/>
      <w:bookmarkEnd w:id="92"/>
      <w:r w:rsidR="00E736FE" w:rsidRPr="00E736FE">
        <w:rPr>
          <w:sz w:val="32"/>
          <w:szCs w:val="32"/>
          <w:lang w:val="pt-PT"/>
        </w:rPr>
        <w:t>O emblema da UE</w:t>
      </w:r>
    </w:p>
    <w:p w:rsidR="00072D45" w:rsidRPr="00E736FE" w:rsidRDefault="00E736FE" w:rsidP="00E736FE">
      <w:pPr>
        <w:spacing w:before="120" w:after="120" w:line="240" w:lineRule="auto"/>
        <w:jc w:val="left"/>
        <w:rPr>
          <w:lang w:val="pt-PT"/>
        </w:rPr>
      </w:pPr>
      <w:r w:rsidRPr="00E736FE">
        <w:rPr>
          <w:lang w:val="pt-PT"/>
        </w:rPr>
        <w:t xml:space="preserve">O elemento comum que assinala todas as ações externas financiadas pela UE é o emblema da UE: </w:t>
      </w:r>
      <w:r w:rsidR="009943E4" w:rsidRPr="00E736FE">
        <w:rPr>
          <w:lang w:val="pt-PT"/>
        </w:rPr>
        <w:t xml:space="preserve"> </w:t>
      </w:r>
    </w:p>
    <w:p w:rsidR="00E736FE" w:rsidRPr="00E736FE" w:rsidRDefault="00E736FE" w:rsidP="00E736FE">
      <w:pPr>
        <w:rPr>
          <w:lang w:val="pt-PT"/>
        </w:rPr>
      </w:pPr>
      <w:bookmarkStart w:id="93" w:name="_Toc476045167"/>
      <w:bookmarkStart w:id="94" w:name="_Toc502916173"/>
      <w:r w:rsidRPr="00E736FE">
        <w:rPr>
          <w:lang w:val="pt-PT"/>
        </w:rPr>
        <w:t>Independentemente da dimensão, do âmbito ou do objetivo de uma ação, o emblema da UE deve estar visível e em destaque — pelo menos, tão em destaque como o emblema do parceiro de execução em causa — em todos os materiais de comunicação e visibilidade associados à ação.</w:t>
      </w:r>
    </w:p>
    <w:p w:rsidR="00E736FE" w:rsidRPr="00E736FE" w:rsidRDefault="00E736FE" w:rsidP="00E736FE">
      <w:pPr>
        <w:rPr>
          <w:lang w:val="pt-PT"/>
        </w:rPr>
      </w:pPr>
      <w:r w:rsidRPr="00E736FE">
        <w:rPr>
          <w:lang w:val="pt-PT"/>
        </w:rPr>
        <w:t>O emblema da UE é o principal elemento da identidade visual da UE e os parceiros devem remeter para as orientações sobre a identidade visual da UE destinadas a assegurar a sua correta utilização (ver também a secção 2.1.2).</w:t>
      </w:r>
    </w:p>
    <w:p w:rsidR="00E736FE" w:rsidRPr="00E736FE" w:rsidRDefault="00E736FE" w:rsidP="00E736FE">
      <w:pPr>
        <w:spacing w:after="120"/>
        <w:rPr>
          <w:lang w:val="pt-PT"/>
        </w:rPr>
      </w:pPr>
      <w:r w:rsidRPr="00E736FE">
        <w:rPr>
          <w:lang w:val="pt-PT"/>
        </w:rPr>
        <w:t>O código de redação interinstitucional</w:t>
      </w:r>
      <w:r>
        <w:rPr>
          <w:rStyle w:val="FootnoteReference"/>
        </w:rPr>
        <w:footnoteReference w:id="12"/>
      </w:r>
      <w:r w:rsidRPr="00E736FE">
        <w:rPr>
          <w:lang w:val="pt-PT"/>
        </w:rPr>
        <w:t xml:space="preserve"> define as regras de utilização e reprodução do emblema da UE da seguinte forma:</w:t>
      </w:r>
    </w:p>
    <w:p w:rsidR="00E736FE" w:rsidRPr="00E736FE" w:rsidRDefault="00E736FE" w:rsidP="00E736FE">
      <w:pPr>
        <w:numPr>
          <w:ilvl w:val="0"/>
          <w:numId w:val="22"/>
        </w:numPr>
        <w:ind w:left="851" w:hanging="425"/>
        <w:contextualSpacing/>
        <w:rPr>
          <w:lang w:val="pt-PT"/>
        </w:rPr>
      </w:pPr>
      <w:proofErr w:type="gramStart"/>
      <w:r w:rsidRPr="00E736FE">
        <w:rPr>
          <w:lang w:val="pt-PT"/>
        </w:rPr>
        <w:t>a</w:t>
      </w:r>
      <w:proofErr w:type="gramEnd"/>
      <w:r w:rsidRPr="00E736FE">
        <w:rPr>
          <w:lang w:val="pt-PT"/>
        </w:rPr>
        <w:t xml:space="preserve"> altura mínima do emblema da UE deve ser de 1 cm,</w:t>
      </w:r>
    </w:p>
    <w:p w:rsidR="00E736FE" w:rsidRPr="00E736FE" w:rsidRDefault="00E736FE" w:rsidP="00E736FE">
      <w:pPr>
        <w:numPr>
          <w:ilvl w:val="0"/>
          <w:numId w:val="22"/>
        </w:numPr>
        <w:ind w:left="851" w:hanging="425"/>
        <w:contextualSpacing/>
        <w:rPr>
          <w:lang w:val="pt-PT"/>
        </w:rPr>
      </w:pPr>
      <w:proofErr w:type="gramStart"/>
      <w:r w:rsidRPr="00E736FE">
        <w:rPr>
          <w:lang w:val="pt-PT"/>
        </w:rPr>
        <w:t>o</w:t>
      </w:r>
      <w:proofErr w:type="gramEnd"/>
      <w:r w:rsidRPr="00E736FE">
        <w:rPr>
          <w:lang w:val="pt-PT"/>
        </w:rPr>
        <w:t xml:space="preserve"> nome da União Europeia deve ser sempre explicitado na íntegra,</w:t>
      </w:r>
    </w:p>
    <w:p w:rsidR="00E736FE" w:rsidRPr="00E736FE" w:rsidRDefault="00E736FE" w:rsidP="00E736FE">
      <w:pPr>
        <w:numPr>
          <w:ilvl w:val="0"/>
          <w:numId w:val="22"/>
        </w:numPr>
        <w:ind w:left="851" w:hanging="425"/>
        <w:contextualSpacing/>
        <w:rPr>
          <w:lang w:val="pt-PT"/>
        </w:rPr>
      </w:pPr>
      <w:proofErr w:type="gramStart"/>
      <w:r w:rsidRPr="00E736FE">
        <w:rPr>
          <w:lang w:val="pt-PT"/>
        </w:rPr>
        <w:t>o</w:t>
      </w:r>
      <w:proofErr w:type="gramEnd"/>
      <w:r w:rsidRPr="00E736FE">
        <w:rPr>
          <w:lang w:val="pt-PT"/>
        </w:rPr>
        <w:t xml:space="preserve"> tipo de carateres a utilizar em conjunto com o emblema da UE pode ser um dos seguintes: </w:t>
      </w:r>
      <w:proofErr w:type="spellStart"/>
      <w:r w:rsidRPr="00E736FE">
        <w:rPr>
          <w:lang w:val="pt-PT"/>
        </w:rPr>
        <w:t>Arial</w:t>
      </w:r>
      <w:proofErr w:type="spellEnd"/>
      <w:r w:rsidRPr="00E736FE">
        <w:rPr>
          <w:lang w:val="pt-PT"/>
        </w:rPr>
        <w:t xml:space="preserve">, </w:t>
      </w:r>
      <w:proofErr w:type="spellStart"/>
      <w:r w:rsidRPr="00E736FE">
        <w:rPr>
          <w:lang w:val="pt-PT"/>
        </w:rPr>
        <w:t>Calibri</w:t>
      </w:r>
      <w:proofErr w:type="spellEnd"/>
      <w:r w:rsidRPr="00E736FE">
        <w:rPr>
          <w:lang w:val="pt-PT"/>
        </w:rPr>
        <w:t xml:space="preserve">, </w:t>
      </w:r>
      <w:proofErr w:type="spellStart"/>
      <w:r w:rsidRPr="00E736FE">
        <w:rPr>
          <w:lang w:val="pt-PT"/>
        </w:rPr>
        <w:t>Garamond</w:t>
      </w:r>
      <w:proofErr w:type="spellEnd"/>
      <w:r w:rsidRPr="00E736FE">
        <w:rPr>
          <w:lang w:val="pt-PT"/>
        </w:rPr>
        <w:t xml:space="preserve">, </w:t>
      </w:r>
      <w:proofErr w:type="spellStart"/>
      <w:r w:rsidRPr="00E736FE">
        <w:rPr>
          <w:lang w:val="pt-PT"/>
        </w:rPr>
        <w:t>Trebuchet</w:t>
      </w:r>
      <w:proofErr w:type="spellEnd"/>
      <w:r w:rsidRPr="00E736FE">
        <w:rPr>
          <w:lang w:val="pt-PT"/>
        </w:rPr>
        <w:t xml:space="preserve">, </w:t>
      </w:r>
      <w:proofErr w:type="spellStart"/>
      <w:r w:rsidRPr="00E736FE">
        <w:rPr>
          <w:lang w:val="pt-PT"/>
        </w:rPr>
        <w:t>Tahoma</w:t>
      </w:r>
      <w:proofErr w:type="spellEnd"/>
      <w:r w:rsidRPr="00E736FE">
        <w:rPr>
          <w:lang w:val="pt-PT"/>
        </w:rPr>
        <w:t xml:space="preserve"> ou </w:t>
      </w:r>
      <w:proofErr w:type="spellStart"/>
      <w:r w:rsidRPr="00E736FE">
        <w:rPr>
          <w:lang w:val="pt-PT"/>
        </w:rPr>
        <w:t>Verdana</w:t>
      </w:r>
      <w:proofErr w:type="spellEnd"/>
      <w:r w:rsidRPr="00E736FE">
        <w:rPr>
          <w:lang w:val="pt-PT"/>
        </w:rPr>
        <w:t>. Não é permitida a utilização de itálico, sublinhado e outros efeitos de letra,</w:t>
      </w:r>
    </w:p>
    <w:p w:rsidR="00E736FE" w:rsidRPr="00E736FE" w:rsidRDefault="00E736FE" w:rsidP="00E736FE">
      <w:pPr>
        <w:numPr>
          <w:ilvl w:val="0"/>
          <w:numId w:val="22"/>
        </w:numPr>
        <w:ind w:left="851" w:hanging="425"/>
        <w:contextualSpacing/>
        <w:rPr>
          <w:lang w:val="pt-PT"/>
        </w:rPr>
      </w:pPr>
      <w:proofErr w:type="gramStart"/>
      <w:r w:rsidRPr="00E736FE">
        <w:rPr>
          <w:lang w:val="pt-PT"/>
        </w:rPr>
        <w:t>não</w:t>
      </w:r>
      <w:proofErr w:type="gramEnd"/>
      <w:r w:rsidRPr="00E736FE">
        <w:rPr>
          <w:lang w:val="pt-PT"/>
        </w:rPr>
        <w:t xml:space="preserve"> existem regras específicas sobre o posicionamento do texto em relação ao emblema da UE, mas o texto não pode, de forma alguma, interferir, atravessar ou cobrir o emblema,</w:t>
      </w:r>
    </w:p>
    <w:p w:rsidR="00E736FE" w:rsidRPr="00E736FE" w:rsidRDefault="00E736FE" w:rsidP="00E736FE">
      <w:pPr>
        <w:numPr>
          <w:ilvl w:val="0"/>
          <w:numId w:val="22"/>
        </w:numPr>
        <w:ind w:left="851" w:hanging="425"/>
        <w:contextualSpacing/>
        <w:rPr>
          <w:lang w:val="pt-PT"/>
        </w:rPr>
      </w:pPr>
      <w:proofErr w:type="gramStart"/>
      <w:r w:rsidRPr="00E736FE">
        <w:rPr>
          <w:lang w:val="pt-PT"/>
        </w:rPr>
        <w:t>a</w:t>
      </w:r>
      <w:proofErr w:type="gramEnd"/>
      <w:r w:rsidRPr="00E736FE">
        <w:rPr>
          <w:lang w:val="pt-PT"/>
        </w:rPr>
        <w:t xml:space="preserve"> dimensão dos carateres utilizados deve ser proporcional à dimensão do emblema, </w:t>
      </w:r>
    </w:p>
    <w:p w:rsidR="00E736FE" w:rsidRPr="00E736FE" w:rsidRDefault="00E736FE" w:rsidP="00E736FE">
      <w:pPr>
        <w:numPr>
          <w:ilvl w:val="0"/>
          <w:numId w:val="22"/>
        </w:numPr>
        <w:ind w:left="851" w:hanging="425"/>
        <w:contextualSpacing/>
        <w:rPr>
          <w:lang w:val="pt-PT"/>
        </w:rPr>
      </w:pPr>
      <w:proofErr w:type="gramStart"/>
      <w:r w:rsidRPr="00E736FE">
        <w:rPr>
          <w:lang w:val="pt-PT"/>
        </w:rPr>
        <w:t>em</w:t>
      </w:r>
      <w:proofErr w:type="gramEnd"/>
      <w:r w:rsidRPr="00E736FE">
        <w:rPr>
          <w:lang w:val="pt-PT"/>
        </w:rPr>
        <w:t xml:space="preserve"> função do contexto, a cor da letra a utilizar deve ser </w:t>
      </w:r>
      <w:proofErr w:type="spellStart"/>
      <w:r w:rsidRPr="00E736FE">
        <w:rPr>
          <w:lang w:val="pt-PT"/>
        </w:rPr>
        <w:t>Reflex</w:t>
      </w:r>
      <w:proofErr w:type="spellEnd"/>
      <w:r w:rsidRPr="00E736FE">
        <w:rPr>
          <w:lang w:val="pt-PT"/>
        </w:rPr>
        <w:t xml:space="preserve"> </w:t>
      </w:r>
      <w:proofErr w:type="spellStart"/>
      <w:r w:rsidRPr="00E736FE">
        <w:rPr>
          <w:lang w:val="pt-PT"/>
        </w:rPr>
        <w:t>Blue</w:t>
      </w:r>
      <w:proofErr w:type="spellEnd"/>
      <w:r w:rsidRPr="00E736FE">
        <w:rPr>
          <w:lang w:val="pt-PT"/>
        </w:rPr>
        <w:t xml:space="preserve"> (a mesma cor azul que a da bandeira da UE), preta ou branca.</w:t>
      </w:r>
    </w:p>
    <w:p w:rsidR="00072D45" w:rsidRPr="00E736FE" w:rsidRDefault="000E6A3F" w:rsidP="000C7963">
      <w:pPr>
        <w:pStyle w:val="Heading3"/>
        <w:contextualSpacing w:val="0"/>
        <w:rPr>
          <w:sz w:val="32"/>
          <w:szCs w:val="32"/>
          <w:lang w:val="pt-PT"/>
        </w:rPr>
      </w:pPr>
      <w:r w:rsidRPr="00E736FE">
        <w:rPr>
          <w:sz w:val="32"/>
          <w:szCs w:val="32"/>
          <w:lang w:val="pt-PT"/>
        </w:rPr>
        <w:t xml:space="preserve">5.2.2 </w:t>
      </w:r>
      <w:bookmarkEnd w:id="93"/>
      <w:bookmarkEnd w:id="94"/>
      <w:r w:rsidR="00E736FE" w:rsidRPr="00E736FE">
        <w:rPr>
          <w:sz w:val="32"/>
          <w:szCs w:val="32"/>
          <w:lang w:val="pt-PT"/>
        </w:rPr>
        <w:t>Alterações e acréscimos</w:t>
      </w:r>
    </w:p>
    <w:p w:rsidR="00E736FE" w:rsidRPr="00E736FE" w:rsidRDefault="00E736FE" w:rsidP="00E736FE">
      <w:pPr>
        <w:rPr>
          <w:lang w:val="pt-PT"/>
        </w:rPr>
      </w:pPr>
      <w:bookmarkStart w:id="95" w:name="_Toc476045168"/>
      <w:bookmarkStart w:id="96" w:name="_Toc502916174"/>
      <w:r w:rsidRPr="00E736FE">
        <w:rPr>
          <w:lang w:val="pt-PT"/>
        </w:rPr>
        <w:t xml:space="preserve">O emblema da UE, quando é reproduzido em qualquer representação gráfica, deve ser utilizado na íntegra, sem quaisquer alterações ou acréscimos. A exibição ou reprodução do emblema não pode </w:t>
      </w:r>
      <w:r w:rsidRPr="00E736FE">
        <w:rPr>
          <w:lang w:val="pt-PT"/>
        </w:rPr>
        <w:lastRenderedPageBreak/>
        <w:t>incorporar qualquer bandeira ou símbolo de outro país, doador, agência ou organização. A representação gráfica de qualquer um destes parceiros deve ser exibida separadamente.</w:t>
      </w:r>
    </w:p>
    <w:p w:rsidR="00072D45" w:rsidRPr="0052762D" w:rsidRDefault="000E6A3F" w:rsidP="000C7963">
      <w:pPr>
        <w:pStyle w:val="Heading2"/>
        <w:contextualSpacing w:val="0"/>
        <w:rPr>
          <w:sz w:val="40"/>
          <w:szCs w:val="40"/>
          <w:lang w:val="pt-PT"/>
        </w:rPr>
      </w:pPr>
      <w:r w:rsidRPr="0052762D">
        <w:rPr>
          <w:sz w:val="40"/>
          <w:szCs w:val="40"/>
          <w:lang w:val="pt-PT"/>
        </w:rPr>
        <w:t xml:space="preserve">5.3 </w:t>
      </w:r>
      <w:bookmarkEnd w:id="95"/>
      <w:bookmarkEnd w:id="96"/>
      <w:r w:rsidR="0052762D" w:rsidRPr="0052762D">
        <w:rPr>
          <w:sz w:val="40"/>
          <w:szCs w:val="40"/>
          <w:lang w:val="pt-PT"/>
        </w:rPr>
        <w:t>Informação sobre a União Europeia</w:t>
      </w:r>
    </w:p>
    <w:p w:rsidR="0052762D" w:rsidRPr="0052762D" w:rsidRDefault="0052762D" w:rsidP="0052762D">
      <w:pPr>
        <w:rPr>
          <w:lang w:val="pt-PT"/>
        </w:rPr>
      </w:pPr>
      <w:bookmarkStart w:id="97" w:name="_Toc476045169"/>
      <w:bookmarkStart w:id="98" w:name="_Toc502916175"/>
      <w:r w:rsidRPr="0052762D">
        <w:rPr>
          <w:lang w:val="pt-PT"/>
        </w:rPr>
        <w:t xml:space="preserve">Quando fornecem informações acerca da UE, as suas instituições ou as suas políticas em comunicações escritas, os parceiros devem assegurar que as informações veiculadas são rigorosas e corretas. Qualquer uma das declarações seguintes utilizadas pelos parceiros deve ser feita </w:t>
      </w:r>
      <w:proofErr w:type="gramStart"/>
      <w:r w:rsidRPr="0052762D">
        <w:rPr>
          <w:lang w:val="pt-PT"/>
        </w:rPr>
        <w:t>na(s</w:t>
      </w:r>
      <w:proofErr w:type="gramEnd"/>
      <w:r w:rsidRPr="0052762D">
        <w:rPr>
          <w:lang w:val="pt-PT"/>
        </w:rPr>
        <w:t>) língua(s) local(</w:t>
      </w:r>
      <w:proofErr w:type="spellStart"/>
      <w:r w:rsidRPr="0052762D">
        <w:rPr>
          <w:lang w:val="pt-PT"/>
        </w:rPr>
        <w:t>is</w:t>
      </w:r>
      <w:proofErr w:type="spellEnd"/>
      <w:r w:rsidRPr="0052762D">
        <w:rPr>
          <w:lang w:val="pt-PT"/>
        </w:rPr>
        <w:t>) pertinente(s) e na língua operacional da UE relativa à ação em causa.</w:t>
      </w:r>
    </w:p>
    <w:p w:rsidR="0052762D" w:rsidRPr="0052762D" w:rsidRDefault="0052762D" w:rsidP="0052762D">
      <w:pPr>
        <w:pStyle w:val="Heading6"/>
        <w:contextualSpacing w:val="0"/>
        <w:rPr>
          <w:i w:val="0"/>
          <w:u w:val="single"/>
          <w:lang w:val="pt-PT"/>
        </w:rPr>
      </w:pPr>
      <w:r w:rsidRPr="0052762D">
        <w:rPr>
          <w:i w:val="0"/>
          <w:u w:val="single"/>
          <w:lang w:val="pt-PT"/>
        </w:rPr>
        <w:t>Declaração geral acerca da UE</w:t>
      </w:r>
    </w:p>
    <w:p w:rsidR="0052762D" w:rsidRPr="0052762D" w:rsidRDefault="0052762D" w:rsidP="0052762D">
      <w:pPr>
        <w:spacing w:after="120"/>
        <w:rPr>
          <w:lang w:val="pt-PT"/>
        </w:rPr>
      </w:pPr>
      <w:r w:rsidRPr="0052762D">
        <w:rPr>
          <w:lang w:val="pt-PT"/>
        </w:rPr>
        <w:t xml:space="preserve">Os parceiros ou contratantes que pretendam incluir uma declaração geral acerca da UE numa comunicação escrita podem utilizar a seguinte declaração geral normalizada: </w:t>
      </w:r>
    </w:p>
    <w:p w:rsidR="0052762D" w:rsidRPr="0052762D" w:rsidRDefault="0052762D" w:rsidP="0052762D">
      <w:pPr>
        <w:ind w:left="426"/>
        <w:contextualSpacing/>
        <w:rPr>
          <w:i/>
          <w:lang w:val="pt-PT"/>
        </w:rPr>
      </w:pPr>
      <w:r w:rsidRPr="0052762D">
        <w:rPr>
          <w:lang w:val="pt-PT"/>
        </w:rPr>
        <w:t>«Os Estados-Membros da União Europeia decidiram unir os seus conhecimentos práticos, os seus recursos e os seus destinos.</w:t>
      </w:r>
      <w:r w:rsidRPr="0052762D">
        <w:rPr>
          <w:i/>
          <w:lang w:val="pt-PT"/>
        </w:rPr>
        <w:t xml:space="preserve"> </w:t>
      </w:r>
      <w:r w:rsidRPr="0052762D">
        <w:rPr>
          <w:lang w:val="pt-PT"/>
        </w:rPr>
        <w:t>Juntos, construíram uma zona de estabilidade, democracia e desenvolvimento sustentável preservando simultaneamente a diversidade cultural, a tolerância e as liberdades individuais.</w:t>
      </w:r>
      <w:r w:rsidRPr="0052762D">
        <w:rPr>
          <w:i/>
          <w:lang w:val="pt-PT"/>
        </w:rPr>
        <w:t xml:space="preserve"> </w:t>
      </w:r>
      <w:r w:rsidRPr="0052762D">
        <w:rPr>
          <w:lang w:val="pt-PT"/>
        </w:rPr>
        <w:t>A União Europeia assume o compromisso de partilhar os seus êxitos e os seus valores com os países e povos que se encontram para além das suas fronteiras.»</w:t>
      </w:r>
    </w:p>
    <w:p w:rsidR="0052762D" w:rsidRPr="0052762D" w:rsidRDefault="0052762D" w:rsidP="0052762D">
      <w:pPr>
        <w:rPr>
          <w:lang w:val="pt-PT"/>
        </w:rPr>
      </w:pPr>
      <w:r w:rsidRPr="0052762D">
        <w:rPr>
          <w:lang w:val="pt-PT"/>
        </w:rPr>
        <w:t xml:space="preserve">Outras declarações gerais alternativas que seja adequado acrescentar, nomeadamente acerca do instrumento que financia a ação, dos objetivos de desenvolvimento ou cooperação mais gerais da UE ou de uma parceria específica, devem ser explicitamente aprovadas por escrito pela União Europeia, antes da publicação. </w:t>
      </w:r>
    </w:p>
    <w:p w:rsidR="0052762D" w:rsidRPr="0052762D" w:rsidRDefault="0052762D" w:rsidP="0052762D">
      <w:pPr>
        <w:spacing w:after="120"/>
        <w:rPr>
          <w:lang w:val="pt-PT"/>
        </w:rPr>
      </w:pPr>
      <w:r w:rsidRPr="0052762D">
        <w:rPr>
          <w:lang w:val="pt-PT"/>
        </w:rPr>
        <w:t>No caso de ações de ajuda humanitária e proteção civil financiadas pela Direção-Geral da Proteção Civil e das Operações de Ajuda Humanitária Europeias (DG ECHO), deve utilizar-se o seguinte texto:</w:t>
      </w:r>
    </w:p>
    <w:p w:rsidR="0052762D" w:rsidRPr="0052762D" w:rsidRDefault="0052762D" w:rsidP="0052762D">
      <w:pPr>
        <w:ind w:left="426"/>
        <w:contextualSpacing/>
        <w:rPr>
          <w:lang w:val="pt-PT"/>
        </w:rPr>
      </w:pPr>
      <w:r w:rsidRPr="0052762D">
        <w:rPr>
          <w:lang w:val="pt-PT"/>
        </w:rPr>
        <w:t>«A União Europeia e os seus Estados-Membros são líderes a nível mundial na prestação de ajuda humanitária.</w:t>
      </w:r>
      <w:r w:rsidRPr="0052762D">
        <w:rPr>
          <w:i/>
          <w:lang w:val="pt-PT"/>
        </w:rPr>
        <w:t xml:space="preserve"> </w:t>
      </w:r>
      <w:r w:rsidRPr="0052762D">
        <w:rPr>
          <w:lang w:val="pt-PT"/>
        </w:rPr>
        <w:t>A UE ajuda anualmente mais de 120 milhões de vítimas de conflitos e catástrofes.</w:t>
      </w:r>
      <w:r w:rsidRPr="0052762D">
        <w:rPr>
          <w:i/>
          <w:lang w:val="pt-PT"/>
        </w:rPr>
        <w:t xml:space="preserve"> </w:t>
      </w:r>
      <w:r w:rsidRPr="0052762D">
        <w:rPr>
          <w:lang w:val="pt-PT"/>
        </w:rPr>
        <w:t>Com sede em Bruxelas e uma rede global de gabinetes locais, a União presta assistência às pessoas mais vulneráveis com base unicamente nas necessidades humanitárias, sem discriminação de raça, grupo étnico, religião, género, idade, nacionalidade ou afiliação política.»</w:t>
      </w:r>
    </w:p>
    <w:p w:rsidR="0052762D" w:rsidRPr="0052762D" w:rsidRDefault="0052762D" w:rsidP="0052762D">
      <w:pPr>
        <w:pStyle w:val="Heading6"/>
        <w:contextualSpacing w:val="0"/>
        <w:rPr>
          <w:i w:val="0"/>
          <w:u w:val="single"/>
          <w:lang w:val="pt-PT"/>
        </w:rPr>
      </w:pPr>
      <w:r w:rsidRPr="0052762D">
        <w:rPr>
          <w:i w:val="0"/>
          <w:u w:val="single"/>
          <w:lang w:val="pt-PT"/>
        </w:rPr>
        <w:t>Definições da União Europeia e das suas instituições</w:t>
      </w:r>
    </w:p>
    <w:p w:rsidR="0052762D" w:rsidRPr="0052762D" w:rsidRDefault="0052762D" w:rsidP="0052762D">
      <w:pPr>
        <w:rPr>
          <w:lang w:val="pt-PT"/>
        </w:rPr>
      </w:pPr>
      <w:r w:rsidRPr="0052762D">
        <w:rPr>
          <w:lang w:val="pt-PT"/>
        </w:rPr>
        <w:t>Os parceiros que pretendam incluir informações mais pormenorizadas acerca da UE nos seus materiais de comunicação devem utilizar declarações aprovadas pela União Europeia e pelas suas instituições, salvo instruções explícitas em contrário por parte da União.</w:t>
      </w:r>
    </w:p>
    <w:p w:rsidR="0052762D" w:rsidRPr="0052762D" w:rsidRDefault="0052762D" w:rsidP="0052762D">
      <w:pPr>
        <w:rPr>
          <w:color w:val="auto"/>
          <w:lang w:val="pt-PT"/>
        </w:rPr>
      </w:pPr>
      <w:r w:rsidRPr="0052762D">
        <w:rPr>
          <w:lang w:val="pt-PT"/>
        </w:rPr>
        <w:lastRenderedPageBreak/>
        <w:t>O código de redação interinstitucional já referido nos presentes requisitos inclui uma lista dos emblemas aprovados das instituições da UE e de outros organismos</w:t>
      </w:r>
      <w:r>
        <w:rPr>
          <w:rStyle w:val="FootnoteReference"/>
          <w:color w:val="auto"/>
        </w:rPr>
        <w:footnoteReference w:id="13"/>
      </w:r>
      <w:r w:rsidRPr="0052762D">
        <w:rPr>
          <w:lang w:val="pt-PT"/>
        </w:rPr>
        <w:t>.</w:t>
      </w:r>
      <w:r w:rsidRPr="0052762D">
        <w:rPr>
          <w:color w:val="auto"/>
          <w:lang w:val="pt-PT"/>
        </w:rPr>
        <w:t xml:space="preserve"> </w:t>
      </w:r>
    </w:p>
    <w:p w:rsidR="0052762D" w:rsidRPr="0052762D" w:rsidRDefault="0052762D" w:rsidP="0052762D">
      <w:pPr>
        <w:pStyle w:val="Heading6"/>
        <w:contextualSpacing w:val="0"/>
        <w:rPr>
          <w:i w:val="0"/>
          <w:u w:val="single"/>
          <w:lang w:val="pt-PT"/>
        </w:rPr>
      </w:pPr>
      <w:r w:rsidRPr="0052762D">
        <w:rPr>
          <w:i w:val="0"/>
          <w:u w:val="single"/>
          <w:lang w:val="pt-PT"/>
        </w:rPr>
        <w:t>Ligações Internet</w:t>
      </w:r>
    </w:p>
    <w:p w:rsidR="0052762D" w:rsidRPr="0052762D" w:rsidRDefault="0052762D" w:rsidP="0052762D">
      <w:pPr>
        <w:rPr>
          <w:lang w:val="pt-PT"/>
        </w:rPr>
      </w:pPr>
      <w:r w:rsidRPr="0052762D">
        <w:rPr>
          <w:lang w:val="pt-PT"/>
        </w:rPr>
        <w:t xml:space="preserve">Para mais informações acerca das instituições e políticas da UE, as ligações Internet nas publicações produzidas pelos parceiros de execução devem remeter para fontes oficiais da UE, em particular </w:t>
      </w:r>
      <w:hyperlink r:id="rId21">
        <w:r w:rsidRPr="0052762D">
          <w:rPr>
            <w:color w:val="0000FF"/>
            <w:sz w:val="20"/>
            <w:lang w:val="pt-PT"/>
          </w:rPr>
          <w:t>http://europa.eu</w:t>
        </w:r>
      </w:hyperlink>
      <w:r w:rsidRPr="0052762D">
        <w:rPr>
          <w:lang w:val="pt-PT"/>
        </w:rPr>
        <w:t xml:space="preserve"> e/ou o sítio web pertinente da delegação da UE.</w:t>
      </w:r>
    </w:p>
    <w:p w:rsidR="00072D45" w:rsidRPr="0052762D" w:rsidRDefault="000E6A3F" w:rsidP="0095131F">
      <w:pPr>
        <w:pStyle w:val="Heading2"/>
        <w:contextualSpacing w:val="0"/>
        <w:rPr>
          <w:sz w:val="40"/>
          <w:szCs w:val="40"/>
          <w:lang w:val="pt-PT"/>
        </w:rPr>
      </w:pPr>
      <w:r w:rsidRPr="0052762D">
        <w:rPr>
          <w:sz w:val="40"/>
          <w:szCs w:val="40"/>
          <w:lang w:val="pt-PT"/>
        </w:rPr>
        <w:t xml:space="preserve">5.4 </w:t>
      </w:r>
      <w:bookmarkEnd w:id="97"/>
      <w:bookmarkEnd w:id="98"/>
      <w:r w:rsidR="0052762D" w:rsidRPr="0052762D">
        <w:rPr>
          <w:sz w:val="40"/>
          <w:szCs w:val="40"/>
          <w:lang w:val="pt-PT"/>
        </w:rPr>
        <w:t>Declarações de exoneração de responsabilidade</w:t>
      </w:r>
    </w:p>
    <w:p w:rsidR="0052762D" w:rsidRPr="0052762D" w:rsidRDefault="0052762D" w:rsidP="0052762D">
      <w:pPr>
        <w:rPr>
          <w:lang w:val="pt-PT"/>
        </w:rPr>
      </w:pPr>
      <w:bookmarkStart w:id="99" w:name="_Toc476045170"/>
      <w:bookmarkStart w:id="100" w:name="_Toc502916176"/>
      <w:r w:rsidRPr="0052762D">
        <w:rPr>
          <w:lang w:val="pt-PT"/>
        </w:rPr>
        <w:t xml:space="preserve">A UE não é responsável pelos conteúdos dos materiais de comunicação preparados pelos parceiros de execução, devendo todos eles incluir uma declaração de exoneração de responsabilidade normalizada, traduzida para </w:t>
      </w:r>
      <w:proofErr w:type="gramStart"/>
      <w:r w:rsidRPr="0052762D">
        <w:rPr>
          <w:lang w:val="pt-PT"/>
        </w:rPr>
        <w:t>a(s</w:t>
      </w:r>
      <w:proofErr w:type="gramEnd"/>
      <w:r w:rsidRPr="0052762D">
        <w:rPr>
          <w:lang w:val="pt-PT"/>
        </w:rPr>
        <w:t>) língua(s) local(</w:t>
      </w:r>
      <w:proofErr w:type="spellStart"/>
      <w:r w:rsidRPr="0052762D">
        <w:rPr>
          <w:lang w:val="pt-PT"/>
        </w:rPr>
        <w:t>is</w:t>
      </w:r>
      <w:proofErr w:type="spellEnd"/>
      <w:r w:rsidRPr="0052762D">
        <w:rPr>
          <w:lang w:val="pt-PT"/>
        </w:rPr>
        <w:t xml:space="preserve">) quando adequado. </w:t>
      </w:r>
    </w:p>
    <w:p w:rsidR="0052762D" w:rsidRPr="0052762D" w:rsidRDefault="0052762D" w:rsidP="0052762D">
      <w:pPr>
        <w:spacing w:after="120"/>
        <w:rPr>
          <w:lang w:val="pt-PT"/>
        </w:rPr>
      </w:pPr>
      <w:r w:rsidRPr="0052762D">
        <w:rPr>
          <w:lang w:val="pt-PT"/>
        </w:rPr>
        <w:t>Para publicações impressas ou em formato eletrónico:</w:t>
      </w:r>
    </w:p>
    <w:p w:rsidR="0052762D" w:rsidRPr="0052762D" w:rsidRDefault="0052762D" w:rsidP="0052762D">
      <w:pPr>
        <w:ind w:left="360"/>
        <w:contextualSpacing/>
        <w:rPr>
          <w:i/>
          <w:lang w:val="pt-PT"/>
        </w:rPr>
      </w:pPr>
      <w:r w:rsidRPr="0052762D">
        <w:rPr>
          <w:lang w:val="pt-PT"/>
        </w:rPr>
        <w:t>«Esta publicação foi produzida com o apoio financeiro da União Europeia.</w:t>
      </w:r>
      <w:r w:rsidRPr="0052762D">
        <w:rPr>
          <w:i/>
          <w:lang w:val="pt-PT"/>
        </w:rPr>
        <w:t xml:space="preserve"> </w:t>
      </w:r>
      <w:r w:rsidRPr="0052762D">
        <w:rPr>
          <w:lang w:val="pt-PT"/>
        </w:rPr>
        <w:t>O seu conteúdo é da exclusiva responsabilidade de &lt;nome do autor/parceiro&gt; e não reflete necessariamente a posição da União Europeia.»</w:t>
      </w:r>
    </w:p>
    <w:p w:rsidR="0052762D" w:rsidRPr="0052762D" w:rsidRDefault="0052762D" w:rsidP="0052762D">
      <w:pPr>
        <w:spacing w:after="120"/>
        <w:rPr>
          <w:lang w:val="pt-PT"/>
        </w:rPr>
      </w:pPr>
      <w:r w:rsidRPr="0052762D">
        <w:rPr>
          <w:lang w:val="pt-PT"/>
        </w:rPr>
        <w:t>Para sítios web e contas nas redes sociais:</w:t>
      </w:r>
    </w:p>
    <w:p w:rsidR="0052762D" w:rsidRPr="0052762D" w:rsidRDefault="0052762D" w:rsidP="0052762D">
      <w:pPr>
        <w:ind w:left="360"/>
        <w:contextualSpacing/>
        <w:rPr>
          <w:i/>
          <w:lang w:val="pt-PT"/>
        </w:rPr>
      </w:pPr>
      <w:r w:rsidRPr="0052762D">
        <w:rPr>
          <w:lang w:val="pt-PT"/>
        </w:rPr>
        <w:t>«Este &lt;sítio web/conta&gt; foi criado e é mantido com o apoio financeiro da União Europeia.</w:t>
      </w:r>
      <w:r w:rsidRPr="0052762D">
        <w:rPr>
          <w:i/>
          <w:lang w:val="pt-PT"/>
        </w:rPr>
        <w:t xml:space="preserve"> </w:t>
      </w:r>
      <w:r w:rsidRPr="0052762D">
        <w:rPr>
          <w:lang w:val="pt-PT"/>
        </w:rPr>
        <w:t>O seu conteúdo é da exclusiva responsabilidade de &lt;nome do autor/parceiro&gt; e não reflete necessariamente a posição da União Europeia.»</w:t>
      </w:r>
    </w:p>
    <w:p w:rsidR="0052762D" w:rsidRPr="0052762D" w:rsidRDefault="0052762D" w:rsidP="0052762D">
      <w:pPr>
        <w:spacing w:after="120"/>
        <w:rPr>
          <w:lang w:val="pt-PT"/>
        </w:rPr>
      </w:pPr>
      <w:r w:rsidRPr="0052762D">
        <w:rPr>
          <w:lang w:val="pt-PT"/>
        </w:rPr>
        <w:t>Para vídeos e outros materiais audiovisuais:</w:t>
      </w:r>
    </w:p>
    <w:p w:rsidR="0052762D" w:rsidRPr="0052762D" w:rsidRDefault="0052762D" w:rsidP="0052762D">
      <w:pPr>
        <w:ind w:left="360"/>
        <w:contextualSpacing/>
        <w:rPr>
          <w:i/>
          <w:lang w:val="pt-PT"/>
        </w:rPr>
      </w:pPr>
      <w:r w:rsidRPr="0052762D">
        <w:rPr>
          <w:lang w:val="pt-PT"/>
        </w:rPr>
        <w:t>«Este &lt;vídeo/filme/programa/gravação&gt; foi produzido com o apoio financeiro da União Europeia.</w:t>
      </w:r>
      <w:r w:rsidRPr="0052762D">
        <w:rPr>
          <w:i/>
          <w:lang w:val="pt-PT"/>
        </w:rPr>
        <w:t xml:space="preserve"> </w:t>
      </w:r>
      <w:r w:rsidRPr="0052762D">
        <w:rPr>
          <w:lang w:val="pt-PT"/>
        </w:rPr>
        <w:t>O seu conteúdo é da exclusiva responsabilidade de &lt;nome do autor/parceiro&gt; e não reflete necessariamente a posição da União Europeia.»</w:t>
      </w:r>
    </w:p>
    <w:p w:rsidR="00072D45" w:rsidRPr="0052762D" w:rsidRDefault="000E6A3F" w:rsidP="00C64A9A">
      <w:pPr>
        <w:pStyle w:val="Heading2"/>
        <w:contextualSpacing w:val="0"/>
        <w:jc w:val="left"/>
        <w:rPr>
          <w:sz w:val="40"/>
          <w:szCs w:val="40"/>
          <w:lang w:val="pt-PT"/>
        </w:rPr>
      </w:pPr>
      <w:r w:rsidRPr="0052762D">
        <w:rPr>
          <w:sz w:val="40"/>
          <w:szCs w:val="40"/>
          <w:lang w:val="pt-PT"/>
        </w:rPr>
        <w:t xml:space="preserve">5.5 </w:t>
      </w:r>
      <w:bookmarkEnd w:id="99"/>
      <w:bookmarkEnd w:id="100"/>
      <w:r w:rsidR="0052762D" w:rsidRPr="0052762D">
        <w:rPr>
          <w:sz w:val="40"/>
          <w:szCs w:val="40"/>
          <w:lang w:val="pt-PT"/>
        </w:rPr>
        <w:t>Organizações internacionais e agências dos Estados-Membros</w:t>
      </w:r>
    </w:p>
    <w:p w:rsidR="0052762D" w:rsidRPr="0052762D" w:rsidRDefault="0052762D" w:rsidP="0052762D">
      <w:pPr>
        <w:rPr>
          <w:lang w:val="pt-PT"/>
        </w:rPr>
      </w:pPr>
      <w:bookmarkStart w:id="101" w:name="_Toc476045171"/>
      <w:bookmarkStart w:id="102" w:name="_Toc502916177"/>
      <w:r w:rsidRPr="0052762D">
        <w:rPr>
          <w:lang w:val="pt-PT"/>
        </w:rPr>
        <w:t xml:space="preserve">A União Europeia celebra acordos-quadro e acordos de delegação com organizações internacionais e agências dos Estados-Membros que tenham passado com êxito uma «avaliação estrutural» da </w:t>
      </w:r>
      <w:r w:rsidRPr="0052762D">
        <w:rPr>
          <w:lang w:val="pt-PT"/>
        </w:rPr>
        <w:lastRenderedPageBreak/>
        <w:t>conformidade dos seus procedimentos internos em matéria de gestão financeira, administração e controlo em relação ao nível de exigência necessário para gerir os fundos da UE</w:t>
      </w:r>
      <w:r>
        <w:rPr>
          <w:vertAlign w:val="superscript"/>
        </w:rPr>
        <w:footnoteReference w:id="14"/>
      </w:r>
      <w:r w:rsidRPr="0052762D">
        <w:rPr>
          <w:lang w:val="pt-PT"/>
        </w:rPr>
        <w:t xml:space="preserve">. </w:t>
      </w:r>
    </w:p>
    <w:p w:rsidR="0052762D" w:rsidRPr="0052762D" w:rsidRDefault="0052762D" w:rsidP="0052762D">
      <w:pPr>
        <w:rPr>
          <w:lang w:val="pt-PT"/>
        </w:rPr>
      </w:pPr>
      <w:r w:rsidRPr="0052762D">
        <w:rPr>
          <w:lang w:val="pt-PT"/>
        </w:rPr>
        <w:t xml:space="preserve">Os acordos-quadro e os acordos de delegação celebrados com os parceiros «avaliados estruturalmente» incluem disposições específicas sobre comunicação e visibilidade que estão amplamente alinhados com os presentes requisitos. Contudo, nos casos em que as disposições dos requisitos possam ser contraditórias ou divergentes em relação às disposições pertinentes do acordo-quadro ou do acordo de delegação aplicável, estas últimas são as que prevalecem. </w:t>
      </w:r>
    </w:p>
    <w:p w:rsidR="00072D45" w:rsidRPr="0052762D" w:rsidRDefault="000D2E22" w:rsidP="0095131F">
      <w:pPr>
        <w:pStyle w:val="Heading2"/>
        <w:contextualSpacing w:val="0"/>
        <w:rPr>
          <w:sz w:val="40"/>
          <w:szCs w:val="40"/>
          <w:lang w:val="pt-PT"/>
        </w:rPr>
      </w:pPr>
      <w:r w:rsidRPr="0052762D">
        <w:rPr>
          <w:sz w:val="40"/>
          <w:szCs w:val="40"/>
          <w:lang w:val="pt-PT"/>
        </w:rPr>
        <w:t xml:space="preserve">5.6 </w:t>
      </w:r>
      <w:bookmarkEnd w:id="101"/>
      <w:bookmarkEnd w:id="102"/>
      <w:r w:rsidR="0052762D" w:rsidRPr="0052762D">
        <w:rPr>
          <w:sz w:val="40"/>
          <w:szCs w:val="40"/>
          <w:lang w:val="pt-PT"/>
        </w:rPr>
        <w:t>Visibilidade em contextos de vários doadores</w:t>
      </w:r>
    </w:p>
    <w:p w:rsidR="0052762D" w:rsidRPr="0052762D" w:rsidRDefault="0052762D" w:rsidP="0052762D">
      <w:pPr>
        <w:tabs>
          <w:tab w:val="left" w:pos="1418"/>
        </w:tabs>
        <w:rPr>
          <w:lang w:val="pt-PT"/>
        </w:rPr>
      </w:pPr>
      <w:r w:rsidRPr="0052762D">
        <w:rPr>
          <w:lang w:val="pt-PT"/>
        </w:rPr>
        <w:t xml:space="preserve">Quando existem vários doadores a contribuir financeiramente para uma ação cofinanciada pela União Europeia, o parceiro principal deve assegurar que a visibilidade do apoio da UE tem, pelo menos, o mesmo destaque do que a dos outros parceiros em todos os materiais, eventos, canais, etc. de comunicação abrangidos pelos presentes requisitos. </w:t>
      </w:r>
    </w:p>
    <w:p w:rsidR="0052762D" w:rsidRPr="0052762D" w:rsidRDefault="0052762D" w:rsidP="0052762D">
      <w:pPr>
        <w:rPr>
          <w:lang w:val="pt-PT"/>
        </w:rPr>
      </w:pPr>
      <w:r w:rsidRPr="0052762D">
        <w:rPr>
          <w:lang w:val="pt-PT"/>
        </w:rPr>
        <w:t>Em contextos de vários doadores em que o parceiro principal é um parceiro internacional com o qual a União Europeia celebrou um acordo-quadro ou um acordo de delegação (ver a secção 5.5), são aplicáveis as disposições de comunicação e visibilidade desse acordo.</w:t>
      </w:r>
    </w:p>
    <w:p w:rsidR="00C64A9A" w:rsidRDefault="00C64A9A" w:rsidP="004446BE">
      <w:pPr>
        <w:rPr>
          <w:lang w:val="en-GB"/>
        </w:rPr>
      </w:pPr>
      <w:r>
        <w:rPr>
          <w:noProof/>
          <w:lang w:val="en-GB" w:eastAsia="en-GB"/>
        </w:rPr>
        <w:drawing>
          <wp:anchor distT="0" distB="0" distL="114300" distR="114300" simplePos="0" relativeHeight="251693056" behindDoc="1" locked="0" layoutInCell="1" allowOverlap="1">
            <wp:simplePos x="0" y="0"/>
            <wp:positionH relativeFrom="page">
              <wp:posOffset>-18111</wp:posOffset>
            </wp:positionH>
            <wp:positionV relativeFrom="paragraph">
              <wp:posOffset>141605</wp:posOffset>
            </wp:positionV>
            <wp:extent cx="7570800" cy="54108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1.png"/>
                    <pic:cNvPicPr/>
                  </pic:nvPicPr>
                  <pic:blipFill>
                    <a:blip r:embed="rId22">
                      <a:extLst>
                        <a:ext uri="{28A0092B-C50C-407E-A947-70E740481C1C}">
                          <a14:useLocalDpi xmlns:a14="http://schemas.microsoft.com/office/drawing/2010/main" val="0"/>
                        </a:ext>
                      </a:extLst>
                    </a:blip>
                    <a:stretch>
                      <a:fillRect/>
                    </a:stretch>
                  </pic:blipFill>
                  <pic:spPr>
                    <a:xfrm>
                      <a:off x="0" y="0"/>
                      <a:ext cx="7570800" cy="5410800"/>
                    </a:xfrm>
                    <a:prstGeom prst="rect">
                      <a:avLst/>
                    </a:prstGeom>
                  </pic:spPr>
                </pic:pic>
              </a:graphicData>
            </a:graphic>
            <wp14:sizeRelH relativeFrom="page">
              <wp14:pctWidth>0</wp14:pctWidth>
            </wp14:sizeRelH>
            <wp14:sizeRelV relativeFrom="page">
              <wp14:pctHeight>0</wp14:pctHeight>
            </wp14:sizeRelV>
          </wp:anchor>
        </w:drawing>
      </w:r>
    </w:p>
    <w:sectPr w:rsidR="00C64A9A" w:rsidSect="009626E3">
      <w:headerReference w:type="default" r:id="rId23"/>
      <w:footerReference w:type="default" r:id="rId24"/>
      <w:pgSz w:w="11907" w:h="16839" w:code="9"/>
      <w:pgMar w:top="993" w:right="708" w:bottom="1440" w:left="851" w:header="708" w:footer="708" w:gutter="0"/>
      <w:pgNumType w:start="1"/>
      <w:cols w:space="708"/>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DBFEEF" w15:done="0"/>
  <w15:commentEx w15:paraId="73CFEA5C" w15:done="0"/>
  <w15:commentEx w15:paraId="50C5EA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A99" w:rsidRDefault="00F91A99">
      <w:pPr>
        <w:spacing w:before="0" w:line="240" w:lineRule="auto"/>
      </w:pPr>
      <w:r>
        <w:separator/>
      </w:r>
    </w:p>
  </w:endnote>
  <w:endnote w:type="continuationSeparator" w:id="0">
    <w:p w:rsidR="00F91A99" w:rsidRDefault="00F91A99">
      <w:pPr>
        <w:spacing w:before="0" w:line="240" w:lineRule="auto"/>
      </w:pPr>
      <w:r>
        <w:continuationSeparator/>
      </w:r>
    </w:p>
  </w:endnote>
  <w:endnote w:type="continuationNotice" w:id="1">
    <w:p w:rsidR="00F91A99" w:rsidRDefault="00F91A9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EB8" w:rsidRPr="009A4E04" w:rsidRDefault="00072EB8" w:rsidP="00D96ADC">
    <w:pPr>
      <w:jc w:val="left"/>
      <w:rPr>
        <w:b/>
        <w:sz w:val="16"/>
      </w:rPr>
    </w:pPr>
    <w:r>
      <w:rPr>
        <w:sz w:val="16"/>
      </w:rPr>
      <w:t>1</w:t>
    </w:r>
    <w:r w:rsidRPr="00D96ADC">
      <w:rPr>
        <w:sz w:val="16"/>
      </w:rPr>
      <w:t xml:space="preserve"> </w:t>
    </w:r>
    <w:r w:rsidR="00C4766F">
      <w:rPr>
        <w:sz w:val="16"/>
      </w:rPr>
      <w:t>de Janeiro de</w:t>
    </w:r>
    <w:r>
      <w:rPr>
        <w:sz w:val="16"/>
      </w:rPr>
      <w:t xml:space="preserve"> </w:t>
    </w:r>
    <w:r w:rsidRPr="00D96ADC">
      <w:rPr>
        <w:sz w:val="16"/>
      </w:rPr>
      <w:t>201</w:t>
    </w:r>
    <w:r>
      <w:rPr>
        <w:sz w:val="16"/>
      </w:rPr>
      <w:t>8</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Pr="009A4E04">
      <w:rPr>
        <w:b/>
        <w:sz w:val="16"/>
      </w:rPr>
      <w:fldChar w:fldCharType="begin"/>
    </w:r>
    <w:r w:rsidRPr="009A4E04">
      <w:rPr>
        <w:b/>
        <w:sz w:val="16"/>
      </w:rPr>
      <w:instrText xml:space="preserve"> PAGE </w:instrText>
    </w:r>
    <w:r w:rsidRPr="009A4E04">
      <w:rPr>
        <w:b/>
        <w:sz w:val="16"/>
      </w:rPr>
      <w:fldChar w:fldCharType="separate"/>
    </w:r>
    <w:r w:rsidR="00C4766F">
      <w:rPr>
        <w:b/>
        <w:noProof/>
        <w:sz w:val="16"/>
      </w:rPr>
      <w:t>4</w:t>
    </w:r>
    <w:r w:rsidRPr="009A4E04">
      <w:rPr>
        <w:b/>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A99" w:rsidRDefault="00F91A99" w:rsidP="0095131F">
      <w:pPr>
        <w:spacing w:before="0" w:line="240" w:lineRule="auto"/>
      </w:pPr>
      <w:r>
        <w:separator/>
      </w:r>
    </w:p>
  </w:footnote>
  <w:footnote w:type="continuationSeparator" w:id="0">
    <w:p w:rsidR="00F91A99" w:rsidRDefault="00F91A99" w:rsidP="0095131F">
      <w:pPr>
        <w:spacing w:before="0" w:line="240" w:lineRule="auto"/>
      </w:pPr>
      <w:r>
        <w:continuationSeparator/>
      </w:r>
    </w:p>
  </w:footnote>
  <w:footnote w:type="continuationNotice" w:id="1">
    <w:p w:rsidR="00F91A99" w:rsidRDefault="00F91A99" w:rsidP="0095131F">
      <w:pPr>
        <w:spacing w:before="0" w:line="240" w:lineRule="auto"/>
      </w:pPr>
    </w:p>
  </w:footnote>
  <w:footnote w:id="2">
    <w:p w:rsidR="00072EB8" w:rsidRPr="00072EB8" w:rsidRDefault="00072EB8" w:rsidP="00072EB8">
      <w:pPr>
        <w:spacing w:before="0" w:line="240" w:lineRule="auto"/>
        <w:rPr>
          <w:sz w:val="18"/>
          <w:szCs w:val="18"/>
          <w:lang w:val="pt-PT"/>
        </w:rPr>
      </w:pPr>
      <w:r>
        <w:rPr>
          <w:color w:val="auto"/>
          <w:sz w:val="18"/>
          <w:vertAlign w:val="superscript"/>
        </w:rPr>
        <w:footnoteRef/>
      </w:r>
      <w:r w:rsidRPr="00072EB8">
        <w:rPr>
          <w:color w:val="auto"/>
          <w:sz w:val="18"/>
          <w:lang w:val="pt-PT"/>
        </w:rPr>
        <w:t xml:space="preserve"> Tratado de Lisboa, capítulo 1, artigo 21.º: </w:t>
      </w:r>
      <w:hyperlink r:id="rId1">
        <w:r w:rsidRPr="00072EB8">
          <w:rPr>
            <w:rStyle w:val="Hyperlink"/>
            <w:color w:val="0000FF"/>
            <w:sz w:val="18"/>
            <w:lang w:val="pt-PT"/>
          </w:rPr>
          <w:t>http://www.lisbon-treaty.org/wcm/the-lisbon-treaty/treaty-on-european-union-and-comments/title-5-general-provisions-on-the-unions-external-action-and-specific-provisions/chapter-1-general-provisions-on-the-unions-external-action/101-article-21.html</w:t>
        </w:r>
      </w:hyperlink>
      <w:r w:rsidRPr="00072EB8">
        <w:rPr>
          <w:rStyle w:val="Hyperlink"/>
          <w:color w:val="0000FF"/>
          <w:sz w:val="18"/>
          <w:lang w:val="pt-PT"/>
        </w:rPr>
        <w:t xml:space="preserve">. </w:t>
      </w:r>
      <w:hyperlink w:history="1"/>
    </w:p>
  </w:footnote>
  <w:footnote w:id="3">
    <w:p w:rsidR="00072EB8" w:rsidRPr="00072EB8" w:rsidRDefault="00072EB8" w:rsidP="00072EB8">
      <w:pPr>
        <w:spacing w:before="0" w:line="240" w:lineRule="auto"/>
        <w:rPr>
          <w:sz w:val="18"/>
          <w:szCs w:val="18"/>
          <w:lang w:val="pt-PT"/>
        </w:rPr>
      </w:pPr>
      <w:r>
        <w:rPr>
          <w:sz w:val="18"/>
          <w:vertAlign w:val="superscript"/>
        </w:rPr>
        <w:footnoteRef/>
      </w:r>
      <w:r w:rsidRPr="00072EB8">
        <w:rPr>
          <w:sz w:val="18"/>
          <w:lang w:val="pt-PT"/>
        </w:rPr>
        <w:t xml:space="preserve"> No presente documento, a expressão «</w:t>
      </w:r>
      <w:proofErr w:type="gramStart"/>
      <w:r w:rsidRPr="00072EB8">
        <w:rPr>
          <w:sz w:val="18"/>
          <w:lang w:val="pt-PT"/>
        </w:rPr>
        <w:t>financiada(s</w:t>
      </w:r>
      <w:proofErr w:type="gramEnd"/>
      <w:r w:rsidRPr="00072EB8">
        <w:rPr>
          <w:sz w:val="18"/>
          <w:lang w:val="pt-PT"/>
        </w:rPr>
        <w:t>) pela UE» refere-se a ações financiadas total ou parcialmente por fundos da UE.</w:t>
      </w:r>
    </w:p>
  </w:footnote>
  <w:footnote w:id="4">
    <w:p w:rsidR="00072EB8" w:rsidRPr="00072EB8" w:rsidRDefault="00072EB8" w:rsidP="00072EB8">
      <w:pPr>
        <w:spacing w:before="0" w:line="240" w:lineRule="auto"/>
        <w:rPr>
          <w:sz w:val="18"/>
          <w:szCs w:val="18"/>
          <w:lang w:val="pt-PT"/>
        </w:rPr>
      </w:pPr>
      <w:r>
        <w:rPr>
          <w:sz w:val="18"/>
          <w:vertAlign w:val="superscript"/>
        </w:rPr>
        <w:footnoteRef/>
      </w:r>
      <w:r w:rsidRPr="00072EB8">
        <w:rPr>
          <w:sz w:val="18"/>
          <w:lang w:val="pt-PT"/>
        </w:rPr>
        <w:t xml:space="preserve"> </w:t>
      </w:r>
      <w:r w:rsidRPr="00072EB8">
        <w:rPr>
          <w:color w:val="auto"/>
          <w:sz w:val="18"/>
          <w:lang w:val="pt-PT"/>
        </w:rPr>
        <w:t>No presente documento, «parceiro (de execução)» é uma expressão abrangente que se refere a todos os beneficiários de subvenções, contratantes, organizações e agências envolvidos na execução de ações financiadas parcial ou totalmente pela UE.</w:t>
      </w:r>
    </w:p>
  </w:footnote>
  <w:footnote w:id="5">
    <w:p w:rsidR="00D81627" w:rsidRPr="00D81627" w:rsidRDefault="00D81627" w:rsidP="00D81627">
      <w:pPr>
        <w:pStyle w:val="FootnoteText"/>
        <w:rPr>
          <w:color w:val="0000FF"/>
          <w:sz w:val="18"/>
          <w:szCs w:val="18"/>
          <w:lang w:val="pt-PT"/>
        </w:rPr>
      </w:pPr>
      <w:r>
        <w:rPr>
          <w:rStyle w:val="FootnoteReference"/>
        </w:rPr>
        <w:footnoteRef/>
      </w:r>
      <w:r w:rsidRPr="00D81627">
        <w:rPr>
          <w:lang w:val="pt-PT"/>
        </w:rPr>
        <w:t xml:space="preserve"> </w:t>
      </w:r>
      <w:r w:rsidRPr="00D81627">
        <w:rPr>
          <w:sz w:val="18"/>
          <w:lang w:val="pt-PT"/>
        </w:rPr>
        <w:t xml:space="preserve">Ver também as dicas da UE para escrever com clareza </w:t>
      </w:r>
      <w:proofErr w:type="gramStart"/>
      <w:r w:rsidRPr="00D81627">
        <w:rPr>
          <w:sz w:val="18"/>
          <w:lang w:val="pt-PT"/>
        </w:rPr>
        <w:t>em</w:t>
      </w:r>
      <w:proofErr w:type="gramEnd"/>
      <w:r w:rsidRPr="00D81627">
        <w:rPr>
          <w:sz w:val="18"/>
          <w:lang w:val="pt-PT"/>
        </w:rPr>
        <w:t xml:space="preserve">: </w:t>
      </w:r>
      <w:hyperlink r:id="rId2">
        <w:r w:rsidRPr="00D81627">
          <w:rPr>
            <w:rStyle w:val="Hyperlink"/>
            <w:color w:val="0000FF"/>
            <w:sz w:val="18"/>
            <w:lang w:val="pt-PT"/>
          </w:rPr>
          <w:t>https://ec.europa.eu/info/files/claires-clear-writing-tips_en</w:t>
        </w:r>
      </w:hyperlink>
    </w:p>
  </w:footnote>
  <w:footnote w:id="6">
    <w:p w:rsidR="00145046" w:rsidRPr="00145046" w:rsidRDefault="00145046" w:rsidP="00145046">
      <w:pPr>
        <w:spacing w:before="0" w:line="240" w:lineRule="auto"/>
        <w:rPr>
          <w:color w:val="0066FF"/>
          <w:sz w:val="16"/>
          <w:szCs w:val="16"/>
          <w:lang w:val="pt-PT"/>
        </w:rPr>
      </w:pPr>
      <w:r>
        <w:rPr>
          <w:sz w:val="18"/>
          <w:vertAlign w:val="superscript"/>
        </w:rPr>
        <w:footnoteRef/>
      </w:r>
      <w:r w:rsidRPr="00145046">
        <w:rPr>
          <w:sz w:val="18"/>
          <w:lang w:val="pt-PT"/>
        </w:rPr>
        <w:t xml:space="preserve"> Orientações para utilizar o emblema da UE: </w:t>
      </w:r>
      <w:hyperlink r:id="rId3">
        <w:r w:rsidRPr="00145046">
          <w:rPr>
            <w:rStyle w:val="Hyperlink"/>
            <w:color w:val="0000FF"/>
            <w:sz w:val="16"/>
            <w:lang w:val="pt-PT"/>
          </w:rPr>
          <w:t>http://ec.europa.eu/dgs/communication/services/visual_identity/pdf/use-emblem_en.pdf</w:t>
        </w:r>
      </w:hyperlink>
      <w:r w:rsidRPr="00145046">
        <w:rPr>
          <w:color w:val="0000FF"/>
          <w:sz w:val="16"/>
          <w:lang w:val="pt-PT"/>
        </w:rPr>
        <w:t xml:space="preserve"> </w:t>
      </w:r>
    </w:p>
  </w:footnote>
  <w:footnote w:id="7">
    <w:p w:rsidR="009D32B3" w:rsidRPr="009D32B3" w:rsidRDefault="009D32B3" w:rsidP="009D32B3">
      <w:pPr>
        <w:spacing w:before="0" w:line="240" w:lineRule="auto"/>
        <w:rPr>
          <w:vertAlign w:val="superscript"/>
          <w:lang w:val="pt-PT"/>
        </w:rPr>
      </w:pPr>
      <w:r>
        <w:rPr>
          <w:sz w:val="18"/>
          <w:vertAlign w:val="superscript"/>
        </w:rPr>
        <w:footnoteRef/>
      </w:r>
      <w:r w:rsidRPr="009D32B3">
        <w:rPr>
          <w:sz w:val="18"/>
          <w:lang w:val="pt-PT"/>
        </w:rPr>
        <w:t xml:space="preserve"> Quando é preciso uma intervenção rápida em resposta a uma crise repentina, não é necessário elaborar de imediato um PCV completo. Nestas situações, o apoio da UE deve ainda assim ser devidamente exibido desde o início (ver também a secção 2.1.3, relativa às situações excecionais).</w:t>
      </w:r>
    </w:p>
  </w:footnote>
  <w:footnote w:id="8">
    <w:p w:rsidR="009D32B3" w:rsidRPr="009D32B3" w:rsidRDefault="009D32B3" w:rsidP="009D32B3">
      <w:pPr>
        <w:rPr>
          <w:lang w:val="pt-PT"/>
        </w:rPr>
      </w:pPr>
      <w:r>
        <w:rPr>
          <w:rStyle w:val="FootnoteReference"/>
          <w:sz w:val="18"/>
        </w:rPr>
        <w:footnoteRef/>
      </w:r>
      <w:r w:rsidRPr="009D32B3">
        <w:rPr>
          <w:sz w:val="18"/>
          <w:lang w:val="pt-PT"/>
        </w:rPr>
        <w:t xml:space="preserve"> As implicações administrativas e práticas desta agregação de recursos são abordadas no guia referido na secção 1.</w:t>
      </w:r>
    </w:p>
  </w:footnote>
  <w:footnote w:id="9">
    <w:p w:rsidR="006B6000" w:rsidRPr="00394479" w:rsidRDefault="006B6000" w:rsidP="006B6000">
      <w:pPr>
        <w:pStyle w:val="FootnoteText"/>
        <w:rPr>
          <w:sz w:val="18"/>
          <w:szCs w:val="18"/>
          <w:lang w:val="en-GB"/>
        </w:rPr>
      </w:pPr>
      <w:r>
        <w:rPr>
          <w:rStyle w:val="FootnoteReference"/>
          <w:sz w:val="18"/>
        </w:rPr>
        <w:footnoteRef/>
      </w:r>
      <w:r w:rsidRPr="00157D4D">
        <w:rPr>
          <w:sz w:val="18"/>
          <w:lang w:val="en-US"/>
        </w:rPr>
        <w:t xml:space="preserve"> Internation</w:t>
      </w:r>
      <w:r>
        <w:rPr>
          <w:sz w:val="18"/>
          <w:lang w:val="en-US"/>
        </w:rPr>
        <w:t xml:space="preserve">al Press and Telecommunications </w:t>
      </w:r>
      <w:r w:rsidRPr="00157D4D">
        <w:rPr>
          <w:sz w:val="18"/>
          <w:lang w:val="en-US"/>
        </w:rPr>
        <w:t>Council</w:t>
      </w:r>
    </w:p>
  </w:footnote>
  <w:footnote w:id="10">
    <w:p w:rsidR="00FC3CAF" w:rsidRPr="00FD2335" w:rsidRDefault="00FC3CAF" w:rsidP="00FC3CAF">
      <w:pPr>
        <w:spacing w:before="0" w:line="240" w:lineRule="auto"/>
        <w:rPr>
          <w:sz w:val="18"/>
          <w:szCs w:val="18"/>
          <w:lang w:val="en-GB"/>
        </w:rPr>
      </w:pPr>
      <w:r>
        <w:rPr>
          <w:sz w:val="18"/>
          <w:vertAlign w:val="superscript"/>
        </w:rPr>
        <w:footnoteRef/>
      </w:r>
      <w:r w:rsidRPr="00157D4D">
        <w:rPr>
          <w:sz w:val="18"/>
          <w:lang w:val="en-US"/>
        </w:rPr>
        <w:t xml:space="preserve">  </w:t>
      </w:r>
      <w:r w:rsidRPr="00157D4D">
        <w:rPr>
          <w:color w:val="0000FF"/>
          <w:sz w:val="18"/>
          <w:u w:val="single"/>
          <w:lang w:val="en-US"/>
        </w:rPr>
        <w:t>http://eur-lex.europa.eu/legal-content/PT/TXT/ELI/?eliuri=eli:reg:2014:236:oj</w:t>
      </w:r>
    </w:p>
  </w:footnote>
  <w:footnote w:id="11">
    <w:p w:rsidR="00FC3CAF" w:rsidRPr="00F53132" w:rsidRDefault="00FC3CAF" w:rsidP="00FC3CAF">
      <w:pPr>
        <w:pStyle w:val="FootnoteText"/>
        <w:rPr>
          <w:lang w:val="en-GB"/>
        </w:rPr>
      </w:pPr>
      <w:r>
        <w:rPr>
          <w:rStyle w:val="FootnoteReference"/>
          <w:sz w:val="18"/>
        </w:rPr>
        <w:footnoteRef/>
      </w:r>
      <w:r w:rsidRPr="00157D4D">
        <w:rPr>
          <w:sz w:val="18"/>
          <w:lang w:val="en-GB"/>
        </w:rPr>
        <w:t xml:space="preserve"> </w:t>
      </w:r>
      <w:hyperlink r:id="rId4">
        <w:r w:rsidRPr="00157D4D">
          <w:rPr>
            <w:rStyle w:val="Hyperlink"/>
            <w:color w:val="0000FF"/>
            <w:sz w:val="18"/>
            <w:lang w:val="en-GB"/>
          </w:rPr>
          <w:t>http://eur-lex.europa.eu/legal-content/PT/TXT/?uri=celex%3A32012R1268</w:t>
        </w:r>
      </w:hyperlink>
      <w:r w:rsidRPr="00157D4D">
        <w:rPr>
          <w:color w:val="0066FF"/>
          <w:sz w:val="18"/>
          <w:lang w:val="en-GB"/>
        </w:rPr>
        <w:t xml:space="preserve"> </w:t>
      </w:r>
    </w:p>
  </w:footnote>
  <w:footnote w:id="12">
    <w:p w:rsidR="00E736FE" w:rsidRPr="00417D09" w:rsidRDefault="00E736FE" w:rsidP="00E736FE">
      <w:pPr>
        <w:pStyle w:val="FootnoteText"/>
        <w:rPr>
          <w:lang w:val="pt-PT"/>
        </w:rPr>
      </w:pPr>
      <w:r>
        <w:rPr>
          <w:rStyle w:val="FootnoteReference"/>
        </w:rPr>
        <w:footnoteRef/>
      </w:r>
      <w:r w:rsidRPr="00417D09">
        <w:rPr>
          <w:lang w:val="pt-PT"/>
        </w:rPr>
        <w:t xml:space="preserve"> </w:t>
      </w:r>
      <w:r w:rsidRPr="00417D09">
        <w:rPr>
          <w:sz w:val="18"/>
          <w:lang w:val="pt-PT"/>
        </w:rPr>
        <w:t>Ver:</w:t>
      </w:r>
      <w:r w:rsidRPr="00417D09">
        <w:rPr>
          <w:color w:val="0000FF"/>
          <w:sz w:val="18"/>
          <w:lang w:val="pt-PT"/>
        </w:rPr>
        <w:t xml:space="preserve"> </w:t>
      </w:r>
      <w:hyperlink r:id="rId5">
        <w:r w:rsidRPr="00417D09">
          <w:rPr>
            <w:rStyle w:val="Hyperlink"/>
            <w:color w:val="0000FF"/>
            <w:sz w:val="18"/>
            <w:lang w:val="pt-PT"/>
          </w:rPr>
          <w:t>http://publications.europa.eu/code/pt/pt-5000100.htm</w:t>
        </w:r>
      </w:hyperlink>
    </w:p>
  </w:footnote>
  <w:footnote w:id="13">
    <w:p w:rsidR="0052762D" w:rsidRPr="00417D09" w:rsidRDefault="0052762D" w:rsidP="0052762D">
      <w:pPr>
        <w:pStyle w:val="FootnoteText"/>
        <w:rPr>
          <w:lang w:val="pt-PT"/>
        </w:rPr>
      </w:pPr>
      <w:r>
        <w:rPr>
          <w:rStyle w:val="FootnoteReference"/>
        </w:rPr>
        <w:footnoteRef/>
      </w:r>
      <w:r w:rsidRPr="00417D09">
        <w:rPr>
          <w:lang w:val="pt-PT"/>
        </w:rPr>
        <w:t xml:space="preserve"> </w:t>
      </w:r>
      <w:hyperlink r:id="rId6">
        <w:r w:rsidRPr="00417D09">
          <w:rPr>
            <w:rStyle w:val="Hyperlink"/>
            <w:color w:val="0000FF"/>
            <w:sz w:val="18"/>
            <w:lang w:val="pt-PT"/>
          </w:rPr>
          <w:t>http://publications.europa.eu/code/pt/pt-5000200.htm</w:t>
        </w:r>
      </w:hyperlink>
      <w:r w:rsidRPr="00417D09">
        <w:rPr>
          <w:color w:val="0000FF"/>
          <w:lang w:val="pt-PT"/>
        </w:rPr>
        <w:t xml:space="preserve"> </w:t>
      </w:r>
    </w:p>
  </w:footnote>
  <w:footnote w:id="14">
    <w:p w:rsidR="0052762D" w:rsidRPr="0052762D" w:rsidRDefault="0052762D" w:rsidP="0052762D">
      <w:pPr>
        <w:spacing w:before="0" w:line="240" w:lineRule="auto"/>
        <w:rPr>
          <w:sz w:val="18"/>
          <w:szCs w:val="18"/>
          <w:lang w:val="pt-PT"/>
        </w:rPr>
      </w:pPr>
      <w:r>
        <w:rPr>
          <w:sz w:val="18"/>
          <w:vertAlign w:val="superscript"/>
        </w:rPr>
        <w:footnoteRef/>
      </w:r>
      <w:r w:rsidRPr="0052762D">
        <w:rPr>
          <w:sz w:val="18"/>
          <w:lang w:val="pt-PT"/>
        </w:rPr>
        <w:t xml:space="preserve"> Ver base jurídica na secção 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EB8" w:rsidRPr="00DD3291" w:rsidRDefault="00072EB8">
    <w:pPr>
      <w:pStyle w:val="Header"/>
      <w:rPr>
        <w:b/>
        <w:sz w:val="18"/>
        <w:szCs w:val="18"/>
        <w:lang w:val="en-GB"/>
      </w:rPr>
    </w:pPr>
  </w:p>
  <w:p w:rsidR="00072EB8" w:rsidRPr="009A4E04" w:rsidRDefault="00072EB8">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0CB"/>
    <w:multiLevelType w:val="multilevel"/>
    <w:tmpl w:val="BD34058C"/>
    <w:styleLink w:val="List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
    <w:nsid w:val="09D01354"/>
    <w:multiLevelType w:val="multilevel"/>
    <w:tmpl w:val="8432DA66"/>
    <w:styleLink w:val="List4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
    <w:nsid w:val="0A45363C"/>
    <w:multiLevelType w:val="multilevel"/>
    <w:tmpl w:val="B79ED02C"/>
    <w:lvl w:ilvl="0">
      <w:start w:val="1"/>
      <w:numFmt w:val="bullet"/>
      <w:lvlText w:val=""/>
      <w:lvlJc w:val="left"/>
      <w:pPr>
        <w:ind w:left="-360" w:firstLine="360"/>
      </w:pPr>
      <w:rPr>
        <w:rFonts w:ascii="Symbol" w:hAnsi="Symbol" w:hint="default"/>
        <w:u w:val="none"/>
      </w:rPr>
    </w:lvl>
    <w:lvl w:ilvl="1">
      <w:start w:val="1"/>
      <w:numFmt w:val="bullet"/>
      <w:lvlText w:val="○"/>
      <w:lvlJc w:val="left"/>
      <w:pPr>
        <w:ind w:left="360" w:firstLine="1080"/>
      </w:pPr>
      <w:rPr>
        <w:u w:val="none"/>
      </w:rPr>
    </w:lvl>
    <w:lvl w:ilvl="2">
      <w:start w:val="1"/>
      <w:numFmt w:val="bullet"/>
      <w:lvlText w:val="■"/>
      <w:lvlJc w:val="left"/>
      <w:pPr>
        <w:ind w:left="1080" w:firstLine="1800"/>
      </w:pPr>
      <w:rPr>
        <w:u w:val="none"/>
      </w:rPr>
    </w:lvl>
    <w:lvl w:ilvl="3">
      <w:start w:val="1"/>
      <w:numFmt w:val="bullet"/>
      <w:lvlText w:val="●"/>
      <w:lvlJc w:val="left"/>
      <w:pPr>
        <w:ind w:left="1800" w:firstLine="2520"/>
      </w:pPr>
      <w:rPr>
        <w:u w:val="none"/>
      </w:rPr>
    </w:lvl>
    <w:lvl w:ilvl="4">
      <w:start w:val="1"/>
      <w:numFmt w:val="bullet"/>
      <w:lvlText w:val="○"/>
      <w:lvlJc w:val="left"/>
      <w:pPr>
        <w:ind w:left="2520" w:firstLine="3240"/>
      </w:pPr>
      <w:rPr>
        <w:u w:val="none"/>
      </w:rPr>
    </w:lvl>
    <w:lvl w:ilvl="5">
      <w:start w:val="1"/>
      <w:numFmt w:val="bullet"/>
      <w:lvlText w:val="■"/>
      <w:lvlJc w:val="left"/>
      <w:pPr>
        <w:ind w:left="3240" w:firstLine="3960"/>
      </w:pPr>
      <w:rPr>
        <w:u w:val="none"/>
      </w:rPr>
    </w:lvl>
    <w:lvl w:ilvl="6">
      <w:start w:val="1"/>
      <w:numFmt w:val="bullet"/>
      <w:lvlText w:val="●"/>
      <w:lvlJc w:val="left"/>
      <w:pPr>
        <w:ind w:left="3960" w:firstLine="4680"/>
      </w:pPr>
      <w:rPr>
        <w:u w:val="none"/>
      </w:rPr>
    </w:lvl>
    <w:lvl w:ilvl="7">
      <w:start w:val="1"/>
      <w:numFmt w:val="bullet"/>
      <w:lvlText w:val="○"/>
      <w:lvlJc w:val="left"/>
      <w:pPr>
        <w:ind w:left="4680" w:firstLine="5400"/>
      </w:pPr>
      <w:rPr>
        <w:u w:val="none"/>
      </w:rPr>
    </w:lvl>
    <w:lvl w:ilvl="8">
      <w:start w:val="1"/>
      <w:numFmt w:val="bullet"/>
      <w:lvlText w:val="■"/>
      <w:lvlJc w:val="left"/>
      <w:pPr>
        <w:ind w:left="5400" w:firstLine="6120"/>
      </w:pPr>
      <w:rPr>
        <w:u w:val="none"/>
      </w:rPr>
    </w:lvl>
  </w:abstractNum>
  <w:abstractNum w:abstractNumId="3">
    <w:nsid w:val="247A1E85"/>
    <w:multiLevelType w:val="multilevel"/>
    <w:tmpl w:val="2794CC2A"/>
    <w:styleLink w:val="List1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
    <w:nsid w:val="28CE2090"/>
    <w:multiLevelType w:val="multilevel"/>
    <w:tmpl w:val="9662D588"/>
    <w:lvl w:ilvl="0">
      <w:start w:val="1"/>
      <w:numFmt w:val="lowerLetter"/>
      <w:lvlText w:val="%1)"/>
      <w:lvlJc w:val="left"/>
      <w:pPr>
        <w:ind w:left="819" w:firstLine="459"/>
      </w:pPr>
      <w:rPr>
        <w:vertAlign w:val="baseline"/>
      </w:rPr>
    </w:lvl>
    <w:lvl w:ilvl="1">
      <w:start w:val="1"/>
      <w:numFmt w:val="bullet"/>
      <w:lvlText w:val="○"/>
      <w:lvlJc w:val="left"/>
      <w:pPr>
        <w:ind w:left="1539" w:firstLine="1179"/>
      </w:pPr>
      <w:rPr>
        <w:rFonts w:ascii="Arial" w:eastAsia="Arial" w:hAnsi="Arial" w:cs="Arial"/>
        <w:vertAlign w:val="baseline"/>
      </w:rPr>
    </w:lvl>
    <w:lvl w:ilvl="2">
      <w:start w:val="1"/>
      <w:numFmt w:val="bullet"/>
      <w:lvlText w:val="■"/>
      <w:lvlJc w:val="left"/>
      <w:pPr>
        <w:ind w:left="2259" w:firstLine="1899"/>
      </w:pPr>
      <w:rPr>
        <w:rFonts w:ascii="Arial" w:eastAsia="Arial" w:hAnsi="Arial" w:cs="Arial"/>
        <w:vertAlign w:val="baseline"/>
      </w:rPr>
    </w:lvl>
    <w:lvl w:ilvl="3">
      <w:start w:val="1"/>
      <w:numFmt w:val="bullet"/>
      <w:lvlText w:val="●"/>
      <w:lvlJc w:val="left"/>
      <w:pPr>
        <w:ind w:left="2979" w:firstLine="2619"/>
      </w:pPr>
      <w:rPr>
        <w:rFonts w:ascii="Arial" w:eastAsia="Arial" w:hAnsi="Arial" w:cs="Arial"/>
        <w:vertAlign w:val="baseline"/>
      </w:rPr>
    </w:lvl>
    <w:lvl w:ilvl="4">
      <w:start w:val="1"/>
      <w:numFmt w:val="bullet"/>
      <w:lvlText w:val="○"/>
      <w:lvlJc w:val="left"/>
      <w:pPr>
        <w:ind w:left="3699" w:firstLine="3339"/>
      </w:pPr>
      <w:rPr>
        <w:rFonts w:ascii="Arial" w:eastAsia="Arial" w:hAnsi="Arial" w:cs="Arial"/>
        <w:vertAlign w:val="baseline"/>
      </w:rPr>
    </w:lvl>
    <w:lvl w:ilvl="5">
      <w:start w:val="1"/>
      <w:numFmt w:val="bullet"/>
      <w:lvlText w:val="■"/>
      <w:lvlJc w:val="left"/>
      <w:pPr>
        <w:ind w:left="4419" w:firstLine="4059"/>
      </w:pPr>
      <w:rPr>
        <w:rFonts w:ascii="Arial" w:eastAsia="Arial" w:hAnsi="Arial" w:cs="Arial"/>
        <w:vertAlign w:val="baseline"/>
      </w:rPr>
    </w:lvl>
    <w:lvl w:ilvl="6">
      <w:start w:val="1"/>
      <w:numFmt w:val="bullet"/>
      <w:lvlText w:val="●"/>
      <w:lvlJc w:val="left"/>
      <w:pPr>
        <w:ind w:left="5139" w:firstLine="4779"/>
      </w:pPr>
      <w:rPr>
        <w:rFonts w:ascii="Arial" w:eastAsia="Arial" w:hAnsi="Arial" w:cs="Arial"/>
        <w:vertAlign w:val="baseline"/>
      </w:rPr>
    </w:lvl>
    <w:lvl w:ilvl="7">
      <w:start w:val="1"/>
      <w:numFmt w:val="bullet"/>
      <w:lvlText w:val="○"/>
      <w:lvlJc w:val="left"/>
      <w:pPr>
        <w:ind w:left="5859" w:firstLine="5499"/>
      </w:pPr>
      <w:rPr>
        <w:rFonts w:ascii="Arial" w:eastAsia="Arial" w:hAnsi="Arial" w:cs="Arial"/>
        <w:vertAlign w:val="baseline"/>
      </w:rPr>
    </w:lvl>
    <w:lvl w:ilvl="8">
      <w:start w:val="1"/>
      <w:numFmt w:val="bullet"/>
      <w:lvlText w:val="■"/>
      <w:lvlJc w:val="left"/>
      <w:pPr>
        <w:ind w:left="6579" w:firstLine="6219"/>
      </w:pPr>
      <w:rPr>
        <w:rFonts w:ascii="Arial" w:eastAsia="Arial" w:hAnsi="Arial" w:cs="Arial"/>
        <w:vertAlign w:val="baseline"/>
      </w:rPr>
    </w:lvl>
  </w:abstractNum>
  <w:abstractNum w:abstractNumId="5">
    <w:nsid w:val="2B2E4113"/>
    <w:multiLevelType w:val="multilevel"/>
    <w:tmpl w:val="8230ED9A"/>
    <w:styleLink w:val="List3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6">
    <w:nsid w:val="2CD92BD3"/>
    <w:multiLevelType w:val="multilevel"/>
    <w:tmpl w:val="F03277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D7E06F6"/>
    <w:multiLevelType w:val="hybridMultilevel"/>
    <w:tmpl w:val="931AD07A"/>
    <w:lvl w:ilvl="0" w:tplc="E5D479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C86268"/>
    <w:multiLevelType w:val="multilevel"/>
    <w:tmpl w:val="0142B7A0"/>
    <w:styleLink w:val="List10"/>
    <w:lvl w:ilvl="0">
      <w:numFmt w:val="bullet"/>
      <w:lvlText w:val="➢"/>
      <w:lvlJc w:val="left"/>
      <w:rPr>
        <w:rFonts w:ascii="Arial" w:eastAsia="Arial" w:hAnsi="Arial" w:cs="Arial"/>
        <w:i/>
        <w:iCs/>
        <w:position w:val="0"/>
      </w:rPr>
    </w:lvl>
    <w:lvl w:ilvl="1">
      <w:start w:val="1"/>
      <w:numFmt w:val="bullet"/>
      <w:lvlText w:val="○"/>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9">
    <w:nsid w:val="37CF3B04"/>
    <w:multiLevelType w:val="multilevel"/>
    <w:tmpl w:val="056AF15C"/>
    <w:lvl w:ilvl="0">
      <w:start w:val="1"/>
      <w:numFmt w:val="bullet"/>
      <w:lvlText w:val=""/>
      <w:lvlJc w:val="left"/>
      <w:pPr>
        <w:ind w:left="459" w:firstLine="459"/>
      </w:pPr>
      <w:rPr>
        <w:rFonts w:ascii="Symbol" w:hAnsi="Symbol" w:hint="default"/>
        <w:vertAlign w:val="baseline"/>
      </w:rPr>
    </w:lvl>
    <w:lvl w:ilvl="1">
      <w:start w:val="1"/>
      <w:numFmt w:val="bullet"/>
      <w:lvlText w:val=""/>
      <w:lvlJc w:val="left"/>
      <w:pPr>
        <w:ind w:left="1179" w:firstLine="1179"/>
      </w:pPr>
      <w:rPr>
        <w:rFonts w:ascii="Symbol" w:hAnsi="Symbol" w:hint="default"/>
        <w:vertAlign w:val="baseline"/>
      </w:rPr>
    </w:lvl>
    <w:lvl w:ilvl="2">
      <w:start w:val="1"/>
      <w:numFmt w:val="bullet"/>
      <w:lvlText w:val="■"/>
      <w:lvlJc w:val="left"/>
      <w:pPr>
        <w:ind w:left="1899" w:firstLine="1899"/>
      </w:pPr>
      <w:rPr>
        <w:rFonts w:ascii="Arial" w:eastAsia="Arial" w:hAnsi="Arial" w:cs="Arial"/>
        <w:vertAlign w:val="baseline"/>
      </w:rPr>
    </w:lvl>
    <w:lvl w:ilvl="3">
      <w:start w:val="1"/>
      <w:numFmt w:val="bullet"/>
      <w:lvlText w:val="●"/>
      <w:lvlJc w:val="left"/>
      <w:pPr>
        <w:ind w:left="2619" w:firstLine="2619"/>
      </w:pPr>
      <w:rPr>
        <w:rFonts w:ascii="Arial" w:eastAsia="Arial" w:hAnsi="Arial" w:cs="Arial"/>
        <w:vertAlign w:val="baseline"/>
      </w:rPr>
    </w:lvl>
    <w:lvl w:ilvl="4">
      <w:start w:val="1"/>
      <w:numFmt w:val="bullet"/>
      <w:lvlText w:val="○"/>
      <w:lvlJc w:val="left"/>
      <w:pPr>
        <w:ind w:left="3339" w:firstLine="3339"/>
      </w:pPr>
      <w:rPr>
        <w:rFonts w:ascii="Arial" w:eastAsia="Arial" w:hAnsi="Arial" w:cs="Arial"/>
        <w:vertAlign w:val="baseline"/>
      </w:rPr>
    </w:lvl>
    <w:lvl w:ilvl="5">
      <w:start w:val="1"/>
      <w:numFmt w:val="bullet"/>
      <w:lvlText w:val="■"/>
      <w:lvlJc w:val="left"/>
      <w:pPr>
        <w:ind w:left="4059" w:firstLine="4059"/>
      </w:pPr>
      <w:rPr>
        <w:rFonts w:ascii="Arial" w:eastAsia="Arial" w:hAnsi="Arial" w:cs="Arial"/>
        <w:vertAlign w:val="baseline"/>
      </w:rPr>
    </w:lvl>
    <w:lvl w:ilvl="6">
      <w:start w:val="1"/>
      <w:numFmt w:val="bullet"/>
      <w:lvlText w:val="●"/>
      <w:lvlJc w:val="left"/>
      <w:pPr>
        <w:ind w:left="4779" w:firstLine="4779"/>
      </w:pPr>
      <w:rPr>
        <w:rFonts w:ascii="Arial" w:eastAsia="Arial" w:hAnsi="Arial" w:cs="Arial"/>
        <w:vertAlign w:val="baseline"/>
      </w:rPr>
    </w:lvl>
    <w:lvl w:ilvl="7">
      <w:start w:val="1"/>
      <w:numFmt w:val="bullet"/>
      <w:lvlText w:val="○"/>
      <w:lvlJc w:val="left"/>
      <w:pPr>
        <w:ind w:left="5499" w:firstLine="5499"/>
      </w:pPr>
      <w:rPr>
        <w:rFonts w:ascii="Arial" w:eastAsia="Arial" w:hAnsi="Arial" w:cs="Arial"/>
        <w:vertAlign w:val="baseline"/>
      </w:rPr>
    </w:lvl>
    <w:lvl w:ilvl="8">
      <w:start w:val="1"/>
      <w:numFmt w:val="bullet"/>
      <w:lvlText w:val="■"/>
      <w:lvlJc w:val="left"/>
      <w:pPr>
        <w:ind w:left="6219" w:firstLine="6219"/>
      </w:pPr>
      <w:rPr>
        <w:rFonts w:ascii="Arial" w:eastAsia="Arial" w:hAnsi="Arial" w:cs="Arial"/>
        <w:vertAlign w:val="baseline"/>
      </w:rPr>
    </w:lvl>
  </w:abstractNum>
  <w:abstractNum w:abstractNumId="10">
    <w:nsid w:val="3FB66DD5"/>
    <w:multiLevelType w:val="multilevel"/>
    <w:tmpl w:val="B27245CE"/>
    <w:styleLink w:val="List9"/>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1">
    <w:nsid w:val="417F6051"/>
    <w:multiLevelType w:val="multilevel"/>
    <w:tmpl w:val="793C97C4"/>
    <w:styleLink w:val="List2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2">
    <w:nsid w:val="42074413"/>
    <w:multiLevelType w:val="multilevel"/>
    <w:tmpl w:val="B98C9F8C"/>
    <w:styleLink w:val="List1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3">
    <w:nsid w:val="4FA3533F"/>
    <w:multiLevelType w:val="multilevel"/>
    <w:tmpl w:val="CBC24F5C"/>
    <w:lvl w:ilvl="0">
      <w:start w:val="1"/>
      <w:numFmt w:val="bullet"/>
      <w:lvlText w:val=""/>
      <w:lvlJc w:val="left"/>
      <w:pPr>
        <w:ind w:left="-1374" w:firstLine="360"/>
      </w:pPr>
      <w:rPr>
        <w:rFonts w:ascii="Symbol" w:hAnsi="Symbol" w:hint="default"/>
        <w:u w:val="none"/>
      </w:rPr>
    </w:lvl>
    <w:lvl w:ilvl="1">
      <w:start w:val="1"/>
      <w:numFmt w:val="bullet"/>
      <w:lvlText w:val="○"/>
      <w:lvlJc w:val="left"/>
      <w:pPr>
        <w:ind w:left="-654" w:firstLine="1080"/>
      </w:pPr>
      <w:rPr>
        <w:u w:val="none"/>
      </w:rPr>
    </w:lvl>
    <w:lvl w:ilvl="2">
      <w:start w:val="1"/>
      <w:numFmt w:val="bullet"/>
      <w:lvlText w:val="■"/>
      <w:lvlJc w:val="left"/>
      <w:pPr>
        <w:ind w:left="66" w:firstLine="1800"/>
      </w:pPr>
      <w:rPr>
        <w:u w:val="none"/>
      </w:rPr>
    </w:lvl>
    <w:lvl w:ilvl="3">
      <w:start w:val="1"/>
      <w:numFmt w:val="bullet"/>
      <w:lvlText w:val="●"/>
      <w:lvlJc w:val="left"/>
      <w:pPr>
        <w:ind w:left="786" w:firstLine="2520"/>
      </w:pPr>
      <w:rPr>
        <w:u w:val="none"/>
      </w:rPr>
    </w:lvl>
    <w:lvl w:ilvl="4">
      <w:start w:val="1"/>
      <w:numFmt w:val="bullet"/>
      <w:lvlText w:val="○"/>
      <w:lvlJc w:val="left"/>
      <w:pPr>
        <w:ind w:left="1506" w:firstLine="3240"/>
      </w:pPr>
      <w:rPr>
        <w:u w:val="none"/>
      </w:rPr>
    </w:lvl>
    <w:lvl w:ilvl="5">
      <w:start w:val="1"/>
      <w:numFmt w:val="bullet"/>
      <w:lvlText w:val="■"/>
      <w:lvlJc w:val="left"/>
      <w:pPr>
        <w:ind w:left="2226" w:firstLine="3960"/>
      </w:pPr>
      <w:rPr>
        <w:u w:val="none"/>
      </w:rPr>
    </w:lvl>
    <w:lvl w:ilvl="6">
      <w:start w:val="1"/>
      <w:numFmt w:val="bullet"/>
      <w:lvlText w:val="●"/>
      <w:lvlJc w:val="left"/>
      <w:pPr>
        <w:ind w:left="2946" w:firstLine="4680"/>
      </w:pPr>
      <w:rPr>
        <w:u w:val="none"/>
      </w:rPr>
    </w:lvl>
    <w:lvl w:ilvl="7">
      <w:start w:val="1"/>
      <w:numFmt w:val="bullet"/>
      <w:lvlText w:val="○"/>
      <w:lvlJc w:val="left"/>
      <w:pPr>
        <w:ind w:left="3666" w:firstLine="5400"/>
      </w:pPr>
      <w:rPr>
        <w:u w:val="none"/>
      </w:rPr>
    </w:lvl>
    <w:lvl w:ilvl="8">
      <w:start w:val="1"/>
      <w:numFmt w:val="bullet"/>
      <w:lvlText w:val="■"/>
      <w:lvlJc w:val="left"/>
      <w:pPr>
        <w:ind w:left="4386" w:firstLine="6120"/>
      </w:pPr>
      <w:rPr>
        <w:u w:val="none"/>
      </w:rPr>
    </w:lvl>
  </w:abstractNum>
  <w:abstractNum w:abstractNumId="14">
    <w:nsid w:val="500B70CA"/>
    <w:multiLevelType w:val="multilevel"/>
    <w:tmpl w:val="891C801E"/>
    <w:styleLink w:val="List6"/>
    <w:lvl w:ilvl="0">
      <w:numFmt w:val="bullet"/>
      <w:lvlText w:val="➢"/>
      <w:lvlJc w:val="left"/>
      <w:pPr>
        <w:tabs>
          <w:tab w:val="num" w:pos="720"/>
        </w:tabs>
        <w:ind w:left="720" w:hanging="360"/>
      </w:pPr>
      <w:rPr>
        <w:rFonts w:ascii="Helvetica Neue" w:eastAsia="Helvetica Neue" w:hAnsi="Helvetica Neue" w:cs="Helvetica Neue"/>
        <w:position w:val="0"/>
        <w:sz w:val="22"/>
        <w:szCs w:val="22"/>
      </w:rPr>
    </w:lvl>
    <w:lvl w:ilvl="1">
      <w:start w:val="1"/>
      <w:numFmt w:val="bullet"/>
      <w:lvlText w:val="○"/>
      <w:lvlJc w:val="left"/>
      <w:pPr>
        <w:tabs>
          <w:tab w:val="num" w:pos="2520"/>
        </w:tabs>
        <w:ind w:left="2520"/>
      </w:pPr>
      <w:rPr>
        <w:rFonts w:ascii="Helvetica Neue" w:eastAsia="Helvetica Neue" w:hAnsi="Helvetica Neue" w:cs="Helvetica Neue"/>
        <w:position w:val="0"/>
        <w:sz w:val="18"/>
        <w:szCs w:val="18"/>
      </w:rPr>
    </w:lvl>
    <w:lvl w:ilvl="2">
      <w:start w:val="1"/>
      <w:numFmt w:val="bullet"/>
      <w:lvlText w:val="■"/>
      <w:lvlJc w:val="left"/>
      <w:pPr>
        <w:tabs>
          <w:tab w:val="num" w:pos="3960"/>
        </w:tabs>
        <w:ind w:left="3960"/>
      </w:pPr>
      <w:rPr>
        <w:rFonts w:ascii="Helvetica Neue" w:eastAsia="Helvetica Neue" w:hAnsi="Helvetica Neue" w:cs="Helvetica Neue"/>
        <w:position w:val="0"/>
        <w:sz w:val="18"/>
        <w:szCs w:val="18"/>
      </w:rPr>
    </w:lvl>
    <w:lvl w:ilvl="3">
      <w:start w:val="1"/>
      <w:numFmt w:val="bullet"/>
      <w:lvlText w:val="●"/>
      <w:lvlJc w:val="left"/>
      <w:pPr>
        <w:tabs>
          <w:tab w:val="num" w:pos="5400"/>
        </w:tabs>
        <w:ind w:left="5400"/>
      </w:pPr>
      <w:rPr>
        <w:rFonts w:ascii="Helvetica Neue" w:eastAsia="Helvetica Neue" w:hAnsi="Helvetica Neue" w:cs="Helvetica Neue"/>
        <w:position w:val="0"/>
        <w:sz w:val="18"/>
        <w:szCs w:val="18"/>
      </w:rPr>
    </w:lvl>
    <w:lvl w:ilvl="4">
      <w:start w:val="1"/>
      <w:numFmt w:val="bullet"/>
      <w:lvlText w:val="○"/>
      <w:lvlJc w:val="left"/>
      <w:pPr>
        <w:tabs>
          <w:tab w:val="num" w:pos="6840"/>
        </w:tabs>
        <w:ind w:left="6840"/>
      </w:pPr>
      <w:rPr>
        <w:rFonts w:ascii="Helvetica Neue" w:eastAsia="Helvetica Neue" w:hAnsi="Helvetica Neue" w:cs="Helvetica Neue"/>
        <w:position w:val="0"/>
        <w:sz w:val="18"/>
        <w:szCs w:val="18"/>
      </w:rPr>
    </w:lvl>
    <w:lvl w:ilvl="5">
      <w:start w:val="1"/>
      <w:numFmt w:val="bullet"/>
      <w:lvlText w:val="■"/>
      <w:lvlJc w:val="left"/>
      <w:pPr>
        <w:tabs>
          <w:tab w:val="num" w:pos="8280"/>
        </w:tabs>
        <w:ind w:left="8280"/>
      </w:pPr>
      <w:rPr>
        <w:rFonts w:ascii="Helvetica Neue" w:eastAsia="Helvetica Neue" w:hAnsi="Helvetica Neue" w:cs="Helvetica Neue"/>
        <w:position w:val="0"/>
        <w:sz w:val="18"/>
        <w:szCs w:val="18"/>
      </w:rPr>
    </w:lvl>
    <w:lvl w:ilvl="6">
      <w:start w:val="1"/>
      <w:numFmt w:val="bullet"/>
      <w:lvlText w:val="●"/>
      <w:lvlJc w:val="left"/>
      <w:pPr>
        <w:tabs>
          <w:tab w:val="num" w:pos="9720"/>
        </w:tabs>
        <w:ind w:left="9720"/>
      </w:pPr>
      <w:rPr>
        <w:rFonts w:ascii="Helvetica Neue" w:eastAsia="Helvetica Neue" w:hAnsi="Helvetica Neue" w:cs="Helvetica Neue"/>
        <w:position w:val="0"/>
        <w:sz w:val="18"/>
        <w:szCs w:val="18"/>
      </w:rPr>
    </w:lvl>
    <w:lvl w:ilvl="7">
      <w:start w:val="1"/>
      <w:numFmt w:val="bullet"/>
      <w:lvlText w:val="○"/>
      <w:lvlJc w:val="left"/>
      <w:pPr>
        <w:tabs>
          <w:tab w:val="num" w:pos="11160"/>
        </w:tabs>
        <w:ind w:left="11160"/>
      </w:pPr>
      <w:rPr>
        <w:rFonts w:ascii="Helvetica Neue" w:eastAsia="Helvetica Neue" w:hAnsi="Helvetica Neue" w:cs="Helvetica Neue"/>
        <w:position w:val="0"/>
        <w:sz w:val="18"/>
        <w:szCs w:val="18"/>
      </w:rPr>
    </w:lvl>
    <w:lvl w:ilvl="8">
      <w:start w:val="1"/>
      <w:numFmt w:val="bullet"/>
      <w:lvlText w:val="■"/>
      <w:lvlJc w:val="left"/>
      <w:pPr>
        <w:tabs>
          <w:tab w:val="num" w:pos="12600"/>
        </w:tabs>
        <w:ind w:left="12600"/>
      </w:pPr>
      <w:rPr>
        <w:rFonts w:ascii="Helvetica Neue" w:eastAsia="Helvetica Neue" w:hAnsi="Helvetica Neue" w:cs="Helvetica Neue"/>
        <w:position w:val="0"/>
        <w:sz w:val="18"/>
        <w:szCs w:val="18"/>
      </w:rPr>
    </w:lvl>
  </w:abstractNum>
  <w:abstractNum w:abstractNumId="15">
    <w:nsid w:val="516A03F5"/>
    <w:multiLevelType w:val="multilevel"/>
    <w:tmpl w:val="F8E8944C"/>
    <w:styleLink w:val="List5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6">
    <w:nsid w:val="53C1689D"/>
    <w:multiLevelType w:val="multilevel"/>
    <w:tmpl w:val="5AC48228"/>
    <w:styleLink w:val="List7"/>
    <w:lvl w:ilvl="0">
      <w:numFmt w:val="bullet"/>
      <w:lvlText w:val="➢"/>
      <w:lvlJc w:val="left"/>
      <w:pPr>
        <w:tabs>
          <w:tab w:val="num" w:pos="655"/>
        </w:tabs>
        <w:ind w:left="655" w:hanging="295"/>
      </w:pPr>
      <w:rPr>
        <w:rFonts w:ascii="Helvetica Neue" w:eastAsia="Helvetica Neue" w:hAnsi="Helvetica Neue" w:cs="Helvetica Neue"/>
        <w:position w:val="0"/>
        <w:sz w:val="22"/>
        <w:szCs w:val="22"/>
      </w:rPr>
    </w:lvl>
    <w:lvl w:ilvl="1">
      <w:start w:val="1"/>
      <w:numFmt w:val="bullet"/>
      <w:lvlText w:val="○"/>
      <w:lvlJc w:val="left"/>
      <w:pPr>
        <w:tabs>
          <w:tab w:val="num" w:pos="2520"/>
        </w:tabs>
        <w:ind w:left="2520"/>
      </w:pPr>
      <w:rPr>
        <w:rFonts w:ascii="Helvetica Neue" w:eastAsia="Helvetica Neue" w:hAnsi="Helvetica Neue" w:cs="Helvetica Neue"/>
        <w:position w:val="0"/>
        <w:sz w:val="18"/>
        <w:szCs w:val="18"/>
      </w:rPr>
    </w:lvl>
    <w:lvl w:ilvl="2">
      <w:start w:val="1"/>
      <w:numFmt w:val="bullet"/>
      <w:lvlText w:val="■"/>
      <w:lvlJc w:val="left"/>
      <w:pPr>
        <w:tabs>
          <w:tab w:val="num" w:pos="3960"/>
        </w:tabs>
        <w:ind w:left="3960"/>
      </w:pPr>
      <w:rPr>
        <w:rFonts w:ascii="Helvetica Neue" w:eastAsia="Helvetica Neue" w:hAnsi="Helvetica Neue" w:cs="Helvetica Neue"/>
        <w:position w:val="0"/>
        <w:sz w:val="18"/>
        <w:szCs w:val="18"/>
      </w:rPr>
    </w:lvl>
    <w:lvl w:ilvl="3">
      <w:start w:val="1"/>
      <w:numFmt w:val="bullet"/>
      <w:lvlText w:val="●"/>
      <w:lvlJc w:val="left"/>
      <w:pPr>
        <w:tabs>
          <w:tab w:val="num" w:pos="5400"/>
        </w:tabs>
        <w:ind w:left="5400"/>
      </w:pPr>
      <w:rPr>
        <w:rFonts w:ascii="Helvetica Neue" w:eastAsia="Helvetica Neue" w:hAnsi="Helvetica Neue" w:cs="Helvetica Neue"/>
        <w:position w:val="0"/>
        <w:sz w:val="18"/>
        <w:szCs w:val="18"/>
      </w:rPr>
    </w:lvl>
    <w:lvl w:ilvl="4">
      <w:start w:val="1"/>
      <w:numFmt w:val="bullet"/>
      <w:lvlText w:val="○"/>
      <w:lvlJc w:val="left"/>
      <w:pPr>
        <w:tabs>
          <w:tab w:val="num" w:pos="6840"/>
        </w:tabs>
        <w:ind w:left="6840"/>
      </w:pPr>
      <w:rPr>
        <w:rFonts w:ascii="Helvetica Neue" w:eastAsia="Helvetica Neue" w:hAnsi="Helvetica Neue" w:cs="Helvetica Neue"/>
        <w:position w:val="0"/>
        <w:sz w:val="18"/>
        <w:szCs w:val="18"/>
      </w:rPr>
    </w:lvl>
    <w:lvl w:ilvl="5">
      <w:start w:val="1"/>
      <w:numFmt w:val="bullet"/>
      <w:lvlText w:val="■"/>
      <w:lvlJc w:val="left"/>
      <w:pPr>
        <w:tabs>
          <w:tab w:val="num" w:pos="8280"/>
        </w:tabs>
        <w:ind w:left="8280"/>
      </w:pPr>
      <w:rPr>
        <w:rFonts w:ascii="Helvetica Neue" w:eastAsia="Helvetica Neue" w:hAnsi="Helvetica Neue" w:cs="Helvetica Neue"/>
        <w:position w:val="0"/>
        <w:sz w:val="18"/>
        <w:szCs w:val="18"/>
      </w:rPr>
    </w:lvl>
    <w:lvl w:ilvl="6">
      <w:start w:val="1"/>
      <w:numFmt w:val="bullet"/>
      <w:lvlText w:val="●"/>
      <w:lvlJc w:val="left"/>
      <w:pPr>
        <w:tabs>
          <w:tab w:val="num" w:pos="9720"/>
        </w:tabs>
        <w:ind w:left="9720"/>
      </w:pPr>
      <w:rPr>
        <w:rFonts w:ascii="Helvetica Neue" w:eastAsia="Helvetica Neue" w:hAnsi="Helvetica Neue" w:cs="Helvetica Neue"/>
        <w:position w:val="0"/>
        <w:sz w:val="18"/>
        <w:szCs w:val="18"/>
      </w:rPr>
    </w:lvl>
    <w:lvl w:ilvl="7">
      <w:start w:val="1"/>
      <w:numFmt w:val="bullet"/>
      <w:lvlText w:val="○"/>
      <w:lvlJc w:val="left"/>
      <w:pPr>
        <w:tabs>
          <w:tab w:val="num" w:pos="11160"/>
        </w:tabs>
        <w:ind w:left="11160"/>
      </w:pPr>
      <w:rPr>
        <w:rFonts w:ascii="Helvetica Neue" w:eastAsia="Helvetica Neue" w:hAnsi="Helvetica Neue" w:cs="Helvetica Neue"/>
        <w:position w:val="0"/>
        <w:sz w:val="18"/>
        <w:szCs w:val="18"/>
      </w:rPr>
    </w:lvl>
    <w:lvl w:ilvl="8">
      <w:start w:val="1"/>
      <w:numFmt w:val="bullet"/>
      <w:lvlText w:val="■"/>
      <w:lvlJc w:val="left"/>
      <w:pPr>
        <w:tabs>
          <w:tab w:val="num" w:pos="12600"/>
        </w:tabs>
        <w:ind w:left="12600"/>
      </w:pPr>
      <w:rPr>
        <w:rFonts w:ascii="Helvetica Neue" w:eastAsia="Helvetica Neue" w:hAnsi="Helvetica Neue" w:cs="Helvetica Neue"/>
        <w:position w:val="0"/>
        <w:sz w:val="18"/>
        <w:szCs w:val="18"/>
      </w:rPr>
    </w:lvl>
  </w:abstractNum>
  <w:abstractNum w:abstractNumId="17">
    <w:nsid w:val="5AE8443E"/>
    <w:multiLevelType w:val="multilevel"/>
    <w:tmpl w:val="76065738"/>
    <w:styleLink w:val="List13"/>
    <w:lvl w:ilvl="0">
      <w:numFmt w:val="bullet"/>
      <w:lvlText w:val="➢"/>
      <w:lvlJc w:val="left"/>
      <w:rPr>
        <w:rFonts w:ascii="Arial" w:eastAsia="Arial" w:hAnsi="Arial" w:cs="Arial"/>
        <w:i/>
        <w:iCs/>
        <w:position w:val="0"/>
      </w:rPr>
    </w:lvl>
    <w:lvl w:ilvl="1">
      <w:start w:val="1"/>
      <w:numFmt w:val="bullet"/>
      <w:lvlText w:val="○"/>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18">
    <w:nsid w:val="5D695A89"/>
    <w:multiLevelType w:val="multilevel"/>
    <w:tmpl w:val="0700F2C6"/>
    <w:styleLink w:val="List15"/>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9">
    <w:nsid w:val="6ACF58F4"/>
    <w:multiLevelType w:val="multilevel"/>
    <w:tmpl w:val="892A702A"/>
    <w:styleLink w:val="List12"/>
    <w:lvl w:ilvl="0">
      <w:numFmt w:val="bullet"/>
      <w:lvlText w:val="➢"/>
      <w:lvlJc w:val="left"/>
      <w:rPr>
        <w:rFonts w:ascii="Arial" w:eastAsia="Arial" w:hAnsi="Arial" w:cs="Arial"/>
        <w:i/>
        <w:iCs/>
        <w:position w:val="0"/>
      </w:rPr>
    </w:lvl>
    <w:lvl w:ilvl="1">
      <w:start w:val="1"/>
      <w:numFmt w:val="bullet"/>
      <w:lvlText w:val="○"/>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20">
    <w:nsid w:val="726436A3"/>
    <w:multiLevelType w:val="multilevel"/>
    <w:tmpl w:val="77E64236"/>
    <w:styleLink w:val="List1"/>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1">
    <w:nsid w:val="72A44005"/>
    <w:multiLevelType w:val="multilevel"/>
    <w:tmpl w:val="9A9864DC"/>
    <w:styleLink w:val="List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num w:numId="1">
    <w:abstractNumId w:val="20"/>
  </w:num>
  <w:num w:numId="2">
    <w:abstractNumId w:val="0"/>
  </w:num>
  <w:num w:numId="3">
    <w:abstractNumId w:val="11"/>
  </w:num>
  <w:num w:numId="4">
    <w:abstractNumId w:val="5"/>
  </w:num>
  <w:num w:numId="5">
    <w:abstractNumId w:val="1"/>
  </w:num>
  <w:num w:numId="6">
    <w:abstractNumId w:val="15"/>
  </w:num>
  <w:num w:numId="7">
    <w:abstractNumId w:val="14"/>
  </w:num>
  <w:num w:numId="8">
    <w:abstractNumId w:val="16"/>
  </w:num>
  <w:num w:numId="9">
    <w:abstractNumId w:val="21"/>
  </w:num>
  <w:num w:numId="10">
    <w:abstractNumId w:val="10"/>
  </w:num>
  <w:num w:numId="11">
    <w:abstractNumId w:val="8"/>
  </w:num>
  <w:num w:numId="12">
    <w:abstractNumId w:val="3"/>
  </w:num>
  <w:num w:numId="13">
    <w:abstractNumId w:val="19"/>
  </w:num>
  <w:num w:numId="14">
    <w:abstractNumId w:val="17"/>
  </w:num>
  <w:num w:numId="15">
    <w:abstractNumId w:val="12"/>
  </w:num>
  <w:num w:numId="16">
    <w:abstractNumId w:val="18"/>
  </w:num>
  <w:num w:numId="17">
    <w:abstractNumId w:val="6"/>
  </w:num>
  <w:num w:numId="18">
    <w:abstractNumId w:val="4"/>
  </w:num>
  <w:num w:numId="19">
    <w:abstractNumId w:val="9"/>
  </w:num>
  <w:num w:numId="20">
    <w:abstractNumId w:val="13"/>
  </w:num>
  <w:num w:numId="21">
    <w:abstractNumId w:val="7"/>
  </w:num>
  <w:num w:numId="22">
    <w:abstractNumId w:val="2"/>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ola Dimitrov">
    <w15:presenceInfo w15:providerId="None" w15:userId="Nikola Dimitr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72D45"/>
    <w:rsid w:val="00000978"/>
    <w:rsid w:val="00001D2B"/>
    <w:rsid w:val="000051F3"/>
    <w:rsid w:val="00005206"/>
    <w:rsid w:val="00007D76"/>
    <w:rsid w:val="000130AC"/>
    <w:rsid w:val="00015AE4"/>
    <w:rsid w:val="00017CBE"/>
    <w:rsid w:val="00020895"/>
    <w:rsid w:val="00030392"/>
    <w:rsid w:val="00030EBF"/>
    <w:rsid w:val="00032E5E"/>
    <w:rsid w:val="00034876"/>
    <w:rsid w:val="000356BC"/>
    <w:rsid w:val="0003765A"/>
    <w:rsid w:val="0005297C"/>
    <w:rsid w:val="00061DBE"/>
    <w:rsid w:val="000629CD"/>
    <w:rsid w:val="000632BF"/>
    <w:rsid w:val="00064305"/>
    <w:rsid w:val="00071436"/>
    <w:rsid w:val="00072564"/>
    <w:rsid w:val="00072D45"/>
    <w:rsid w:val="00072EB8"/>
    <w:rsid w:val="000737AD"/>
    <w:rsid w:val="00077037"/>
    <w:rsid w:val="00082207"/>
    <w:rsid w:val="0009410B"/>
    <w:rsid w:val="000B32E4"/>
    <w:rsid w:val="000B692D"/>
    <w:rsid w:val="000B7B9E"/>
    <w:rsid w:val="000C600E"/>
    <w:rsid w:val="000C6967"/>
    <w:rsid w:val="000C6DDA"/>
    <w:rsid w:val="000C7963"/>
    <w:rsid w:val="000D0546"/>
    <w:rsid w:val="000D0B85"/>
    <w:rsid w:val="000D2E22"/>
    <w:rsid w:val="000D6190"/>
    <w:rsid w:val="000E0B68"/>
    <w:rsid w:val="000E35EE"/>
    <w:rsid w:val="000E643A"/>
    <w:rsid w:val="000E6A3F"/>
    <w:rsid w:val="000F0C95"/>
    <w:rsid w:val="000F0F4D"/>
    <w:rsid w:val="000F1879"/>
    <w:rsid w:val="000F2C5B"/>
    <w:rsid w:val="000F53E3"/>
    <w:rsid w:val="000F5A3A"/>
    <w:rsid w:val="00102AAC"/>
    <w:rsid w:val="001133DF"/>
    <w:rsid w:val="00116599"/>
    <w:rsid w:val="00117838"/>
    <w:rsid w:val="00123C62"/>
    <w:rsid w:val="00126854"/>
    <w:rsid w:val="0013006C"/>
    <w:rsid w:val="00133B8F"/>
    <w:rsid w:val="00136736"/>
    <w:rsid w:val="00137C3E"/>
    <w:rsid w:val="00143706"/>
    <w:rsid w:val="00143A31"/>
    <w:rsid w:val="00145046"/>
    <w:rsid w:val="00147CC2"/>
    <w:rsid w:val="001532EA"/>
    <w:rsid w:val="00155004"/>
    <w:rsid w:val="0015513C"/>
    <w:rsid w:val="00156604"/>
    <w:rsid w:val="00164327"/>
    <w:rsid w:val="001701CD"/>
    <w:rsid w:val="00171C29"/>
    <w:rsid w:val="00185344"/>
    <w:rsid w:val="0018758E"/>
    <w:rsid w:val="001879F0"/>
    <w:rsid w:val="00187BF6"/>
    <w:rsid w:val="00192836"/>
    <w:rsid w:val="00194FE7"/>
    <w:rsid w:val="001A5DDA"/>
    <w:rsid w:val="001A7FB2"/>
    <w:rsid w:val="001B18A1"/>
    <w:rsid w:val="001C08B7"/>
    <w:rsid w:val="001C5019"/>
    <w:rsid w:val="001C6763"/>
    <w:rsid w:val="001C6A14"/>
    <w:rsid w:val="001D0050"/>
    <w:rsid w:val="001D06FC"/>
    <w:rsid w:val="001D128C"/>
    <w:rsid w:val="001D716B"/>
    <w:rsid w:val="001F3DB9"/>
    <w:rsid w:val="001F626A"/>
    <w:rsid w:val="001F7FAC"/>
    <w:rsid w:val="002013AC"/>
    <w:rsid w:val="002022E9"/>
    <w:rsid w:val="0020606F"/>
    <w:rsid w:val="00207C0A"/>
    <w:rsid w:val="002104CC"/>
    <w:rsid w:val="00212186"/>
    <w:rsid w:val="002133D8"/>
    <w:rsid w:val="00226655"/>
    <w:rsid w:val="00232803"/>
    <w:rsid w:val="002344A6"/>
    <w:rsid w:val="002358F2"/>
    <w:rsid w:val="00237DFE"/>
    <w:rsid w:val="00241617"/>
    <w:rsid w:val="0024332E"/>
    <w:rsid w:val="00247509"/>
    <w:rsid w:val="0025034E"/>
    <w:rsid w:val="00254BCB"/>
    <w:rsid w:val="002555B8"/>
    <w:rsid w:val="002557ED"/>
    <w:rsid w:val="0025777A"/>
    <w:rsid w:val="00261CEF"/>
    <w:rsid w:val="00264AC4"/>
    <w:rsid w:val="00265DCE"/>
    <w:rsid w:val="0026642F"/>
    <w:rsid w:val="00266FE2"/>
    <w:rsid w:val="00271139"/>
    <w:rsid w:val="002919EB"/>
    <w:rsid w:val="00291DD7"/>
    <w:rsid w:val="002A062E"/>
    <w:rsid w:val="002A2A75"/>
    <w:rsid w:val="002A6AD8"/>
    <w:rsid w:val="002C0C4F"/>
    <w:rsid w:val="002C0FAC"/>
    <w:rsid w:val="002C0FE0"/>
    <w:rsid w:val="002C32C2"/>
    <w:rsid w:val="002C3576"/>
    <w:rsid w:val="002C4B43"/>
    <w:rsid w:val="002C7032"/>
    <w:rsid w:val="002D023D"/>
    <w:rsid w:val="002D20EE"/>
    <w:rsid w:val="002D3B8E"/>
    <w:rsid w:val="002D43A0"/>
    <w:rsid w:val="002D53C7"/>
    <w:rsid w:val="002E435A"/>
    <w:rsid w:val="002E6E13"/>
    <w:rsid w:val="002F351A"/>
    <w:rsid w:val="002F6372"/>
    <w:rsid w:val="002F6B36"/>
    <w:rsid w:val="002F774B"/>
    <w:rsid w:val="002F7D3D"/>
    <w:rsid w:val="00301581"/>
    <w:rsid w:val="00301BC9"/>
    <w:rsid w:val="00302903"/>
    <w:rsid w:val="003172C6"/>
    <w:rsid w:val="00320E78"/>
    <w:rsid w:val="003262D5"/>
    <w:rsid w:val="00330A05"/>
    <w:rsid w:val="003325FB"/>
    <w:rsid w:val="00346186"/>
    <w:rsid w:val="00347F26"/>
    <w:rsid w:val="0035158A"/>
    <w:rsid w:val="00355F89"/>
    <w:rsid w:val="00361AC3"/>
    <w:rsid w:val="00363866"/>
    <w:rsid w:val="00363E82"/>
    <w:rsid w:val="00365BD5"/>
    <w:rsid w:val="00366B0A"/>
    <w:rsid w:val="003725F2"/>
    <w:rsid w:val="00376917"/>
    <w:rsid w:val="00377528"/>
    <w:rsid w:val="00391D8A"/>
    <w:rsid w:val="00394479"/>
    <w:rsid w:val="003A6C30"/>
    <w:rsid w:val="003B6096"/>
    <w:rsid w:val="003C3273"/>
    <w:rsid w:val="003C5B61"/>
    <w:rsid w:val="003C6A3B"/>
    <w:rsid w:val="003C7016"/>
    <w:rsid w:val="003D3C66"/>
    <w:rsid w:val="003D4E2F"/>
    <w:rsid w:val="003E0A02"/>
    <w:rsid w:val="003E168D"/>
    <w:rsid w:val="003E3476"/>
    <w:rsid w:val="003E359F"/>
    <w:rsid w:val="003E5767"/>
    <w:rsid w:val="003E5E9B"/>
    <w:rsid w:val="003E65AA"/>
    <w:rsid w:val="00401762"/>
    <w:rsid w:val="00401FDF"/>
    <w:rsid w:val="00403446"/>
    <w:rsid w:val="004059A6"/>
    <w:rsid w:val="00410D7A"/>
    <w:rsid w:val="004110EC"/>
    <w:rsid w:val="00413F2E"/>
    <w:rsid w:val="00415741"/>
    <w:rsid w:val="00417D09"/>
    <w:rsid w:val="004234F7"/>
    <w:rsid w:val="0042594C"/>
    <w:rsid w:val="00435828"/>
    <w:rsid w:val="00437B75"/>
    <w:rsid w:val="004446BE"/>
    <w:rsid w:val="00444D73"/>
    <w:rsid w:val="00445276"/>
    <w:rsid w:val="00450CA5"/>
    <w:rsid w:val="00450FFA"/>
    <w:rsid w:val="0045141B"/>
    <w:rsid w:val="00453809"/>
    <w:rsid w:val="00455337"/>
    <w:rsid w:val="004632D7"/>
    <w:rsid w:val="00464AB9"/>
    <w:rsid w:val="00471AC6"/>
    <w:rsid w:val="00473A54"/>
    <w:rsid w:val="00475C4D"/>
    <w:rsid w:val="00476D5A"/>
    <w:rsid w:val="00483B4C"/>
    <w:rsid w:val="00485FF7"/>
    <w:rsid w:val="004A4491"/>
    <w:rsid w:val="004A4BE7"/>
    <w:rsid w:val="004B150F"/>
    <w:rsid w:val="004B4DAB"/>
    <w:rsid w:val="004B5C9E"/>
    <w:rsid w:val="004B71C6"/>
    <w:rsid w:val="004C2F64"/>
    <w:rsid w:val="004C7A2C"/>
    <w:rsid w:val="004D1710"/>
    <w:rsid w:val="004D19BF"/>
    <w:rsid w:val="004E399E"/>
    <w:rsid w:val="004E7305"/>
    <w:rsid w:val="004E7766"/>
    <w:rsid w:val="004F13D9"/>
    <w:rsid w:val="004F1562"/>
    <w:rsid w:val="004F6E32"/>
    <w:rsid w:val="005012BB"/>
    <w:rsid w:val="00507CBF"/>
    <w:rsid w:val="00510979"/>
    <w:rsid w:val="00510F17"/>
    <w:rsid w:val="0052438A"/>
    <w:rsid w:val="00524793"/>
    <w:rsid w:val="00524E6A"/>
    <w:rsid w:val="00526B9F"/>
    <w:rsid w:val="0052762D"/>
    <w:rsid w:val="00527EB8"/>
    <w:rsid w:val="005322DD"/>
    <w:rsid w:val="00536D2C"/>
    <w:rsid w:val="00536D82"/>
    <w:rsid w:val="00543719"/>
    <w:rsid w:val="00543725"/>
    <w:rsid w:val="0055052C"/>
    <w:rsid w:val="00552045"/>
    <w:rsid w:val="0055221D"/>
    <w:rsid w:val="00560F97"/>
    <w:rsid w:val="005647BF"/>
    <w:rsid w:val="00564A20"/>
    <w:rsid w:val="00566CDB"/>
    <w:rsid w:val="00571142"/>
    <w:rsid w:val="00572606"/>
    <w:rsid w:val="00574ED2"/>
    <w:rsid w:val="00575247"/>
    <w:rsid w:val="00582B25"/>
    <w:rsid w:val="00597044"/>
    <w:rsid w:val="005A052E"/>
    <w:rsid w:val="005A6733"/>
    <w:rsid w:val="005A7637"/>
    <w:rsid w:val="005B6477"/>
    <w:rsid w:val="005C5667"/>
    <w:rsid w:val="005D30BA"/>
    <w:rsid w:val="005E3876"/>
    <w:rsid w:val="005E7843"/>
    <w:rsid w:val="005F4901"/>
    <w:rsid w:val="005F767F"/>
    <w:rsid w:val="0060582B"/>
    <w:rsid w:val="00605BFF"/>
    <w:rsid w:val="00610247"/>
    <w:rsid w:val="0061028F"/>
    <w:rsid w:val="00610F68"/>
    <w:rsid w:val="00615687"/>
    <w:rsid w:val="00617A3D"/>
    <w:rsid w:val="00620EF0"/>
    <w:rsid w:val="006214FC"/>
    <w:rsid w:val="006237F8"/>
    <w:rsid w:val="00623F06"/>
    <w:rsid w:val="00634124"/>
    <w:rsid w:val="006519FD"/>
    <w:rsid w:val="00651F19"/>
    <w:rsid w:val="00654052"/>
    <w:rsid w:val="00657BB0"/>
    <w:rsid w:val="00657FC2"/>
    <w:rsid w:val="00661A43"/>
    <w:rsid w:val="00663362"/>
    <w:rsid w:val="006651B1"/>
    <w:rsid w:val="0067058E"/>
    <w:rsid w:val="0067377D"/>
    <w:rsid w:val="0067736B"/>
    <w:rsid w:val="00677B33"/>
    <w:rsid w:val="006869D2"/>
    <w:rsid w:val="006932AE"/>
    <w:rsid w:val="00694875"/>
    <w:rsid w:val="006A07A8"/>
    <w:rsid w:val="006A0A27"/>
    <w:rsid w:val="006A5109"/>
    <w:rsid w:val="006B113D"/>
    <w:rsid w:val="006B2898"/>
    <w:rsid w:val="006B5286"/>
    <w:rsid w:val="006B56C5"/>
    <w:rsid w:val="006B6000"/>
    <w:rsid w:val="006C1371"/>
    <w:rsid w:val="006C5F4B"/>
    <w:rsid w:val="006D2EBC"/>
    <w:rsid w:val="006D3B88"/>
    <w:rsid w:val="006D41EE"/>
    <w:rsid w:val="006E0D91"/>
    <w:rsid w:val="006E4526"/>
    <w:rsid w:val="0070327E"/>
    <w:rsid w:val="007032DC"/>
    <w:rsid w:val="00705655"/>
    <w:rsid w:val="00706021"/>
    <w:rsid w:val="007122DB"/>
    <w:rsid w:val="00723803"/>
    <w:rsid w:val="007255DF"/>
    <w:rsid w:val="00726D86"/>
    <w:rsid w:val="00727716"/>
    <w:rsid w:val="007353DA"/>
    <w:rsid w:val="007408CB"/>
    <w:rsid w:val="007413F0"/>
    <w:rsid w:val="007520CE"/>
    <w:rsid w:val="00755024"/>
    <w:rsid w:val="0076118D"/>
    <w:rsid w:val="00764466"/>
    <w:rsid w:val="00770D49"/>
    <w:rsid w:val="007712AD"/>
    <w:rsid w:val="00773CD2"/>
    <w:rsid w:val="00773D59"/>
    <w:rsid w:val="00775A04"/>
    <w:rsid w:val="00776209"/>
    <w:rsid w:val="00776691"/>
    <w:rsid w:val="007775A2"/>
    <w:rsid w:val="0078040F"/>
    <w:rsid w:val="007855D7"/>
    <w:rsid w:val="00785875"/>
    <w:rsid w:val="00792877"/>
    <w:rsid w:val="007937BB"/>
    <w:rsid w:val="00794B06"/>
    <w:rsid w:val="007B4DA9"/>
    <w:rsid w:val="007B6D2F"/>
    <w:rsid w:val="007B6D32"/>
    <w:rsid w:val="007C043F"/>
    <w:rsid w:val="007C05E2"/>
    <w:rsid w:val="007C2173"/>
    <w:rsid w:val="007C70A4"/>
    <w:rsid w:val="007D1320"/>
    <w:rsid w:val="007D19C7"/>
    <w:rsid w:val="007D66DE"/>
    <w:rsid w:val="007E3F06"/>
    <w:rsid w:val="007E5FCC"/>
    <w:rsid w:val="007E75A1"/>
    <w:rsid w:val="007E7980"/>
    <w:rsid w:val="007E7992"/>
    <w:rsid w:val="007F2944"/>
    <w:rsid w:val="007F6A2E"/>
    <w:rsid w:val="007F7DF2"/>
    <w:rsid w:val="00805A03"/>
    <w:rsid w:val="00811225"/>
    <w:rsid w:val="008214A9"/>
    <w:rsid w:val="008307C2"/>
    <w:rsid w:val="00830F3F"/>
    <w:rsid w:val="00831133"/>
    <w:rsid w:val="00831211"/>
    <w:rsid w:val="00833425"/>
    <w:rsid w:val="008352E7"/>
    <w:rsid w:val="0084186E"/>
    <w:rsid w:val="00850139"/>
    <w:rsid w:val="00851296"/>
    <w:rsid w:val="00854257"/>
    <w:rsid w:val="00861CD5"/>
    <w:rsid w:val="0086337A"/>
    <w:rsid w:val="00865E6D"/>
    <w:rsid w:val="00873570"/>
    <w:rsid w:val="00874F72"/>
    <w:rsid w:val="008824EC"/>
    <w:rsid w:val="00884662"/>
    <w:rsid w:val="008A37A4"/>
    <w:rsid w:val="008A3E16"/>
    <w:rsid w:val="008A7B8C"/>
    <w:rsid w:val="008A7F75"/>
    <w:rsid w:val="008C05EA"/>
    <w:rsid w:val="008C37D3"/>
    <w:rsid w:val="008C4966"/>
    <w:rsid w:val="008D063A"/>
    <w:rsid w:val="008D35AE"/>
    <w:rsid w:val="008D5E38"/>
    <w:rsid w:val="008D68C9"/>
    <w:rsid w:val="008D7E0F"/>
    <w:rsid w:val="008E2672"/>
    <w:rsid w:val="008E29AB"/>
    <w:rsid w:val="008F0458"/>
    <w:rsid w:val="008F4195"/>
    <w:rsid w:val="009039E6"/>
    <w:rsid w:val="009101D3"/>
    <w:rsid w:val="00912457"/>
    <w:rsid w:val="00914DEC"/>
    <w:rsid w:val="009172F6"/>
    <w:rsid w:val="0091757E"/>
    <w:rsid w:val="0093398E"/>
    <w:rsid w:val="0095131F"/>
    <w:rsid w:val="009551A0"/>
    <w:rsid w:val="0095776C"/>
    <w:rsid w:val="00960457"/>
    <w:rsid w:val="009626E3"/>
    <w:rsid w:val="00963516"/>
    <w:rsid w:val="00965BAF"/>
    <w:rsid w:val="009678A1"/>
    <w:rsid w:val="00973AA6"/>
    <w:rsid w:val="00977754"/>
    <w:rsid w:val="00981087"/>
    <w:rsid w:val="00984405"/>
    <w:rsid w:val="00984EF6"/>
    <w:rsid w:val="009875AF"/>
    <w:rsid w:val="00987617"/>
    <w:rsid w:val="009911EF"/>
    <w:rsid w:val="00991703"/>
    <w:rsid w:val="009924FA"/>
    <w:rsid w:val="00992E86"/>
    <w:rsid w:val="009943E4"/>
    <w:rsid w:val="00995C54"/>
    <w:rsid w:val="00996413"/>
    <w:rsid w:val="009A45CB"/>
    <w:rsid w:val="009A4E04"/>
    <w:rsid w:val="009B008D"/>
    <w:rsid w:val="009B2530"/>
    <w:rsid w:val="009C0F33"/>
    <w:rsid w:val="009C3012"/>
    <w:rsid w:val="009D0835"/>
    <w:rsid w:val="009D32B3"/>
    <w:rsid w:val="009D66EA"/>
    <w:rsid w:val="009D7866"/>
    <w:rsid w:val="009E244F"/>
    <w:rsid w:val="009E726F"/>
    <w:rsid w:val="009F024E"/>
    <w:rsid w:val="009F1207"/>
    <w:rsid w:val="009F50CD"/>
    <w:rsid w:val="009F6F86"/>
    <w:rsid w:val="00A00798"/>
    <w:rsid w:val="00A02685"/>
    <w:rsid w:val="00A15DF7"/>
    <w:rsid w:val="00A16F1C"/>
    <w:rsid w:val="00A21011"/>
    <w:rsid w:val="00A22FC6"/>
    <w:rsid w:val="00A24360"/>
    <w:rsid w:val="00A32E4B"/>
    <w:rsid w:val="00A35E57"/>
    <w:rsid w:val="00A367DF"/>
    <w:rsid w:val="00A37809"/>
    <w:rsid w:val="00A4035A"/>
    <w:rsid w:val="00A448DA"/>
    <w:rsid w:val="00A52354"/>
    <w:rsid w:val="00A60AE7"/>
    <w:rsid w:val="00A614BE"/>
    <w:rsid w:val="00A61E88"/>
    <w:rsid w:val="00A62E45"/>
    <w:rsid w:val="00A630BC"/>
    <w:rsid w:val="00A64F46"/>
    <w:rsid w:val="00A7374D"/>
    <w:rsid w:val="00A75CC4"/>
    <w:rsid w:val="00A77AEB"/>
    <w:rsid w:val="00A801E6"/>
    <w:rsid w:val="00A8033C"/>
    <w:rsid w:val="00A80B8E"/>
    <w:rsid w:val="00A81D8C"/>
    <w:rsid w:val="00A841FF"/>
    <w:rsid w:val="00A85627"/>
    <w:rsid w:val="00A86A5E"/>
    <w:rsid w:val="00A86EA0"/>
    <w:rsid w:val="00A87C4F"/>
    <w:rsid w:val="00A90432"/>
    <w:rsid w:val="00A951AC"/>
    <w:rsid w:val="00AA09E3"/>
    <w:rsid w:val="00AA104E"/>
    <w:rsid w:val="00AA4782"/>
    <w:rsid w:val="00AA7B34"/>
    <w:rsid w:val="00AB1694"/>
    <w:rsid w:val="00AB3D0B"/>
    <w:rsid w:val="00AB504B"/>
    <w:rsid w:val="00AB709D"/>
    <w:rsid w:val="00AC7414"/>
    <w:rsid w:val="00AD44D1"/>
    <w:rsid w:val="00AD6319"/>
    <w:rsid w:val="00AE3166"/>
    <w:rsid w:val="00AF27C5"/>
    <w:rsid w:val="00B04768"/>
    <w:rsid w:val="00B04C45"/>
    <w:rsid w:val="00B0764D"/>
    <w:rsid w:val="00B208B4"/>
    <w:rsid w:val="00B22F60"/>
    <w:rsid w:val="00B26E86"/>
    <w:rsid w:val="00B3300A"/>
    <w:rsid w:val="00B33622"/>
    <w:rsid w:val="00B374AB"/>
    <w:rsid w:val="00B41AE1"/>
    <w:rsid w:val="00B422D4"/>
    <w:rsid w:val="00B46A5F"/>
    <w:rsid w:val="00B533BE"/>
    <w:rsid w:val="00B65DC6"/>
    <w:rsid w:val="00B6652E"/>
    <w:rsid w:val="00B66C5A"/>
    <w:rsid w:val="00B70F88"/>
    <w:rsid w:val="00B720AE"/>
    <w:rsid w:val="00B73293"/>
    <w:rsid w:val="00B7376D"/>
    <w:rsid w:val="00B7468C"/>
    <w:rsid w:val="00B747EE"/>
    <w:rsid w:val="00B7653C"/>
    <w:rsid w:val="00B8039F"/>
    <w:rsid w:val="00B84912"/>
    <w:rsid w:val="00B859BD"/>
    <w:rsid w:val="00B86A36"/>
    <w:rsid w:val="00B9304C"/>
    <w:rsid w:val="00B94272"/>
    <w:rsid w:val="00B94C63"/>
    <w:rsid w:val="00B9507A"/>
    <w:rsid w:val="00B953ED"/>
    <w:rsid w:val="00BA11FA"/>
    <w:rsid w:val="00BB1F23"/>
    <w:rsid w:val="00BB2B8A"/>
    <w:rsid w:val="00BB2D23"/>
    <w:rsid w:val="00BB32ED"/>
    <w:rsid w:val="00BB3429"/>
    <w:rsid w:val="00BB3DE2"/>
    <w:rsid w:val="00BB59DF"/>
    <w:rsid w:val="00BB64AE"/>
    <w:rsid w:val="00BB7B73"/>
    <w:rsid w:val="00BB7F91"/>
    <w:rsid w:val="00BC131B"/>
    <w:rsid w:val="00BC5ABB"/>
    <w:rsid w:val="00BD42E6"/>
    <w:rsid w:val="00BD69DD"/>
    <w:rsid w:val="00BE147D"/>
    <w:rsid w:val="00BE2217"/>
    <w:rsid w:val="00BE7564"/>
    <w:rsid w:val="00BF1950"/>
    <w:rsid w:val="00BF1B08"/>
    <w:rsid w:val="00BF2301"/>
    <w:rsid w:val="00BF2CAC"/>
    <w:rsid w:val="00BF4615"/>
    <w:rsid w:val="00C00EC6"/>
    <w:rsid w:val="00C02827"/>
    <w:rsid w:val="00C12B62"/>
    <w:rsid w:val="00C14927"/>
    <w:rsid w:val="00C2274F"/>
    <w:rsid w:val="00C22CEB"/>
    <w:rsid w:val="00C231BA"/>
    <w:rsid w:val="00C317C7"/>
    <w:rsid w:val="00C31E45"/>
    <w:rsid w:val="00C32129"/>
    <w:rsid w:val="00C365FD"/>
    <w:rsid w:val="00C36DF1"/>
    <w:rsid w:val="00C373E6"/>
    <w:rsid w:val="00C42549"/>
    <w:rsid w:val="00C456A0"/>
    <w:rsid w:val="00C466D6"/>
    <w:rsid w:val="00C46C3F"/>
    <w:rsid w:val="00C4766F"/>
    <w:rsid w:val="00C47841"/>
    <w:rsid w:val="00C47971"/>
    <w:rsid w:val="00C50106"/>
    <w:rsid w:val="00C566B3"/>
    <w:rsid w:val="00C60E9D"/>
    <w:rsid w:val="00C61D95"/>
    <w:rsid w:val="00C62AFC"/>
    <w:rsid w:val="00C64A9A"/>
    <w:rsid w:val="00C77416"/>
    <w:rsid w:val="00C83D2F"/>
    <w:rsid w:val="00C84508"/>
    <w:rsid w:val="00C85FCD"/>
    <w:rsid w:val="00C9582A"/>
    <w:rsid w:val="00CA0449"/>
    <w:rsid w:val="00CA2E94"/>
    <w:rsid w:val="00CA3BBD"/>
    <w:rsid w:val="00CA4069"/>
    <w:rsid w:val="00CA638D"/>
    <w:rsid w:val="00CA7D7B"/>
    <w:rsid w:val="00CB0F77"/>
    <w:rsid w:val="00CB19EF"/>
    <w:rsid w:val="00CB30C4"/>
    <w:rsid w:val="00CB3601"/>
    <w:rsid w:val="00CC39AD"/>
    <w:rsid w:val="00CC67D5"/>
    <w:rsid w:val="00CD0348"/>
    <w:rsid w:val="00CD390E"/>
    <w:rsid w:val="00CD3BF6"/>
    <w:rsid w:val="00CF104C"/>
    <w:rsid w:val="00CF5CF5"/>
    <w:rsid w:val="00D02C39"/>
    <w:rsid w:val="00D0484D"/>
    <w:rsid w:val="00D06C20"/>
    <w:rsid w:val="00D119CF"/>
    <w:rsid w:val="00D16763"/>
    <w:rsid w:val="00D17451"/>
    <w:rsid w:val="00D214A1"/>
    <w:rsid w:val="00D2348D"/>
    <w:rsid w:val="00D24EEC"/>
    <w:rsid w:val="00D259B5"/>
    <w:rsid w:val="00D270F6"/>
    <w:rsid w:val="00D341B6"/>
    <w:rsid w:val="00D34B0D"/>
    <w:rsid w:val="00D35AB8"/>
    <w:rsid w:val="00D41766"/>
    <w:rsid w:val="00D429BE"/>
    <w:rsid w:val="00D44561"/>
    <w:rsid w:val="00D44DB1"/>
    <w:rsid w:val="00D507EF"/>
    <w:rsid w:val="00D5772C"/>
    <w:rsid w:val="00D63E3F"/>
    <w:rsid w:val="00D66525"/>
    <w:rsid w:val="00D6655A"/>
    <w:rsid w:val="00D67CF9"/>
    <w:rsid w:val="00D70C34"/>
    <w:rsid w:val="00D70C71"/>
    <w:rsid w:val="00D81627"/>
    <w:rsid w:val="00D85794"/>
    <w:rsid w:val="00D866A1"/>
    <w:rsid w:val="00D96ADC"/>
    <w:rsid w:val="00D97E06"/>
    <w:rsid w:val="00DA1BB6"/>
    <w:rsid w:val="00DA307B"/>
    <w:rsid w:val="00DA395C"/>
    <w:rsid w:val="00DB0A33"/>
    <w:rsid w:val="00DB1449"/>
    <w:rsid w:val="00DB5E5F"/>
    <w:rsid w:val="00DC3E9B"/>
    <w:rsid w:val="00DD3291"/>
    <w:rsid w:val="00DD6294"/>
    <w:rsid w:val="00DE02F1"/>
    <w:rsid w:val="00DE163B"/>
    <w:rsid w:val="00DE2961"/>
    <w:rsid w:val="00DE32AB"/>
    <w:rsid w:val="00DE59A8"/>
    <w:rsid w:val="00DF2BB5"/>
    <w:rsid w:val="00DF3D24"/>
    <w:rsid w:val="00DF52BF"/>
    <w:rsid w:val="00DF630D"/>
    <w:rsid w:val="00E046A2"/>
    <w:rsid w:val="00E05A09"/>
    <w:rsid w:val="00E06EC3"/>
    <w:rsid w:val="00E10346"/>
    <w:rsid w:val="00E10478"/>
    <w:rsid w:val="00E15F3C"/>
    <w:rsid w:val="00E17525"/>
    <w:rsid w:val="00E21634"/>
    <w:rsid w:val="00E23B98"/>
    <w:rsid w:val="00E271C9"/>
    <w:rsid w:val="00E320DB"/>
    <w:rsid w:val="00E356CC"/>
    <w:rsid w:val="00E37ADB"/>
    <w:rsid w:val="00E43F26"/>
    <w:rsid w:val="00E5005A"/>
    <w:rsid w:val="00E506CE"/>
    <w:rsid w:val="00E52AE8"/>
    <w:rsid w:val="00E53614"/>
    <w:rsid w:val="00E54AB2"/>
    <w:rsid w:val="00E57161"/>
    <w:rsid w:val="00E678FE"/>
    <w:rsid w:val="00E67D41"/>
    <w:rsid w:val="00E717DD"/>
    <w:rsid w:val="00E719D0"/>
    <w:rsid w:val="00E736FE"/>
    <w:rsid w:val="00E80834"/>
    <w:rsid w:val="00E81F1D"/>
    <w:rsid w:val="00E83019"/>
    <w:rsid w:val="00EA1333"/>
    <w:rsid w:val="00EA50C4"/>
    <w:rsid w:val="00EB035D"/>
    <w:rsid w:val="00EB240F"/>
    <w:rsid w:val="00EB29D0"/>
    <w:rsid w:val="00EB31B5"/>
    <w:rsid w:val="00EB3A0A"/>
    <w:rsid w:val="00EB3D07"/>
    <w:rsid w:val="00EB7F82"/>
    <w:rsid w:val="00EC15B5"/>
    <w:rsid w:val="00EC3D34"/>
    <w:rsid w:val="00EC7A0C"/>
    <w:rsid w:val="00ED333F"/>
    <w:rsid w:val="00ED3824"/>
    <w:rsid w:val="00ED616A"/>
    <w:rsid w:val="00EE0A41"/>
    <w:rsid w:val="00EE42F7"/>
    <w:rsid w:val="00EF24DE"/>
    <w:rsid w:val="00EF3532"/>
    <w:rsid w:val="00EF38EB"/>
    <w:rsid w:val="00F03BF7"/>
    <w:rsid w:val="00F060F5"/>
    <w:rsid w:val="00F10C4C"/>
    <w:rsid w:val="00F111C6"/>
    <w:rsid w:val="00F12EDA"/>
    <w:rsid w:val="00F145BF"/>
    <w:rsid w:val="00F21284"/>
    <w:rsid w:val="00F21420"/>
    <w:rsid w:val="00F23B0F"/>
    <w:rsid w:val="00F26EDC"/>
    <w:rsid w:val="00F27481"/>
    <w:rsid w:val="00F27929"/>
    <w:rsid w:val="00F41E31"/>
    <w:rsid w:val="00F53132"/>
    <w:rsid w:val="00F54819"/>
    <w:rsid w:val="00F57DCC"/>
    <w:rsid w:val="00F63458"/>
    <w:rsid w:val="00F73F22"/>
    <w:rsid w:val="00F77F21"/>
    <w:rsid w:val="00F80DD9"/>
    <w:rsid w:val="00F81BF7"/>
    <w:rsid w:val="00F855D1"/>
    <w:rsid w:val="00F87A0C"/>
    <w:rsid w:val="00F91A99"/>
    <w:rsid w:val="00F940E2"/>
    <w:rsid w:val="00F95831"/>
    <w:rsid w:val="00FA4DD9"/>
    <w:rsid w:val="00FA7F29"/>
    <w:rsid w:val="00FB05DC"/>
    <w:rsid w:val="00FB35B7"/>
    <w:rsid w:val="00FB65BB"/>
    <w:rsid w:val="00FB7F58"/>
    <w:rsid w:val="00FC2082"/>
    <w:rsid w:val="00FC38BE"/>
    <w:rsid w:val="00FC3CAF"/>
    <w:rsid w:val="00FC7630"/>
    <w:rsid w:val="00FD2335"/>
    <w:rsid w:val="00FD34B2"/>
    <w:rsid w:val="00FD526E"/>
    <w:rsid w:val="00FD6E4D"/>
    <w:rsid w:val="00FE011F"/>
    <w:rsid w:val="00FF67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pBdr>
        <w:top w:val="none" w:sz="0" w:space="0" w:color="auto"/>
        <w:left w:val="none" w:sz="0" w:space="0" w:color="auto"/>
        <w:bottom w:val="none" w:sz="0" w:space="0" w:color="auto"/>
        <w:right w:val="none" w:sz="0" w:space="0" w:color="auto"/>
        <w:between w:val="none" w:sz="0" w:space="0" w:color="auto"/>
        <w:bar w:val="none" w:sz="0" w:color="auto"/>
      </w:pBdr>
      <w:spacing w:before="200" w:line="360" w:lineRule="auto"/>
      <w:jc w:val="both"/>
    </w:pPr>
    <w:rPr>
      <w:rFonts w:ascii="Arial" w:eastAsia="Arial" w:hAnsi="Arial" w:cs="Arial"/>
      <w:color w:val="000000"/>
      <w:sz w:val="22"/>
      <w:szCs w:val="22"/>
      <w:bdr w:val="none" w:sz="0" w:space="0" w:color="auto"/>
      <w:lang w:val="nl-NL" w:eastAsia="nl-NL"/>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link w:val="Heading5Char"/>
    <w:rsid w:val="0095131F"/>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1">
    <w:name w:val="En-tête1"/>
    <w:pPr>
      <w:tabs>
        <w:tab w:val="right" w:pos="9020"/>
      </w:tabs>
    </w:pPr>
    <w:rPr>
      <w:rFonts w:ascii="Helvetica" w:hAnsi="Arial Unicode MS" w:cs="Arial Unicode MS"/>
      <w:color w:val="000000"/>
      <w:sz w:val="24"/>
      <w:szCs w:val="24"/>
    </w:rPr>
  </w:style>
  <w:style w:type="paragraph" w:styleId="Title">
    <w:name w:val="Title"/>
    <w:basedOn w:val="Normal"/>
    <w:next w:val="Normal"/>
    <w:pPr>
      <w:keepNext/>
      <w:keepLines/>
      <w:spacing w:before="0" w:after="60"/>
      <w:contextualSpacing/>
    </w:pPr>
    <w:rPr>
      <w:sz w:val="52"/>
      <w:szCs w:val="52"/>
    </w:rPr>
  </w:style>
  <w:style w:type="character" w:customStyle="1" w:styleId="Aucun">
    <w:name w:val="Aucun"/>
  </w:style>
  <w:style w:type="character" w:customStyle="1" w:styleId="Hyperlink0">
    <w:name w:val="Hyperlink.0"/>
    <w:basedOn w:val="Aucun"/>
    <w:rPr>
      <w:color w:val="1155CC"/>
      <w:u w:val="single" w:color="000000"/>
    </w:rPr>
  </w:style>
  <w:style w:type="paragraph" w:customStyle="1" w:styleId="Pardfaut">
    <w:name w:val="Par défaut"/>
    <w:rPr>
      <w:rFonts w:ascii="Helvetica" w:eastAsia="Helvetica" w:hAnsi="Helvetica" w:cs="Helvetica"/>
      <w:color w:val="000000"/>
      <w:sz w:val="22"/>
      <w:szCs w:val="22"/>
    </w:rPr>
  </w:style>
  <w:style w:type="character" w:customStyle="1" w:styleId="Hyperlink1">
    <w:name w:val="Hyperlink.1"/>
    <w:basedOn w:val="Aucun"/>
    <w:rPr>
      <w:color w:val="1155CC"/>
      <w:sz w:val="20"/>
      <w:szCs w:val="20"/>
      <w:u w:val="single" w:color="000000"/>
    </w:rPr>
  </w:style>
  <w:style w:type="numbering" w:customStyle="1" w:styleId="List0">
    <w:name w:val="List 0"/>
    <w:basedOn w:val="Style1import"/>
    <w:pPr>
      <w:numPr>
        <w:numId w:val="2"/>
      </w:numPr>
    </w:pPr>
  </w:style>
  <w:style w:type="numbering" w:customStyle="1" w:styleId="Style1import">
    <w:name w:val="Style 1 importé"/>
  </w:style>
  <w:style w:type="numbering" w:customStyle="1" w:styleId="List1">
    <w:name w:val="List 1"/>
    <w:basedOn w:val="Style1import"/>
    <w:pPr>
      <w:numPr>
        <w:numId w:val="1"/>
      </w:numPr>
    </w:pPr>
  </w:style>
  <w:style w:type="numbering" w:customStyle="1" w:styleId="List21">
    <w:name w:val="List 21"/>
    <w:basedOn w:val="Style2import"/>
    <w:pPr>
      <w:numPr>
        <w:numId w:val="3"/>
      </w:numPr>
    </w:pPr>
  </w:style>
  <w:style w:type="numbering" w:customStyle="1" w:styleId="Style2import">
    <w:name w:val="Style 2 importé"/>
  </w:style>
  <w:style w:type="numbering" w:customStyle="1" w:styleId="List31">
    <w:name w:val="List 31"/>
    <w:basedOn w:val="Style3import"/>
    <w:pPr>
      <w:numPr>
        <w:numId w:val="4"/>
      </w:numPr>
    </w:pPr>
  </w:style>
  <w:style w:type="numbering" w:customStyle="1" w:styleId="Style3import">
    <w:name w:val="Style 3 importé"/>
  </w:style>
  <w:style w:type="numbering" w:customStyle="1" w:styleId="List41">
    <w:name w:val="List 41"/>
    <w:basedOn w:val="Style4import"/>
    <w:pPr>
      <w:numPr>
        <w:numId w:val="5"/>
      </w:numPr>
    </w:pPr>
  </w:style>
  <w:style w:type="numbering" w:customStyle="1" w:styleId="Style4import">
    <w:name w:val="Style 4 importé"/>
  </w:style>
  <w:style w:type="numbering" w:customStyle="1" w:styleId="List51">
    <w:name w:val="List 51"/>
    <w:basedOn w:val="Style5import"/>
    <w:pPr>
      <w:numPr>
        <w:numId w:val="6"/>
      </w:numPr>
    </w:pPr>
  </w:style>
  <w:style w:type="numbering" w:customStyle="1" w:styleId="Style5import">
    <w:name w:val="Style 5 importé"/>
  </w:style>
  <w:style w:type="numbering" w:customStyle="1" w:styleId="List6">
    <w:name w:val="List 6"/>
    <w:basedOn w:val="Style6import"/>
    <w:pPr>
      <w:numPr>
        <w:numId w:val="7"/>
      </w:numPr>
    </w:pPr>
  </w:style>
  <w:style w:type="numbering" w:customStyle="1" w:styleId="Style6import">
    <w:name w:val="Style 6 importé"/>
  </w:style>
  <w:style w:type="numbering" w:customStyle="1" w:styleId="List7">
    <w:name w:val="List 7"/>
    <w:basedOn w:val="Style6import"/>
    <w:pPr>
      <w:numPr>
        <w:numId w:val="8"/>
      </w:numPr>
    </w:pPr>
  </w:style>
  <w:style w:type="character" w:customStyle="1" w:styleId="Hyperlink2">
    <w:name w:val="Hyperlink.2"/>
    <w:basedOn w:val="Aucun"/>
    <w:rPr>
      <w:color w:val="1155CC"/>
      <w:sz w:val="16"/>
      <w:szCs w:val="16"/>
      <w:u w:val="single" w:color="000000"/>
    </w:rPr>
  </w:style>
  <w:style w:type="character" w:customStyle="1" w:styleId="Hyperlink3">
    <w:name w:val="Hyperlink.3"/>
    <w:basedOn w:val="Aucun"/>
    <w:rPr>
      <w:rFonts w:ascii="Calibri" w:eastAsia="Calibri" w:hAnsi="Calibri" w:cs="Calibri"/>
      <w:color w:val="1155CC"/>
      <w:sz w:val="20"/>
      <w:szCs w:val="20"/>
      <w:u w:val="single" w:color="000000"/>
    </w:rPr>
  </w:style>
  <w:style w:type="numbering" w:customStyle="1" w:styleId="List8">
    <w:name w:val="List 8"/>
    <w:basedOn w:val="Style7import"/>
    <w:pPr>
      <w:numPr>
        <w:numId w:val="9"/>
      </w:numPr>
    </w:pPr>
  </w:style>
  <w:style w:type="numbering" w:customStyle="1" w:styleId="Style7import">
    <w:name w:val="Style 7 importé"/>
  </w:style>
  <w:style w:type="numbering" w:customStyle="1" w:styleId="List9">
    <w:name w:val="List 9"/>
    <w:basedOn w:val="Style8import"/>
    <w:pPr>
      <w:numPr>
        <w:numId w:val="10"/>
      </w:numPr>
    </w:pPr>
  </w:style>
  <w:style w:type="numbering" w:customStyle="1" w:styleId="Style8import">
    <w:name w:val="Style 8 importé"/>
  </w:style>
  <w:style w:type="numbering" w:customStyle="1" w:styleId="List10">
    <w:name w:val="List 10"/>
    <w:basedOn w:val="Style9import"/>
    <w:pPr>
      <w:numPr>
        <w:numId w:val="11"/>
      </w:numPr>
    </w:pPr>
  </w:style>
  <w:style w:type="numbering" w:customStyle="1" w:styleId="Style9import">
    <w:name w:val="Style 9 importé"/>
  </w:style>
  <w:style w:type="numbering" w:customStyle="1" w:styleId="List11">
    <w:name w:val="List 11"/>
    <w:basedOn w:val="Style10import"/>
    <w:pPr>
      <w:numPr>
        <w:numId w:val="12"/>
      </w:numPr>
    </w:pPr>
  </w:style>
  <w:style w:type="numbering" w:customStyle="1" w:styleId="Style10import">
    <w:name w:val="Style 10 importé"/>
  </w:style>
  <w:style w:type="numbering" w:customStyle="1" w:styleId="List12">
    <w:name w:val="List 12"/>
    <w:basedOn w:val="Style11import"/>
    <w:pPr>
      <w:numPr>
        <w:numId w:val="13"/>
      </w:numPr>
    </w:pPr>
  </w:style>
  <w:style w:type="numbering" w:customStyle="1" w:styleId="Style11import">
    <w:name w:val="Style 11 importé"/>
  </w:style>
  <w:style w:type="numbering" w:customStyle="1" w:styleId="List13">
    <w:name w:val="List 13"/>
    <w:basedOn w:val="Style12import"/>
    <w:pPr>
      <w:numPr>
        <w:numId w:val="14"/>
      </w:numPr>
    </w:pPr>
  </w:style>
  <w:style w:type="numbering" w:customStyle="1" w:styleId="Style12import">
    <w:name w:val="Style 12 importé"/>
  </w:style>
  <w:style w:type="numbering" w:customStyle="1" w:styleId="List14">
    <w:name w:val="List 14"/>
    <w:basedOn w:val="Style13import"/>
    <w:pPr>
      <w:numPr>
        <w:numId w:val="15"/>
      </w:numPr>
    </w:pPr>
  </w:style>
  <w:style w:type="numbering" w:customStyle="1" w:styleId="Style13import">
    <w:name w:val="Style 13 importé"/>
  </w:style>
  <w:style w:type="numbering" w:customStyle="1" w:styleId="List15">
    <w:name w:val="List 15"/>
    <w:basedOn w:val="Style14import"/>
    <w:pPr>
      <w:numPr>
        <w:numId w:val="16"/>
      </w:numPr>
    </w:pPr>
  </w:style>
  <w:style w:type="numbering" w:customStyle="1" w:styleId="Style14import">
    <w:name w:val="Style 14 importé"/>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Unicode MS" w:cs="Arial Unicode MS"/>
      <w:color w:val="000000"/>
      <w:u w:color="000000"/>
      <w:lang w:val="nl-NL"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131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31B"/>
    <w:rPr>
      <w:rFonts w:ascii="Tahoma" w:hAnsi="Tahoma" w:cs="Tahoma"/>
      <w:color w:val="000000"/>
      <w:sz w:val="16"/>
      <w:szCs w:val="16"/>
      <w:u w:color="000000"/>
      <w:lang w:val="nl-NL" w:eastAsia="en-US"/>
    </w:rPr>
  </w:style>
  <w:style w:type="paragraph" w:styleId="CommentSubject">
    <w:name w:val="annotation subject"/>
    <w:basedOn w:val="CommentText"/>
    <w:next w:val="CommentText"/>
    <w:link w:val="CommentSubjectChar"/>
    <w:uiPriority w:val="99"/>
    <w:semiHidden/>
    <w:unhideWhenUsed/>
    <w:rsid w:val="00BC131B"/>
    <w:rPr>
      <w:b/>
      <w:bCs/>
    </w:rPr>
  </w:style>
  <w:style w:type="character" w:customStyle="1" w:styleId="CommentSubjectChar">
    <w:name w:val="Comment Subject Char"/>
    <w:basedOn w:val="CommentTextChar"/>
    <w:link w:val="CommentSubject"/>
    <w:uiPriority w:val="99"/>
    <w:semiHidden/>
    <w:rsid w:val="00BC131B"/>
    <w:rPr>
      <w:rFonts w:ascii="Arial" w:hAnsi="Arial Unicode MS" w:cs="Arial Unicode MS"/>
      <w:b/>
      <w:bCs/>
      <w:color w:val="000000"/>
      <w:u w:color="000000"/>
      <w:lang w:val="nl-NL" w:eastAsia="en-US"/>
    </w:rPr>
  </w:style>
  <w:style w:type="character" w:customStyle="1" w:styleId="Heading5Char">
    <w:name w:val="Heading 5 Char"/>
    <w:basedOn w:val="DefaultParagraphFont"/>
    <w:link w:val="Heading5"/>
    <w:rsid w:val="0095131F"/>
    <w:rPr>
      <w:rFonts w:ascii="Arial" w:eastAsia="Arial" w:hAnsi="Arial" w:cs="Arial"/>
      <w:color w:val="666666"/>
      <w:sz w:val="22"/>
      <w:szCs w:val="22"/>
      <w:bdr w:val="none" w:sz="0" w:space="0" w:color="auto"/>
      <w:lang w:val="nl-NL" w:eastAsia="nl-NL"/>
    </w:rPr>
  </w:style>
  <w:style w:type="table" w:customStyle="1" w:styleId="TableNormal1">
    <w:name w:val="Table Normal1"/>
    <w:rsid w:val="0095131F"/>
    <w:pPr>
      <w:pBdr>
        <w:top w:val="none" w:sz="0" w:space="0" w:color="auto"/>
        <w:left w:val="none" w:sz="0" w:space="0" w:color="auto"/>
        <w:bottom w:val="none" w:sz="0" w:space="0" w:color="auto"/>
        <w:right w:val="none" w:sz="0" w:space="0" w:color="auto"/>
        <w:between w:val="none" w:sz="0" w:space="0" w:color="auto"/>
        <w:bar w:val="none" w:sz="0" w:color="auto"/>
      </w:pBdr>
      <w:spacing w:before="200" w:line="360" w:lineRule="auto"/>
      <w:jc w:val="both"/>
    </w:pPr>
    <w:rPr>
      <w:rFonts w:ascii="Arial" w:eastAsia="Arial" w:hAnsi="Arial" w:cs="Arial"/>
      <w:color w:val="000000"/>
      <w:sz w:val="22"/>
      <w:szCs w:val="22"/>
      <w:bdr w:val="none" w:sz="0" w:space="0" w:color="auto"/>
      <w:lang w:val="nl-NL" w:eastAsia="nl-NL"/>
    </w:rPr>
    <w:tblPr>
      <w:tblCellMar>
        <w:top w:w="0" w:type="dxa"/>
        <w:left w:w="0" w:type="dxa"/>
        <w:bottom w:w="0" w:type="dxa"/>
        <w:right w:w="0" w:type="dxa"/>
      </w:tblCellMar>
    </w:tblPr>
  </w:style>
  <w:style w:type="paragraph" w:styleId="Subtitle">
    <w:name w:val="Subtitle"/>
    <w:basedOn w:val="Normal"/>
    <w:next w:val="Normal"/>
    <w:link w:val="SubtitleChar"/>
    <w:rsid w:val="0095131F"/>
    <w:pPr>
      <w:keepNext/>
      <w:keepLines/>
      <w:spacing w:before="0" w:after="320"/>
      <w:contextualSpacing/>
    </w:pPr>
    <w:rPr>
      <w:color w:val="666666"/>
      <w:sz w:val="30"/>
      <w:szCs w:val="30"/>
    </w:rPr>
  </w:style>
  <w:style w:type="character" w:customStyle="1" w:styleId="SubtitleChar">
    <w:name w:val="Subtitle Char"/>
    <w:basedOn w:val="DefaultParagraphFont"/>
    <w:link w:val="Subtitle"/>
    <w:rsid w:val="0095131F"/>
    <w:rPr>
      <w:rFonts w:ascii="Arial" w:eastAsia="Arial" w:hAnsi="Arial" w:cs="Arial"/>
      <w:color w:val="666666"/>
      <w:sz w:val="30"/>
      <w:szCs w:val="30"/>
      <w:bdr w:val="none" w:sz="0" w:space="0" w:color="auto"/>
      <w:lang w:val="nl-NL" w:eastAsia="nl-NL"/>
    </w:rPr>
  </w:style>
  <w:style w:type="paragraph" w:styleId="TOCHeading">
    <w:name w:val="TOC Heading"/>
    <w:basedOn w:val="Heading1"/>
    <w:next w:val="Normal"/>
    <w:uiPriority w:val="39"/>
    <w:unhideWhenUsed/>
    <w:qFormat/>
    <w:rsid w:val="00C231BA"/>
    <w:pPr>
      <w:spacing w:before="480" w:after="0" w:line="276" w:lineRule="auto"/>
      <w:contextualSpacing w:val="0"/>
      <w:jc w:val="left"/>
      <w:outlineLvl w:val="9"/>
    </w:pPr>
    <w:rPr>
      <w:rFonts w:asciiTheme="majorHAnsi" w:eastAsiaTheme="majorEastAsia" w:hAnsiTheme="majorHAnsi" w:cstheme="majorBidi"/>
      <w:b/>
      <w:bCs/>
      <w:color w:val="2F759E" w:themeColor="accent1" w:themeShade="BF"/>
      <w:sz w:val="28"/>
      <w:szCs w:val="28"/>
      <w:lang w:val="en-US" w:eastAsia="ja-JP"/>
    </w:rPr>
  </w:style>
  <w:style w:type="paragraph" w:styleId="TOC1">
    <w:name w:val="toc 1"/>
    <w:basedOn w:val="Normal"/>
    <w:next w:val="Normal"/>
    <w:autoRedefine/>
    <w:uiPriority w:val="39"/>
    <w:unhideWhenUsed/>
    <w:rsid w:val="00001D2B"/>
    <w:pPr>
      <w:tabs>
        <w:tab w:val="right" w:leader="dot" w:pos="9350"/>
      </w:tabs>
      <w:spacing w:before="120" w:after="100"/>
    </w:pPr>
    <w:rPr>
      <w:b/>
      <w:noProof/>
      <w:lang w:val="en-GB"/>
    </w:rPr>
  </w:style>
  <w:style w:type="paragraph" w:styleId="TOC2">
    <w:name w:val="toc 2"/>
    <w:basedOn w:val="Normal"/>
    <w:next w:val="Normal"/>
    <w:autoRedefine/>
    <w:uiPriority w:val="39"/>
    <w:unhideWhenUsed/>
    <w:rsid w:val="00001D2B"/>
    <w:pPr>
      <w:tabs>
        <w:tab w:val="right" w:leader="dot" w:pos="9350"/>
      </w:tabs>
      <w:spacing w:before="120" w:after="100"/>
      <w:ind w:left="221"/>
    </w:pPr>
  </w:style>
  <w:style w:type="paragraph" w:styleId="TOC3">
    <w:name w:val="toc 3"/>
    <w:basedOn w:val="Normal"/>
    <w:next w:val="Normal"/>
    <w:autoRedefine/>
    <w:uiPriority w:val="39"/>
    <w:unhideWhenUsed/>
    <w:rsid w:val="00B46A5F"/>
    <w:pPr>
      <w:tabs>
        <w:tab w:val="right" w:leader="dot" w:pos="9350"/>
        <w:tab w:val="left" w:pos="9498"/>
      </w:tabs>
      <w:spacing w:before="120" w:after="100"/>
      <w:ind w:left="284"/>
    </w:pPr>
  </w:style>
  <w:style w:type="paragraph" w:styleId="FootnoteText">
    <w:name w:val="footnote text"/>
    <w:basedOn w:val="Normal"/>
    <w:link w:val="FootnoteTextChar"/>
    <w:uiPriority w:val="99"/>
    <w:semiHidden/>
    <w:unhideWhenUsed/>
    <w:rsid w:val="002F774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774B"/>
    <w:rPr>
      <w:rFonts w:ascii="Arial" w:eastAsia="Arial" w:hAnsi="Arial" w:cs="Arial"/>
      <w:color w:val="000000"/>
      <w:bdr w:val="none" w:sz="0" w:space="0" w:color="auto"/>
      <w:lang w:val="nl-NL" w:eastAsia="nl-NL"/>
    </w:rPr>
  </w:style>
  <w:style w:type="character" w:styleId="FootnoteReference">
    <w:name w:val="footnote reference"/>
    <w:basedOn w:val="DefaultParagraphFont"/>
    <w:uiPriority w:val="99"/>
    <w:semiHidden/>
    <w:unhideWhenUsed/>
    <w:rsid w:val="002F774B"/>
    <w:rPr>
      <w:vertAlign w:val="superscript"/>
    </w:rPr>
  </w:style>
  <w:style w:type="character" w:styleId="PageNumber">
    <w:name w:val="page number"/>
    <w:basedOn w:val="DefaultParagraphFont"/>
    <w:semiHidden/>
    <w:unhideWhenUsed/>
    <w:rsid w:val="005C5667"/>
  </w:style>
  <w:style w:type="paragraph" w:styleId="Revision">
    <w:name w:val="Revision"/>
    <w:hidden/>
    <w:uiPriority w:val="99"/>
    <w:semiHidden/>
    <w:rsid w:val="00A2436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color w:val="000000"/>
      <w:sz w:val="22"/>
      <w:szCs w:val="22"/>
      <w:bdr w:val="none" w:sz="0" w:space="0" w:color="auto"/>
      <w:lang w:val="nl-NL" w:eastAsia="nl-NL"/>
    </w:rPr>
  </w:style>
  <w:style w:type="paragraph" w:styleId="Header">
    <w:name w:val="header"/>
    <w:basedOn w:val="Normal"/>
    <w:link w:val="HeaderChar"/>
    <w:uiPriority w:val="99"/>
    <w:unhideWhenUsed/>
    <w:rsid w:val="002D20EE"/>
    <w:pPr>
      <w:tabs>
        <w:tab w:val="center" w:pos="4536"/>
        <w:tab w:val="right" w:pos="9072"/>
      </w:tabs>
      <w:spacing w:before="0" w:line="240" w:lineRule="auto"/>
    </w:pPr>
  </w:style>
  <w:style w:type="character" w:customStyle="1" w:styleId="HeaderChar">
    <w:name w:val="Header Char"/>
    <w:basedOn w:val="DefaultParagraphFont"/>
    <w:link w:val="Header"/>
    <w:uiPriority w:val="99"/>
    <w:rsid w:val="002D20EE"/>
    <w:rPr>
      <w:rFonts w:ascii="Arial" w:eastAsia="Arial" w:hAnsi="Arial" w:cs="Arial"/>
      <w:color w:val="000000"/>
      <w:sz w:val="22"/>
      <w:szCs w:val="22"/>
      <w:bdr w:val="none" w:sz="0" w:space="0" w:color="auto"/>
      <w:lang w:val="nl-NL" w:eastAsia="nl-NL"/>
    </w:rPr>
  </w:style>
  <w:style w:type="paragraph" w:styleId="Footer">
    <w:name w:val="footer"/>
    <w:basedOn w:val="Normal"/>
    <w:link w:val="FooterChar"/>
    <w:uiPriority w:val="99"/>
    <w:unhideWhenUsed/>
    <w:rsid w:val="002D20EE"/>
    <w:pPr>
      <w:tabs>
        <w:tab w:val="center" w:pos="4536"/>
        <w:tab w:val="right" w:pos="9072"/>
      </w:tabs>
      <w:spacing w:before="0" w:line="240" w:lineRule="auto"/>
    </w:pPr>
  </w:style>
  <w:style w:type="character" w:customStyle="1" w:styleId="FooterChar">
    <w:name w:val="Footer Char"/>
    <w:basedOn w:val="DefaultParagraphFont"/>
    <w:link w:val="Footer"/>
    <w:uiPriority w:val="99"/>
    <w:rsid w:val="002D20EE"/>
    <w:rPr>
      <w:rFonts w:ascii="Arial" w:eastAsia="Arial" w:hAnsi="Arial" w:cs="Arial"/>
      <w:color w:val="000000"/>
      <w:sz w:val="22"/>
      <w:szCs w:val="22"/>
      <w:bdr w:val="none" w:sz="0" w:space="0" w:color="auto"/>
      <w:lang w:val="nl-NL" w:eastAsia="nl-NL"/>
    </w:rPr>
  </w:style>
  <w:style w:type="paragraph" w:styleId="ListParagraph">
    <w:name w:val="List Paragraph"/>
    <w:basedOn w:val="Normal"/>
    <w:uiPriority w:val="34"/>
    <w:qFormat/>
    <w:rsid w:val="009B2530"/>
    <w:pPr>
      <w:ind w:left="720"/>
      <w:contextualSpacing/>
    </w:pPr>
  </w:style>
  <w:style w:type="character" w:styleId="FollowedHyperlink">
    <w:name w:val="FollowedHyperlink"/>
    <w:basedOn w:val="DefaultParagraphFont"/>
    <w:uiPriority w:val="99"/>
    <w:semiHidden/>
    <w:unhideWhenUsed/>
    <w:rsid w:val="00F87A0C"/>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pBdr>
        <w:top w:val="none" w:sz="0" w:space="0" w:color="auto"/>
        <w:left w:val="none" w:sz="0" w:space="0" w:color="auto"/>
        <w:bottom w:val="none" w:sz="0" w:space="0" w:color="auto"/>
        <w:right w:val="none" w:sz="0" w:space="0" w:color="auto"/>
        <w:between w:val="none" w:sz="0" w:space="0" w:color="auto"/>
        <w:bar w:val="none" w:sz="0" w:color="auto"/>
      </w:pBdr>
      <w:spacing w:before="200" w:line="360" w:lineRule="auto"/>
      <w:jc w:val="both"/>
    </w:pPr>
    <w:rPr>
      <w:rFonts w:ascii="Arial" w:eastAsia="Arial" w:hAnsi="Arial" w:cs="Arial"/>
      <w:color w:val="000000"/>
      <w:sz w:val="22"/>
      <w:szCs w:val="22"/>
      <w:bdr w:val="none" w:sz="0" w:space="0" w:color="auto"/>
      <w:lang w:val="nl-NL" w:eastAsia="nl-NL"/>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link w:val="Heading5Char"/>
    <w:rsid w:val="0095131F"/>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1">
    <w:name w:val="En-tête1"/>
    <w:pPr>
      <w:tabs>
        <w:tab w:val="right" w:pos="9020"/>
      </w:tabs>
    </w:pPr>
    <w:rPr>
      <w:rFonts w:ascii="Helvetica" w:hAnsi="Arial Unicode MS" w:cs="Arial Unicode MS"/>
      <w:color w:val="000000"/>
      <w:sz w:val="24"/>
      <w:szCs w:val="24"/>
    </w:rPr>
  </w:style>
  <w:style w:type="paragraph" w:styleId="Title">
    <w:name w:val="Title"/>
    <w:basedOn w:val="Normal"/>
    <w:next w:val="Normal"/>
    <w:pPr>
      <w:keepNext/>
      <w:keepLines/>
      <w:spacing w:before="0" w:after="60"/>
      <w:contextualSpacing/>
    </w:pPr>
    <w:rPr>
      <w:sz w:val="52"/>
      <w:szCs w:val="52"/>
    </w:rPr>
  </w:style>
  <w:style w:type="character" w:customStyle="1" w:styleId="Aucun">
    <w:name w:val="Aucun"/>
  </w:style>
  <w:style w:type="character" w:customStyle="1" w:styleId="Hyperlink0">
    <w:name w:val="Hyperlink.0"/>
    <w:basedOn w:val="Aucun"/>
    <w:rPr>
      <w:color w:val="1155CC"/>
      <w:u w:val="single" w:color="000000"/>
    </w:rPr>
  </w:style>
  <w:style w:type="paragraph" w:customStyle="1" w:styleId="Pardfaut">
    <w:name w:val="Par défaut"/>
    <w:rPr>
      <w:rFonts w:ascii="Helvetica" w:eastAsia="Helvetica" w:hAnsi="Helvetica" w:cs="Helvetica"/>
      <w:color w:val="000000"/>
      <w:sz w:val="22"/>
      <w:szCs w:val="22"/>
    </w:rPr>
  </w:style>
  <w:style w:type="character" w:customStyle="1" w:styleId="Hyperlink1">
    <w:name w:val="Hyperlink.1"/>
    <w:basedOn w:val="Aucun"/>
    <w:rPr>
      <w:color w:val="1155CC"/>
      <w:sz w:val="20"/>
      <w:szCs w:val="20"/>
      <w:u w:val="single" w:color="000000"/>
    </w:rPr>
  </w:style>
  <w:style w:type="numbering" w:customStyle="1" w:styleId="List0">
    <w:name w:val="List 0"/>
    <w:basedOn w:val="Style1import"/>
    <w:pPr>
      <w:numPr>
        <w:numId w:val="2"/>
      </w:numPr>
    </w:pPr>
  </w:style>
  <w:style w:type="numbering" w:customStyle="1" w:styleId="Style1import">
    <w:name w:val="Style 1 importé"/>
  </w:style>
  <w:style w:type="numbering" w:customStyle="1" w:styleId="List1">
    <w:name w:val="List 1"/>
    <w:basedOn w:val="Style1import"/>
    <w:pPr>
      <w:numPr>
        <w:numId w:val="1"/>
      </w:numPr>
    </w:pPr>
  </w:style>
  <w:style w:type="numbering" w:customStyle="1" w:styleId="List21">
    <w:name w:val="List 21"/>
    <w:basedOn w:val="Style2import"/>
    <w:pPr>
      <w:numPr>
        <w:numId w:val="3"/>
      </w:numPr>
    </w:pPr>
  </w:style>
  <w:style w:type="numbering" w:customStyle="1" w:styleId="Style2import">
    <w:name w:val="Style 2 importé"/>
  </w:style>
  <w:style w:type="numbering" w:customStyle="1" w:styleId="List31">
    <w:name w:val="List 31"/>
    <w:basedOn w:val="Style3import"/>
    <w:pPr>
      <w:numPr>
        <w:numId w:val="4"/>
      </w:numPr>
    </w:pPr>
  </w:style>
  <w:style w:type="numbering" w:customStyle="1" w:styleId="Style3import">
    <w:name w:val="Style 3 importé"/>
  </w:style>
  <w:style w:type="numbering" w:customStyle="1" w:styleId="List41">
    <w:name w:val="List 41"/>
    <w:basedOn w:val="Style4import"/>
    <w:pPr>
      <w:numPr>
        <w:numId w:val="5"/>
      </w:numPr>
    </w:pPr>
  </w:style>
  <w:style w:type="numbering" w:customStyle="1" w:styleId="Style4import">
    <w:name w:val="Style 4 importé"/>
  </w:style>
  <w:style w:type="numbering" w:customStyle="1" w:styleId="List51">
    <w:name w:val="List 51"/>
    <w:basedOn w:val="Style5import"/>
    <w:pPr>
      <w:numPr>
        <w:numId w:val="6"/>
      </w:numPr>
    </w:pPr>
  </w:style>
  <w:style w:type="numbering" w:customStyle="1" w:styleId="Style5import">
    <w:name w:val="Style 5 importé"/>
  </w:style>
  <w:style w:type="numbering" w:customStyle="1" w:styleId="List6">
    <w:name w:val="List 6"/>
    <w:basedOn w:val="Style6import"/>
    <w:pPr>
      <w:numPr>
        <w:numId w:val="7"/>
      </w:numPr>
    </w:pPr>
  </w:style>
  <w:style w:type="numbering" w:customStyle="1" w:styleId="Style6import">
    <w:name w:val="Style 6 importé"/>
  </w:style>
  <w:style w:type="numbering" w:customStyle="1" w:styleId="List7">
    <w:name w:val="List 7"/>
    <w:basedOn w:val="Style6import"/>
    <w:pPr>
      <w:numPr>
        <w:numId w:val="8"/>
      </w:numPr>
    </w:pPr>
  </w:style>
  <w:style w:type="character" w:customStyle="1" w:styleId="Hyperlink2">
    <w:name w:val="Hyperlink.2"/>
    <w:basedOn w:val="Aucun"/>
    <w:rPr>
      <w:color w:val="1155CC"/>
      <w:sz w:val="16"/>
      <w:szCs w:val="16"/>
      <w:u w:val="single" w:color="000000"/>
    </w:rPr>
  </w:style>
  <w:style w:type="character" w:customStyle="1" w:styleId="Hyperlink3">
    <w:name w:val="Hyperlink.3"/>
    <w:basedOn w:val="Aucun"/>
    <w:rPr>
      <w:rFonts w:ascii="Calibri" w:eastAsia="Calibri" w:hAnsi="Calibri" w:cs="Calibri"/>
      <w:color w:val="1155CC"/>
      <w:sz w:val="20"/>
      <w:szCs w:val="20"/>
      <w:u w:val="single" w:color="000000"/>
    </w:rPr>
  </w:style>
  <w:style w:type="numbering" w:customStyle="1" w:styleId="List8">
    <w:name w:val="List 8"/>
    <w:basedOn w:val="Style7import"/>
    <w:pPr>
      <w:numPr>
        <w:numId w:val="9"/>
      </w:numPr>
    </w:pPr>
  </w:style>
  <w:style w:type="numbering" w:customStyle="1" w:styleId="Style7import">
    <w:name w:val="Style 7 importé"/>
  </w:style>
  <w:style w:type="numbering" w:customStyle="1" w:styleId="List9">
    <w:name w:val="List 9"/>
    <w:basedOn w:val="Style8import"/>
    <w:pPr>
      <w:numPr>
        <w:numId w:val="10"/>
      </w:numPr>
    </w:pPr>
  </w:style>
  <w:style w:type="numbering" w:customStyle="1" w:styleId="Style8import">
    <w:name w:val="Style 8 importé"/>
  </w:style>
  <w:style w:type="numbering" w:customStyle="1" w:styleId="List10">
    <w:name w:val="List 10"/>
    <w:basedOn w:val="Style9import"/>
    <w:pPr>
      <w:numPr>
        <w:numId w:val="11"/>
      </w:numPr>
    </w:pPr>
  </w:style>
  <w:style w:type="numbering" w:customStyle="1" w:styleId="Style9import">
    <w:name w:val="Style 9 importé"/>
  </w:style>
  <w:style w:type="numbering" w:customStyle="1" w:styleId="List11">
    <w:name w:val="List 11"/>
    <w:basedOn w:val="Style10import"/>
    <w:pPr>
      <w:numPr>
        <w:numId w:val="12"/>
      </w:numPr>
    </w:pPr>
  </w:style>
  <w:style w:type="numbering" w:customStyle="1" w:styleId="Style10import">
    <w:name w:val="Style 10 importé"/>
  </w:style>
  <w:style w:type="numbering" w:customStyle="1" w:styleId="List12">
    <w:name w:val="List 12"/>
    <w:basedOn w:val="Style11import"/>
    <w:pPr>
      <w:numPr>
        <w:numId w:val="13"/>
      </w:numPr>
    </w:pPr>
  </w:style>
  <w:style w:type="numbering" w:customStyle="1" w:styleId="Style11import">
    <w:name w:val="Style 11 importé"/>
  </w:style>
  <w:style w:type="numbering" w:customStyle="1" w:styleId="List13">
    <w:name w:val="List 13"/>
    <w:basedOn w:val="Style12import"/>
    <w:pPr>
      <w:numPr>
        <w:numId w:val="14"/>
      </w:numPr>
    </w:pPr>
  </w:style>
  <w:style w:type="numbering" w:customStyle="1" w:styleId="Style12import">
    <w:name w:val="Style 12 importé"/>
  </w:style>
  <w:style w:type="numbering" w:customStyle="1" w:styleId="List14">
    <w:name w:val="List 14"/>
    <w:basedOn w:val="Style13import"/>
    <w:pPr>
      <w:numPr>
        <w:numId w:val="15"/>
      </w:numPr>
    </w:pPr>
  </w:style>
  <w:style w:type="numbering" w:customStyle="1" w:styleId="Style13import">
    <w:name w:val="Style 13 importé"/>
  </w:style>
  <w:style w:type="numbering" w:customStyle="1" w:styleId="List15">
    <w:name w:val="List 15"/>
    <w:basedOn w:val="Style14import"/>
    <w:pPr>
      <w:numPr>
        <w:numId w:val="16"/>
      </w:numPr>
    </w:pPr>
  </w:style>
  <w:style w:type="numbering" w:customStyle="1" w:styleId="Style14import">
    <w:name w:val="Style 14 importé"/>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Unicode MS" w:cs="Arial Unicode MS"/>
      <w:color w:val="000000"/>
      <w:u w:color="000000"/>
      <w:lang w:val="nl-NL"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131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31B"/>
    <w:rPr>
      <w:rFonts w:ascii="Tahoma" w:hAnsi="Tahoma" w:cs="Tahoma"/>
      <w:color w:val="000000"/>
      <w:sz w:val="16"/>
      <w:szCs w:val="16"/>
      <w:u w:color="000000"/>
      <w:lang w:val="nl-NL" w:eastAsia="en-US"/>
    </w:rPr>
  </w:style>
  <w:style w:type="paragraph" w:styleId="CommentSubject">
    <w:name w:val="annotation subject"/>
    <w:basedOn w:val="CommentText"/>
    <w:next w:val="CommentText"/>
    <w:link w:val="CommentSubjectChar"/>
    <w:uiPriority w:val="99"/>
    <w:semiHidden/>
    <w:unhideWhenUsed/>
    <w:rsid w:val="00BC131B"/>
    <w:rPr>
      <w:b/>
      <w:bCs/>
    </w:rPr>
  </w:style>
  <w:style w:type="character" w:customStyle="1" w:styleId="CommentSubjectChar">
    <w:name w:val="Comment Subject Char"/>
    <w:basedOn w:val="CommentTextChar"/>
    <w:link w:val="CommentSubject"/>
    <w:uiPriority w:val="99"/>
    <w:semiHidden/>
    <w:rsid w:val="00BC131B"/>
    <w:rPr>
      <w:rFonts w:ascii="Arial" w:hAnsi="Arial Unicode MS" w:cs="Arial Unicode MS"/>
      <w:b/>
      <w:bCs/>
      <w:color w:val="000000"/>
      <w:u w:color="000000"/>
      <w:lang w:val="nl-NL" w:eastAsia="en-US"/>
    </w:rPr>
  </w:style>
  <w:style w:type="character" w:customStyle="1" w:styleId="Heading5Char">
    <w:name w:val="Heading 5 Char"/>
    <w:basedOn w:val="DefaultParagraphFont"/>
    <w:link w:val="Heading5"/>
    <w:rsid w:val="0095131F"/>
    <w:rPr>
      <w:rFonts w:ascii="Arial" w:eastAsia="Arial" w:hAnsi="Arial" w:cs="Arial"/>
      <w:color w:val="666666"/>
      <w:sz w:val="22"/>
      <w:szCs w:val="22"/>
      <w:bdr w:val="none" w:sz="0" w:space="0" w:color="auto"/>
      <w:lang w:val="nl-NL" w:eastAsia="nl-NL"/>
    </w:rPr>
  </w:style>
  <w:style w:type="table" w:customStyle="1" w:styleId="TableNormal1">
    <w:name w:val="Table Normal1"/>
    <w:rsid w:val="0095131F"/>
    <w:pPr>
      <w:pBdr>
        <w:top w:val="none" w:sz="0" w:space="0" w:color="auto"/>
        <w:left w:val="none" w:sz="0" w:space="0" w:color="auto"/>
        <w:bottom w:val="none" w:sz="0" w:space="0" w:color="auto"/>
        <w:right w:val="none" w:sz="0" w:space="0" w:color="auto"/>
        <w:between w:val="none" w:sz="0" w:space="0" w:color="auto"/>
        <w:bar w:val="none" w:sz="0" w:color="auto"/>
      </w:pBdr>
      <w:spacing w:before="200" w:line="360" w:lineRule="auto"/>
      <w:jc w:val="both"/>
    </w:pPr>
    <w:rPr>
      <w:rFonts w:ascii="Arial" w:eastAsia="Arial" w:hAnsi="Arial" w:cs="Arial"/>
      <w:color w:val="000000"/>
      <w:sz w:val="22"/>
      <w:szCs w:val="22"/>
      <w:bdr w:val="none" w:sz="0" w:space="0" w:color="auto"/>
      <w:lang w:val="nl-NL" w:eastAsia="nl-NL"/>
    </w:rPr>
    <w:tblPr>
      <w:tblCellMar>
        <w:top w:w="0" w:type="dxa"/>
        <w:left w:w="0" w:type="dxa"/>
        <w:bottom w:w="0" w:type="dxa"/>
        <w:right w:w="0" w:type="dxa"/>
      </w:tblCellMar>
    </w:tblPr>
  </w:style>
  <w:style w:type="paragraph" w:styleId="Subtitle">
    <w:name w:val="Subtitle"/>
    <w:basedOn w:val="Normal"/>
    <w:next w:val="Normal"/>
    <w:link w:val="SubtitleChar"/>
    <w:rsid w:val="0095131F"/>
    <w:pPr>
      <w:keepNext/>
      <w:keepLines/>
      <w:spacing w:before="0" w:after="320"/>
      <w:contextualSpacing/>
    </w:pPr>
    <w:rPr>
      <w:color w:val="666666"/>
      <w:sz w:val="30"/>
      <w:szCs w:val="30"/>
    </w:rPr>
  </w:style>
  <w:style w:type="character" w:customStyle="1" w:styleId="SubtitleChar">
    <w:name w:val="Subtitle Char"/>
    <w:basedOn w:val="DefaultParagraphFont"/>
    <w:link w:val="Subtitle"/>
    <w:rsid w:val="0095131F"/>
    <w:rPr>
      <w:rFonts w:ascii="Arial" w:eastAsia="Arial" w:hAnsi="Arial" w:cs="Arial"/>
      <w:color w:val="666666"/>
      <w:sz w:val="30"/>
      <w:szCs w:val="30"/>
      <w:bdr w:val="none" w:sz="0" w:space="0" w:color="auto"/>
      <w:lang w:val="nl-NL" w:eastAsia="nl-NL"/>
    </w:rPr>
  </w:style>
  <w:style w:type="paragraph" w:styleId="TOCHeading">
    <w:name w:val="TOC Heading"/>
    <w:basedOn w:val="Heading1"/>
    <w:next w:val="Normal"/>
    <w:uiPriority w:val="39"/>
    <w:unhideWhenUsed/>
    <w:qFormat/>
    <w:rsid w:val="00C231BA"/>
    <w:pPr>
      <w:spacing w:before="480" w:after="0" w:line="276" w:lineRule="auto"/>
      <w:contextualSpacing w:val="0"/>
      <w:jc w:val="left"/>
      <w:outlineLvl w:val="9"/>
    </w:pPr>
    <w:rPr>
      <w:rFonts w:asciiTheme="majorHAnsi" w:eastAsiaTheme="majorEastAsia" w:hAnsiTheme="majorHAnsi" w:cstheme="majorBidi"/>
      <w:b/>
      <w:bCs/>
      <w:color w:val="2F759E" w:themeColor="accent1" w:themeShade="BF"/>
      <w:sz w:val="28"/>
      <w:szCs w:val="28"/>
      <w:lang w:val="en-US" w:eastAsia="ja-JP"/>
    </w:rPr>
  </w:style>
  <w:style w:type="paragraph" w:styleId="TOC1">
    <w:name w:val="toc 1"/>
    <w:basedOn w:val="Normal"/>
    <w:next w:val="Normal"/>
    <w:autoRedefine/>
    <w:uiPriority w:val="39"/>
    <w:unhideWhenUsed/>
    <w:rsid w:val="00001D2B"/>
    <w:pPr>
      <w:tabs>
        <w:tab w:val="right" w:leader="dot" w:pos="9350"/>
      </w:tabs>
      <w:spacing w:before="120" w:after="100"/>
    </w:pPr>
    <w:rPr>
      <w:b/>
      <w:noProof/>
      <w:lang w:val="en-GB"/>
    </w:rPr>
  </w:style>
  <w:style w:type="paragraph" w:styleId="TOC2">
    <w:name w:val="toc 2"/>
    <w:basedOn w:val="Normal"/>
    <w:next w:val="Normal"/>
    <w:autoRedefine/>
    <w:uiPriority w:val="39"/>
    <w:unhideWhenUsed/>
    <w:rsid w:val="00001D2B"/>
    <w:pPr>
      <w:tabs>
        <w:tab w:val="right" w:leader="dot" w:pos="9350"/>
      </w:tabs>
      <w:spacing w:before="120" w:after="100"/>
      <w:ind w:left="221"/>
    </w:pPr>
  </w:style>
  <w:style w:type="paragraph" w:styleId="TOC3">
    <w:name w:val="toc 3"/>
    <w:basedOn w:val="Normal"/>
    <w:next w:val="Normal"/>
    <w:autoRedefine/>
    <w:uiPriority w:val="39"/>
    <w:unhideWhenUsed/>
    <w:rsid w:val="00B46A5F"/>
    <w:pPr>
      <w:tabs>
        <w:tab w:val="right" w:leader="dot" w:pos="9350"/>
        <w:tab w:val="left" w:pos="9498"/>
      </w:tabs>
      <w:spacing w:before="120" w:after="100"/>
      <w:ind w:left="284"/>
    </w:pPr>
  </w:style>
  <w:style w:type="paragraph" w:styleId="FootnoteText">
    <w:name w:val="footnote text"/>
    <w:basedOn w:val="Normal"/>
    <w:link w:val="FootnoteTextChar"/>
    <w:uiPriority w:val="99"/>
    <w:semiHidden/>
    <w:unhideWhenUsed/>
    <w:rsid w:val="002F774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774B"/>
    <w:rPr>
      <w:rFonts w:ascii="Arial" w:eastAsia="Arial" w:hAnsi="Arial" w:cs="Arial"/>
      <w:color w:val="000000"/>
      <w:bdr w:val="none" w:sz="0" w:space="0" w:color="auto"/>
      <w:lang w:val="nl-NL" w:eastAsia="nl-NL"/>
    </w:rPr>
  </w:style>
  <w:style w:type="character" w:styleId="FootnoteReference">
    <w:name w:val="footnote reference"/>
    <w:basedOn w:val="DefaultParagraphFont"/>
    <w:uiPriority w:val="99"/>
    <w:semiHidden/>
    <w:unhideWhenUsed/>
    <w:rsid w:val="002F774B"/>
    <w:rPr>
      <w:vertAlign w:val="superscript"/>
    </w:rPr>
  </w:style>
  <w:style w:type="character" w:styleId="PageNumber">
    <w:name w:val="page number"/>
    <w:basedOn w:val="DefaultParagraphFont"/>
    <w:semiHidden/>
    <w:unhideWhenUsed/>
    <w:rsid w:val="005C5667"/>
  </w:style>
  <w:style w:type="paragraph" w:styleId="Revision">
    <w:name w:val="Revision"/>
    <w:hidden/>
    <w:uiPriority w:val="99"/>
    <w:semiHidden/>
    <w:rsid w:val="00A2436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color w:val="000000"/>
      <w:sz w:val="22"/>
      <w:szCs w:val="22"/>
      <w:bdr w:val="none" w:sz="0" w:space="0" w:color="auto"/>
      <w:lang w:val="nl-NL" w:eastAsia="nl-NL"/>
    </w:rPr>
  </w:style>
  <w:style w:type="paragraph" w:styleId="Header">
    <w:name w:val="header"/>
    <w:basedOn w:val="Normal"/>
    <w:link w:val="HeaderChar"/>
    <w:uiPriority w:val="99"/>
    <w:unhideWhenUsed/>
    <w:rsid w:val="002D20EE"/>
    <w:pPr>
      <w:tabs>
        <w:tab w:val="center" w:pos="4536"/>
        <w:tab w:val="right" w:pos="9072"/>
      </w:tabs>
      <w:spacing w:before="0" w:line="240" w:lineRule="auto"/>
    </w:pPr>
  </w:style>
  <w:style w:type="character" w:customStyle="1" w:styleId="HeaderChar">
    <w:name w:val="Header Char"/>
    <w:basedOn w:val="DefaultParagraphFont"/>
    <w:link w:val="Header"/>
    <w:uiPriority w:val="99"/>
    <w:rsid w:val="002D20EE"/>
    <w:rPr>
      <w:rFonts w:ascii="Arial" w:eastAsia="Arial" w:hAnsi="Arial" w:cs="Arial"/>
      <w:color w:val="000000"/>
      <w:sz w:val="22"/>
      <w:szCs w:val="22"/>
      <w:bdr w:val="none" w:sz="0" w:space="0" w:color="auto"/>
      <w:lang w:val="nl-NL" w:eastAsia="nl-NL"/>
    </w:rPr>
  </w:style>
  <w:style w:type="paragraph" w:styleId="Footer">
    <w:name w:val="footer"/>
    <w:basedOn w:val="Normal"/>
    <w:link w:val="FooterChar"/>
    <w:uiPriority w:val="99"/>
    <w:unhideWhenUsed/>
    <w:rsid w:val="002D20EE"/>
    <w:pPr>
      <w:tabs>
        <w:tab w:val="center" w:pos="4536"/>
        <w:tab w:val="right" w:pos="9072"/>
      </w:tabs>
      <w:spacing w:before="0" w:line="240" w:lineRule="auto"/>
    </w:pPr>
  </w:style>
  <w:style w:type="character" w:customStyle="1" w:styleId="FooterChar">
    <w:name w:val="Footer Char"/>
    <w:basedOn w:val="DefaultParagraphFont"/>
    <w:link w:val="Footer"/>
    <w:uiPriority w:val="99"/>
    <w:rsid w:val="002D20EE"/>
    <w:rPr>
      <w:rFonts w:ascii="Arial" w:eastAsia="Arial" w:hAnsi="Arial" w:cs="Arial"/>
      <w:color w:val="000000"/>
      <w:sz w:val="22"/>
      <w:szCs w:val="22"/>
      <w:bdr w:val="none" w:sz="0" w:space="0" w:color="auto"/>
      <w:lang w:val="nl-NL" w:eastAsia="nl-NL"/>
    </w:rPr>
  </w:style>
  <w:style w:type="paragraph" w:styleId="ListParagraph">
    <w:name w:val="List Paragraph"/>
    <w:basedOn w:val="Normal"/>
    <w:uiPriority w:val="34"/>
    <w:qFormat/>
    <w:rsid w:val="009B2530"/>
    <w:pPr>
      <w:ind w:left="720"/>
      <w:contextualSpacing/>
    </w:pPr>
  </w:style>
  <w:style w:type="character" w:styleId="FollowedHyperlink">
    <w:name w:val="FollowedHyperlink"/>
    <w:basedOn w:val="DefaultParagraphFont"/>
    <w:uiPriority w:val="99"/>
    <w:semiHidden/>
    <w:unhideWhenUsed/>
    <w:rsid w:val="00F87A0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europeaid/communication-and-visibility-manual-eu-external-actions_en"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uropa.e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dgs/communication/services/visual_identity/pdf/use-emblem_en.pdf" TargetMode="External"/><Relationship Id="rId2" Type="http://schemas.openxmlformats.org/officeDocument/2006/relationships/hyperlink" Target="https://ec.europa.eu/info/files/claires-clear-writing-tips_en" TargetMode="External"/><Relationship Id="rId1" Type="http://schemas.openxmlformats.org/officeDocument/2006/relationships/hyperlink" Target="http://www.lisbon-treaty.org/wcm/the-lisbon-treaty/treaty-on-european-union-and-comments/title-5-general-provisions-on-the-unions-external-action-and-specific-provisions/chapter-1-general-provisions-on-the-unions-external-action/101-article-21.html" TargetMode="External"/><Relationship Id="rId6" Type="http://schemas.openxmlformats.org/officeDocument/2006/relationships/hyperlink" Target="http://publications.europa.eu/code/pt/pt-5000200.htm" TargetMode="External"/><Relationship Id="rId5" Type="http://schemas.openxmlformats.org/officeDocument/2006/relationships/hyperlink" Target="http://publications.europa.eu/code/pt/pt-5000100.htm" TargetMode="External"/><Relationship Id="rId4" Type="http://schemas.openxmlformats.org/officeDocument/2006/relationships/hyperlink" Target="http://eur-lex.europa.eu/legal-content/PT/TXT/?uri=celex:32012R1268"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EA1F-4FAD-4775-B57C-B0068A07D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8243</Words>
  <Characters>46988</Characters>
  <Application>Microsoft Office Word</Application>
  <DocSecurity>0</DocSecurity>
  <Lines>391</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55121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 DEVCO</dc:creator>
  <cp:lastModifiedBy>HANDS Richard (DEVCO)</cp:lastModifiedBy>
  <cp:revision>4</cp:revision>
  <cp:lastPrinted>2018-02-07T08:54:00Z</cp:lastPrinted>
  <dcterms:created xsi:type="dcterms:W3CDTF">2018-02-07T08:53:00Z</dcterms:created>
  <dcterms:modified xsi:type="dcterms:W3CDTF">2018-02-07T08:58:00Z</dcterms:modified>
</cp:coreProperties>
</file>