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FE3" w:rsidRDefault="00145FE3" w:rsidP="00145FE3">
      <w:pPr>
        <w:pStyle w:val="xmsonormal"/>
        <w:shd w:val="clear" w:color="auto" w:fill="FFFFFF"/>
        <w:bidi/>
        <w:spacing w:before="0" w:beforeAutospacing="0" w:after="0" w:afterAutospacing="0"/>
        <w:ind w:left="-18"/>
        <w:jc w:val="both"/>
        <w:rPr>
          <w:rFonts w:ascii="Simplified Arabic" w:hAnsi="Simplified Arabic" w:cs="Simplified Arabic" w:hint="cs"/>
          <w:b/>
          <w:bCs/>
          <w:color w:val="000000" w:themeColor="text1"/>
          <w:sz w:val="28"/>
          <w:szCs w:val="28"/>
        </w:rPr>
      </w:pPr>
      <w:r>
        <w:rPr>
          <w:rFonts w:ascii="Simplified Arabic" w:hAnsi="Simplified Arabic" w:cs="Simplified Arabic" w:hint="cs"/>
          <w:b/>
          <w:bCs/>
          <w:color w:val="000000" w:themeColor="text1"/>
          <w:sz w:val="28"/>
          <w:szCs w:val="28"/>
          <w:rtl/>
        </w:rPr>
        <w:t xml:space="preserve">الاتحاد الأوروبي                                                   </w:t>
      </w:r>
      <w:r w:rsidRPr="00145FE3">
        <w:rPr>
          <w:rFonts w:ascii="Simplified Arabic" w:hAnsi="Simplified Arabic" w:cs="Simplified Arabic" w:hint="cs"/>
          <w:color w:val="000000" w:themeColor="text1"/>
          <w:sz w:val="28"/>
          <w:szCs w:val="28"/>
          <w:rtl/>
        </w:rPr>
        <w:t xml:space="preserve">                5 نيسان 2017</w:t>
      </w:r>
      <w:r>
        <w:rPr>
          <w:rFonts w:ascii="Simplified Arabic" w:hAnsi="Simplified Arabic" w:cs="Simplified Arabic" w:hint="cs"/>
          <w:b/>
          <w:bCs/>
          <w:color w:val="000000" w:themeColor="text1"/>
          <w:sz w:val="28"/>
          <w:szCs w:val="28"/>
          <w:rtl/>
        </w:rPr>
        <w:t xml:space="preserve"> </w:t>
      </w:r>
    </w:p>
    <w:p w:rsidR="00145FE3" w:rsidRDefault="00145FE3" w:rsidP="00145FE3">
      <w:pPr>
        <w:pStyle w:val="xmsonormal"/>
        <w:shd w:val="clear" w:color="auto" w:fill="FFFFFF"/>
        <w:bidi/>
        <w:spacing w:before="0" w:beforeAutospacing="0" w:after="0" w:afterAutospacing="0"/>
        <w:ind w:left="-18"/>
        <w:jc w:val="both"/>
        <w:rPr>
          <w:rFonts w:ascii="Simplified Arabic" w:hAnsi="Simplified Arabic" w:cs="Simplified Arabic" w:hint="cs"/>
          <w:b/>
          <w:bCs/>
          <w:color w:val="000000" w:themeColor="text1"/>
          <w:sz w:val="28"/>
          <w:szCs w:val="28"/>
          <w:rtl/>
        </w:rPr>
      </w:pPr>
    </w:p>
    <w:p w:rsidR="00145FE3" w:rsidRPr="00145FE3" w:rsidRDefault="00145FE3" w:rsidP="00145FE3">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sidRPr="00145FE3">
        <w:rPr>
          <w:rFonts w:ascii="Simplified Arabic" w:hAnsi="Simplified Arabic" w:cs="Simplified Arabic" w:hint="cs"/>
          <w:color w:val="000000" w:themeColor="text1"/>
          <w:sz w:val="28"/>
          <w:szCs w:val="28"/>
          <w:rtl/>
        </w:rPr>
        <w:t xml:space="preserve">مكتب ممثل الاتحاد الأوروبي (الضفة الغربية وقطاع غزة، الاونروا) </w:t>
      </w:r>
    </w:p>
    <w:p w:rsidR="00145FE3" w:rsidRDefault="00145FE3" w:rsidP="00145FE3">
      <w:pPr>
        <w:pStyle w:val="xmsonormal"/>
        <w:shd w:val="clear" w:color="auto" w:fill="FFFFFF"/>
        <w:bidi/>
        <w:spacing w:before="0" w:beforeAutospacing="0" w:after="0" w:afterAutospacing="0"/>
        <w:ind w:left="-18"/>
        <w:jc w:val="both"/>
        <w:rPr>
          <w:rFonts w:ascii="Simplified Arabic" w:hAnsi="Simplified Arabic" w:cs="Simplified Arabic" w:hint="cs"/>
          <w:b/>
          <w:bCs/>
          <w:color w:val="000000" w:themeColor="text1"/>
          <w:sz w:val="28"/>
          <w:szCs w:val="28"/>
          <w:rtl/>
        </w:rPr>
      </w:pPr>
    </w:p>
    <w:p w:rsidR="00145FE3" w:rsidRDefault="00145FE3" w:rsidP="00145FE3">
      <w:pPr>
        <w:pStyle w:val="xmsonormal"/>
        <w:shd w:val="clear" w:color="auto" w:fill="FFFFFF"/>
        <w:bidi/>
        <w:spacing w:before="0" w:beforeAutospacing="0" w:after="0" w:afterAutospacing="0"/>
        <w:ind w:left="-18"/>
        <w:jc w:val="center"/>
        <w:rPr>
          <w:rFonts w:ascii="Simplified Arabic" w:hAnsi="Simplified Arabic" w:cs="Simplified Arabic" w:hint="cs"/>
          <w:b/>
          <w:bCs/>
          <w:color w:val="000000" w:themeColor="text1"/>
          <w:sz w:val="28"/>
          <w:szCs w:val="28"/>
          <w:rtl/>
        </w:rPr>
      </w:pPr>
      <w:r>
        <w:rPr>
          <w:rFonts w:ascii="Simplified Arabic" w:hAnsi="Simplified Arabic" w:cs="Simplified Arabic" w:hint="cs"/>
          <w:b/>
          <w:bCs/>
          <w:color w:val="000000" w:themeColor="text1"/>
          <w:sz w:val="28"/>
          <w:szCs w:val="28"/>
          <w:rtl/>
        </w:rPr>
        <w:t>تقرير لفترة ستة أشهر حول عمليات الهدم والمصادرة للمنشآت الممولة من قبل الاتحاد الأوروبي في المنطقة ج</w:t>
      </w:r>
    </w:p>
    <w:p w:rsidR="00145FE3" w:rsidRDefault="00145FE3" w:rsidP="00145FE3">
      <w:pPr>
        <w:pStyle w:val="xmsonormal"/>
        <w:shd w:val="clear" w:color="auto" w:fill="FFFFFF"/>
        <w:bidi/>
        <w:spacing w:before="0" w:beforeAutospacing="0" w:after="0" w:afterAutospacing="0"/>
        <w:ind w:left="-18"/>
        <w:jc w:val="center"/>
        <w:rPr>
          <w:rFonts w:ascii="Simplified Arabic" w:hAnsi="Simplified Arabic" w:cs="Simplified Arabic" w:hint="cs"/>
          <w:b/>
          <w:bCs/>
          <w:color w:val="000000" w:themeColor="text1"/>
          <w:sz w:val="28"/>
          <w:szCs w:val="28"/>
          <w:rtl/>
        </w:rPr>
      </w:pPr>
    </w:p>
    <w:p w:rsidR="00145FE3" w:rsidRDefault="00145FE3" w:rsidP="00145FE3">
      <w:pPr>
        <w:pStyle w:val="xmsonormal"/>
        <w:shd w:val="clear" w:color="auto" w:fill="FFFFFF"/>
        <w:bidi/>
        <w:spacing w:before="0" w:beforeAutospacing="0" w:after="0" w:afterAutospacing="0"/>
        <w:ind w:left="-18"/>
        <w:jc w:val="center"/>
        <w:rPr>
          <w:rFonts w:ascii="Simplified Arabic" w:hAnsi="Simplified Arabic" w:cs="Simplified Arabic" w:hint="cs"/>
          <w:b/>
          <w:bCs/>
          <w:color w:val="000000" w:themeColor="text1"/>
          <w:sz w:val="28"/>
          <w:szCs w:val="28"/>
          <w:rtl/>
        </w:rPr>
      </w:pPr>
      <w:r>
        <w:rPr>
          <w:rFonts w:ascii="Simplified Arabic" w:hAnsi="Simplified Arabic" w:cs="Simplified Arabic" w:hint="cs"/>
          <w:b/>
          <w:bCs/>
          <w:color w:val="000000" w:themeColor="text1"/>
          <w:sz w:val="28"/>
          <w:szCs w:val="28"/>
          <w:rtl/>
        </w:rPr>
        <w:t xml:space="preserve">أيلول 2016 </w:t>
      </w:r>
      <w:r>
        <w:rPr>
          <w:rFonts w:ascii="Simplified Arabic" w:hAnsi="Simplified Arabic" w:cs="Simplified Arabic"/>
          <w:b/>
          <w:bCs/>
          <w:color w:val="000000" w:themeColor="text1"/>
          <w:sz w:val="28"/>
          <w:szCs w:val="28"/>
          <w:rtl/>
        </w:rPr>
        <w:t>–</w:t>
      </w:r>
      <w:r>
        <w:rPr>
          <w:rFonts w:ascii="Simplified Arabic" w:hAnsi="Simplified Arabic" w:cs="Simplified Arabic" w:hint="cs"/>
          <w:b/>
          <w:bCs/>
          <w:color w:val="000000" w:themeColor="text1"/>
          <w:sz w:val="28"/>
          <w:szCs w:val="28"/>
          <w:rtl/>
        </w:rPr>
        <w:t xml:space="preserve"> شباط 2017</w:t>
      </w:r>
    </w:p>
    <w:p w:rsidR="00145FE3" w:rsidRDefault="00145FE3" w:rsidP="00145FE3">
      <w:pPr>
        <w:pStyle w:val="xmsonormal"/>
        <w:shd w:val="clear" w:color="auto" w:fill="FFFFFF"/>
        <w:bidi/>
        <w:spacing w:before="0" w:beforeAutospacing="0" w:after="0" w:afterAutospacing="0"/>
        <w:ind w:left="-18"/>
        <w:jc w:val="both"/>
        <w:rPr>
          <w:rFonts w:ascii="Simplified Arabic" w:hAnsi="Simplified Arabic" w:cs="Simplified Arabic" w:hint="cs"/>
          <w:b/>
          <w:bCs/>
          <w:color w:val="000000" w:themeColor="text1"/>
          <w:sz w:val="28"/>
          <w:szCs w:val="28"/>
          <w:rtl/>
        </w:rPr>
      </w:pPr>
    </w:p>
    <w:p w:rsidR="00145FE3" w:rsidRPr="00876DC6" w:rsidRDefault="00B311E4" w:rsidP="00B311E4">
      <w:pPr>
        <w:pStyle w:val="xmsonormal"/>
        <w:pBdr>
          <w:top w:val="single" w:sz="4" w:space="1" w:color="auto"/>
          <w:left w:val="single" w:sz="4" w:space="4" w:color="auto"/>
          <w:bottom w:val="single" w:sz="4" w:space="1" w:color="auto"/>
          <w:right w:val="single" w:sz="4" w:space="4" w:color="auto"/>
        </w:pBdr>
        <w:shd w:val="clear" w:color="auto" w:fill="FFFFFF"/>
        <w:bidi/>
        <w:spacing w:before="0" w:beforeAutospacing="0" w:after="0" w:afterAutospacing="0"/>
        <w:ind w:left="-18"/>
        <w:jc w:val="center"/>
        <w:rPr>
          <w:rFonts w:ascii="Simplified Arabic" w:hAnsi="Simplified Arabic" w:cs="Simplified Arabic" w:hint="cs"/>
          <w:b/>
          <w:bCs/>
          <w:color w:val="000000" w:themeColor="text1"/>
          <w:sz w:val="28"/>
          <w:szCs w:val="28"/>
          <w:rtl/>
        </w:rPr>
      </w:pPr>
      <w:r w:rsidRPr="00876DC6">
        <w:rPr>
          <w:rFonts w:ascii="Simplified Arabic" w:hAnsi="Simplified Arabic" w:cs="Simplified Arabic" w:hint="cs"/>
          <w:b/>
          <w:bCs/>
          <w:color w:val="000000" w:themeColor="text1"/>
          <w:sz w:val="28"/>
          <w:szCs w:val="28"/>
          <w:rtl/>
        </w:rPr>
        <w:t>ملخص</w:t>
      </w:r>
    </w:p>
    <w:p w:rsidR="00B311E4" w:rsidRDefault="00B311E4" w:rsidP="00B311E4">
      <w:pPr>
        <w:pStyle w:val="xmsonormal"/>
        <w:pBdr>
          <w:top w:val="single" w:sz="4" w:space="1" w:color="auto"/>
          <w:left w:val="single" w:sz="4" w:space="4" w:color="auto"/>
          <w:bottom w:val="single" w:sz="4" w:space="1" w:color="auto"/>
          <w:right w:val="single" w:sz="4" w:space="4" w:color="auto"/>
        </w:pBdr>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311E4" w:rsidRDefault="00B311E4" w:rsidP="00B311E4">
      <w:pPr>
        <w:pStyle w:val="xmsonormal"/>
        <w:pBdr>
          <w:top w:val="single" w:sz="4" w:space="1" w:color="auto"/>
          <w:left w:val="single" w:sz="4" w:space="4" w:color="auto"/>
          <w:bottom w:val="single" w:sz="4" w:space="1" w:color="auto"/>
          <w:right w:val="single" w:sz="4" w:space="4" w:color="auto"/>
        </w:pBdr>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 xml:space="preserve">إن المستوى العالي وغير المسبوق لعمليات هدم المنشآت الفلسطينية من قبل السلطات الإسرائيلية في المنطقة ج والقدس الشرقية استمرت خلال فترة التقرير (أيلول 2016 </w:t>
      </w:r>
      <w:r>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شباط 2017). </w:t>
      </w:r>
    </w:p>
    <w:p w:rsidR="00B311E4" w:rsidRDefault="00B311E4" w:rsidP="00B311E4">
      <w:pPr>
        <w:pStyle w:val="xmsonormal"/>
        <w:pBdr>
          <w:top w:val="single" w:sz="4" w:space="1" w:color="auto"/>
          <w:left w:val="single" w:sz="4" w:space="4" w:color="auto"/>
          <w:bottom w:val="single" w:sz="4" w:space="1" w:color="auto"/>
          <w:right w:val="single" w:sz="4" w:space="4" w:color="auto"/>
        </w:pBdr>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 xml:space="preserve">خلال الستة شهور الماضية، تم هدم أو الاستيلاء على 117 منشأة (مثل المنازل </w:t>
      </w:r>
      <w:r w:rsidR="00876DC6">
        <w:rPr>
          <w:rFonts w:ascii="Simplified Arabic" w:hAnsi="Simplified Arabic" w:cs="Simplified Arabic" w:hint="cs"/>
          <w:color w:val="000000" w:themeColor="text1"/>
          <w:sz w:val="28"/>
          <w:szCs w:val="28"/>
          <w:rtl/>
        </w:rPr>
        <w:t xml:space="preserve">ومأوى الحيوانات، المراحيض، شبكات المياه والأصول الزراعية والمعيشية) ممولة من قبل الاتحاد الأوروبي أو الدول الأعضاء في الاتحاد الأوروبي بقيمة تصل إلى 311,692 يورو. ويمثل هذا ارتفاع بنسبة 28,5% في الخسائر المالية بالمقارنة مع </w:t>
      </w:r>
      <w:r w:rsidR="00CA561D">
        <w:rPr>
          <w:rFonts w:ascii="Simplified Arabic" w:hAnsi="Simplified Arabic" w:cs="Simplified Arabic" w:hint="cs"/>
          <w:color w:val="000000" w:themeColor="text1"/>
          <w:sz w:val="28"/>
          <w:szCs w:val="28"/>
          <w:rtl/>
        </w:rPr>
        <w:t xml:space="preserve">فترة التقرير السابقة. بالنسبة لمكتب المفوضية الأوروبية للمساعدات الإنسانية والحماية المدنية، الخسائر المالية التي نتجت عن عمليات الهدم والتدمير تمثل بمعدل 1% من موازنتها للمساعدات الإنسانية إلى الضفة الغربية خلال الأعوام الثلاثة الأخيرة (2014-2016). وهذا يرفع العدد الإجمالي للمنشآت المستهدفة في العام 2016 والممولة من قبل الاتحاد الأوروبي أو الدول الأعضاء إلى 182 منشأة مما يزيد من إجمالي الخسائر المالية للعام 2016 إلى 557,378 يورو حيث يمثل ذلك </w:t>
      </w:r>
      <w:r w:rsidR="00CA561D" w:rsidRPr="00EA3252">
        <w:rPr>
          <w:rFonts w:ascii="Simplified Arabic" w:hAnsi="Simplified Arabic" w:cs="Simplified Arabic" w:hint="cs"/>
          <w:b/>
          <w:bCs/>
          <w:color w:val="000000" w:themeColor="text1"/>
          <w:sz w:val="28"/>
          <w:szCs w:val="28"/>
          <w:rtl/>
        </w:rPr>
        <w:t>ارتفاع استثنائي</w:t>
      </w:r>
      <w:r w:rsidR="00CA561D">
        <w:rPr>
          <w:rFonts w:ascii="Simplified Arabic" w:hAnsi="Simplified Arabic" w:cs="Simplified Arabic" w:hint="cs"/>
          <w:color w:val="000000" w:themeColor="text1"/>
          <w:sz w:val="28"/>
          <w:szCs w:val="28"/>
          <w:rtl/>
        </w:rPr>
        <w:t xml:space="preserve">. </w:t>
      </w:r>
    </w:p>
    <w:p w:rsidR="00076A05" w:rsidRDefault="00CA561D" w:rsidP="00CA561D">
      <w:pPr>
        <w:pStyle w:val="xmsonormal"/>
        <w:pBdr>
          <w:top w:val="single" w:sz="4" w:space="1" w:color="auto"/>
          <w:left w:val="single" w:sz="4" w:space="4" w:color="auto"/>
          <w:bottom w:val="single" w:sz="4" w:space="1" w:color="auto"/>
          <w:right w:val="single" w:sz="4" w:space="4" w:color="auto"/>
        </w:pBdr>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 xml:space="preserve">خلال فترة التقرير، هدمت أو استولت السلطات الإسرائيلية على 440 منشأة فلسطينية في مختلف أنحاء الضفة </w:t>
      </w:r>
      <w:r w:rsidR="00EA3252">
        <w:rPr>
          <w:rFonts w:ascii="Simplified Arabic" w:hAnsi="Simplified Arabic" w:cs="Simplified Arabic" w:hint="cs"/>
          <w:color w:val="000000" w:themeColor="text1"/>
          <w:sz w:val="28"/>
          <w:szCs w:val="28"/>
          <w:rtl/>
        </w:rPr>
        <w:t xml:space="preserve">الغربية، بما فيها القدس الشرقية، وذلك يرفع العدد الإجمالي للمنشآت المدمرة أو المستولى عليها في العام 2016 إلى 1094 منشأة، الأمر الذي أدى إلى تشريد ونزوح 1628 شخص، بما فيهم 772 طفل، مع أضرار غير مباشرة أصابت 7126 فلسطيني. </w:t>
      </w:r>
    </w:p>
    <w:p w:rsidR="009C5BD1" w:rsidRDefault="00076A05" w:rsidP="009C5BD1">
      <w:pPr>
        <w:pStyle w:val="xmsonormal"/>
        <w:pBdr>
          <w:top w:val="single" w:sz="4" w:space="1" w:color="auto"/>
          <w:left w:val="single" w:sz="4" w:space="4" w:color="auto"/>
          <w:bottom w:val="single" w:sz="4" w:space="1" w:color="auto"/>
          <w:right w:val="single" w:sz="4" w:space="4" w:color="auto"/>
        </w:pBdr>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 xml:space="preserve">الأمر المثير للقلق بشكل خاص يتعلق بالتطورات المرتبطة بالخطط الإسرائيلية لإعادة توطين البدو والرعاة في المنطقة ج، خاصة </w:t>
      </w:r>
      <w:r w:rsidR="00A00605">
        <w:rPr>
          <w:rFonts w:ascii="Simplified Arabic" w:hAnsi="Simplified Arabic" w:cs="Simplified Arabic" w:hint="cs"/>
          <w:color w:val="000000" w:themeColor="text1"/>
          <w:sz w:val="28"/>
          <w:szCs w:val="28"/>
          <w:rtl/>
        </w:rPr>
        <w:t xml:space="preserve">الخان الأحمر (تجمع بدوي متواجد مباشرة شرق منطقة </w:t>
      </w:r>
      <w:r w:rsidR="00A00605">
        <w:rPr>
          <w:rFonts w:ascii="Simplified Arabic" w:hAnsi="Simplified Arabic" w:cs="Simplified Arabic"/>
          <w:color w:val="000000" w:themeColor="text1"/>
          <w:sz w:val="28"/>
          <w:szCs w:val="28"/>
        </w:rPr>
        <w:t>E1</w:t>
      </w:r>
      <w:r w:rsidR="00EA3252">
        <w:rPr>
          <w:rFonts w:ascii="Simplified Arabic" w:hAnsi="Simplified Arabic" w:cs="Simplified Arabic" w:hint="cs"/>
          <w:color w:val="000000" w:themeColor="text1"/>
          <w:sz w:val="28"/>
          <w:szCs w:val="28"/>
          <w:rtl/>
        </w:rPr>
        <w:t xml:space="preserve"> </w:t>
      </w:r>
      <w:r w:rsidR="00A00605">
        <w:rPr>
          <w:rFonts w:ascii="Simplified Arabic" w:hAnsi="Simplified Arabic" w:cs="Simplified Arabic" w:hint="cs"/>
          <w:color w:val="000000" w:themeColor="text1"/>
          <w:sz w:val="28"/>
          <w:szCs w:val="28"/>
          <w:rtl/>
        </w:rPr>
        <w:t xml:space="preserve">بالقرب من الطريق السريع "القدس-معاليه ادوميم")، سطح البحر </w:t>
      </w:r>
      <w:r w:rsidR="009C5BD1">
        <w:rPr>
          <w:rFonts w:ascii="Simplified Arabic" w:hAnsi="Simplified Arabic" w:cs="Simplified Arabic" w:hint="cs"/>
          <w:color w:val="000000" w:themeColor="text1"/>
          <w:sz w:val="28"/>
          <w:szCs w:val="28"/>
          <w:rtl/>
        </w:rPr>
        <w:t xml:space="preserve">(تجمع بدوي متواجد في أريحا)، قضية سوسيا (تجمع لرعاة المواشي متواجدون في مرتفعات الخليل الجنوبية)، والبيئة القسرية العامة في المنطقة ج التي </w:t>
      </w:r>
      <w:r w:rsidR="009C5BD1">
        <w:rPr>
          <w:rFonts w:ascii="Simplified Arabic" w:hAnsi="Simplified Arabic" w:cs="Simplified Arabic" w:hint="cs"/>
          <w:color w:val="000000" w:themeColor="text1"/>
          <w:sz w:val="28"/>
          <w:szCs w:val="28"/>
          <w:rtl/>
        </w:rPr>
        <w:lastRenderedPageBreak/>
        <w:t xml:space="preserve">تواجه السكان هناك. مثال على ذلك، خربة طانا (تجمع سكاني متواجد في محافظة نابلس) واجه العديد من موجات الهدم (الأخيرة حدثت في كانون الثاني 2017). </w:t>
      </w:r>
    </w:p>
    <w:p w:rsidR="00CA561D" w:rsidRDefault="009C5BD1" w:rsidP="009C5BD1">
      <w:pPr>
        <w:pStyle w:val="xmsonormal"/>
        <w:pBdr>
          <w:top w:val="single" w:sz="4" w:space="1" w:color="auto"/>
          <w:left w:val="single" w:sz="4" w:space="4" w:color="auto"/>
          <w:bottom w:val="single" w:sz="4" w:space="1" w:color="auto"/>
          <w:right w:val="single" w:sz="4" w:space="4" w:color="auto"/>
        </w:pBdr>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 xml:space="preserve">وفي أول شهرين من عام 2017، </w:t>
      </w:r>
      <w:r w:rsidR="009353C6">
        <w:rPr>
          <w:rFonts w:ascii="Simplified Arabic" w:hAnsi="Simplified Arabic" w:cs="Simplified Arabic" w:hint="cs"/>
          <w:color w:val="000000" w:themeColor="text1"/>
          <w:sz w:val="28"/>
          <w:szCs w:val="28"/>
          <w:rtl/>
        </w:rPr>
        <w:t xml:space="preserve">تم هدم 50 منشأة ممولة من قبل الاتحاد الأوروبي، مما أدى إلى خسائر مالية وصلت إلى 110,000 يورو. وهناك مخاطر تتهدد 50 منشأة أخرى ممولة من قبل الاتحاد الأوروبي بقيمة 500,000 يورو بالهدم من خلال إصدار أوامر وقف العمل والهدم. </w:t>
      </w:r>
      <w:r>
        <w:rPr>
          <w:rFonts w:ascii="Simplified Arabic" w:hAnsi="Simplified Arabic" w:cs="Simplified Arabic" w:hint="cs"/>
          <w:color w:val="000000" w:themeColor="text1"/>
          <w:sz w:val="28"/>
          <w:szCs w:val="28"/>
          <w:rtl/>
        </w:rPr>
        <w:t xml:space="preserve"> </w:t>
      </w:r>
      <w:r w:rsidR="00CA561D">
        <w:rPr>
          <w:rFonts w:ascii="Simplified Arabic" w:hAnsi="Simplified Arabic" w:cs="Simplified Arabic" w:hint="cs"/>
          <w:color w:val="000000" w:themeColor="text1"/>
          <w:sz w:val="28"/>
          <w:szCs w:val="28"/>
          <w:rtl/>
        </w:rPr>
        <w:t xml:space="preserve"> </w:t>
      </w:r>
    </w:p>
    <w:p w:rsidR="00B311E4" w:rsidRDefault="00B311E4" w:rsidP="00B311E4">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9353C6" w:rsidRDefault="009353C6" w:rsidP="009353C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9353C6" w:rsidRPr="00F21C76" w:rsidRDefault="00F21C76" w:rsidP="009353C6">
      <w:pPr>
        <w:pStyle w:val="xmsonormal"/>
        <w:shd w:val="clear" w:color="auto" w:fill="FFFFFF"/>
        <w:bidi/>
        <w:spacing w:before="0" w:beforeAutospacing="0" w:after="0" w:afterAutospacing="0"/>
        <w:ind w:left="-18"/>
        <w:jc w:val="both"/>
        <w:rPr>
          <w:rFonts w:ascii="Simplified Arabic" w:hAnsi="Simplified Arabic" w:cs="Simplified Arabic" w:hint="cs"/>
          <w:b/>
          <w:bCs/>
          <w:color w:val="000000" w:themeColor="text1"/>
          <w:sz w:val="28"/>
          <w:szCs w:val="28"/>
          <w:rtl/>
        </w:rPr>
      </w:pPr>
      <w:r w:rsidRPr="00F21C76">
        <w:rPr>
          <w:rFonts w:ascii="Simplified Arabic" w:hAnsi="Simplified Arabic" w:cs="Simplified Arabic" w:hint="cs"/>
          <w:b/>
          <w:bCs/>
          <w:color w:val="000000" w:themeColor="text1"/>
          <w:sz w:val="28"/>
          <w:szCs w:val="28"/>
          <w:rtl/>
        </w:rPr>
        <w:t>1- أرقام عامة حول عمليات الهدم</w:t>
      </w:r>
    </w:p>
    <w:p w:rsidR="00F21C76" w:rsidRDefault="00F21C76" w:rsidP="00F21C7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2A5B17" w:rsidRDefault="00792811" w:rsidP="00460EAE">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 xml:space="preserve">عدد عمليات الهدم المسجلة في المنطقة ج وفي القدس الشرقية في العام 2016 وصل إلى 1094، حيث زاد هذا الرقم عن كافة عمليات الهدم السنوية المسجلة منذ عام 2009. </w:t>
      </w:r>
      <w:r w:rsidR="00327F0D">
        <w:rPr>
          <w:rFonts w:ascii="Simplified Arabic" w:hAnsi="Simplified Arabic" w:cs="Simplified Arabic" w:hint="cs"/>
          <w:color w:val="000000" w:themeColor="text1"/>
          <w:sz w:val="28"/>
          <w:szCs w:val="28"/>
          <w:rtl/>
        </w:rPr>
        <w:t xml:space="preserve">وينعكس هذا الرقم في عدد عمليات الهدم الموثقة خلال فترة التقرير (أيلول 2016 </w:t>
      </w:r>
      <w:r w:rsidR="00327F0D">
        <w:rPr>
          <w:rFonts w:ascii="Simplified Arabic" w:hAnsi="Simplified Arabic" w:cs="Simplified Arabic"/>
          <w:color w:val="000000" w:themeColor="text1"/>
          <w:sz w:val="28"/>
          <w:szCs w:val="28"/>
          <w:rtl/>
        </w:rPr>
        <w:t>–</w:t>
      </w:r>
      <w:r w:rsidR="00327F0D">
        <w:rPr>
          <w:rFonts w:ascii="Simplified Arabic" w:hAnsi="Simplified Arabic" w:cs="Simplified Arabic" w:hint="cs"/>
          <w:color w:val="000000" w:themeColor="text1"/>
          <w:sz w:val="28"/>
          <w:szCs w:val="28"/>
          <w:rtl/>
        </w:rPr>
        <w:t xml:space="preserve"> شباط 2017). وقد هدمت السلطات الإسرائيلية </w:t>
      </w:r>
      <w:r w:rsidR="004843CC">
        <w:rPr>
          <w:rFonts w:ascii="Simplified Arabic" w:hAnsi="Simplified Arabic" w:cs="Simplified Arabic" w:hint="cs"/>
          <w:color w:val="000000" w:themeColor="text1"/>
          <w:sz w:val="28"/>
          <w:szCs w:val="28"/>
          <w:rtl/>
        </w:rPr>
        <w:t>433 منشأة</w:t>
      </w:r>
      <w:r w:rsidR="004843CC">
        <w:rPr>
          <w:rStyle w:val="FootnoteReference"/>
          <w:rFonts w:ascii="Simplified Arabic" w:hAnsi="Simplified Arabic" w:cs="Simplified Arabic"/>
          <w:color w:val="000000" w:themeColor="text1"/>
          <w:sz w:val="28"/>
          <w:szCs w:val="28"/>
        </w:rPr>
        <w:footnoteReference w:customMarkFollows="1" w:id="1"/>
        <w:t>1</w:t>
      </w:r>
      <w:r w:rsidR="004843CC">
        <w:rPr>
          <w:rFonts w:ascii="Simplified Arabic" w:hAnsi="Simplified Arabic" w:cs="Simplified Arabic" w:hint="cs"/>
          <w:color w:val="000000" w:themeColor="text1"/>
          <w:sz w:val="28"/>
          <w:szCs w:val="28"/>
          <w:rtl/>
        </w:rPr>
        <w:t xml:space="preserve"> خلال فترة هذا التقرير؛ </w:t>
      </w:r>
      <w:r w:rsidR="00D4382A">
        <w:rPr>
          <w:rFonts w:ascii="Simplified Arabic" w:hAnsi="Simplified Arabic" w:cs="Simplified Arabic" w:hint="cs"/>
          <w:color w:val="000000" w:themeColor="text1"/>
          <w:sz w:val="28"/>
          <w:szCs w:val="28"/>
          <w:rtl/>
        </w:rPr>
        <w:t>94 في القدس الشرقية و339 في المنطقة ج في الضفة الغربية المحتلة</w:t>
      </w:r>
      <w:r w:rsidR="00D4382A">
        <w:rPr>
          <w:rStyle w:val="FootnoteReference"/>
          <w:rFonts w:ascii="Simplified Arabic" w:hAnsi="Simplified Arabic" w:cs="Simplified Arabic"/>
          <w:color w:val="000000" w:themeColor="text1"/>
          <w:sz w:val="28"/>
          <w:szCs w:val="28"/>
        </w:rPr>
        <w:footnoteReference w:customMarkFollows="1" w:id="2"/>
        <w:t>2</w:t>
      </w:r>
      <w:r w:rsidR="00D4382A">
        <w:rPr>
          <w:rFonts w:ascii="Simplified Arabic" w:hAnsi="Simplified Arabic" w:cs="Simplified Arabic" w:hint="cs"/>
          <w:color w:val="000000" w:themeColor="text1"/>
          <w:sz w:val="28"/>
          <w:szCs w:val="28"/>
          <w:rtl/>
        </w:rPr>
        <w:t>.</w:t>
      </w:r>
      <w:r w:rsidR="00460EAE">
        <w:rPr>
          <w:rFonts w:ascii="Simplified Arabic" w:hAnsi="Simplified Arabic" w:cs="Simplified Arabic" w:hint="cs"/>
          <w:color w:val="000000" w:themeColor="text1"/>
          <w:sz w:val="28"/>
          <w:szCs w:val="28"/>
          <w:rtl/>
        </w:rPr>
        <w:t xml:space="preserve"> الازدياد في عمليات الهدم خلال شهر كانون الثاني 2017 يمكن تفسيره من خلال حدثين، يمثلان ما يقرب من نصف المنشآت المهدمة خلال هذا الشهر في تجمعات رعاة المواشي في خربة طانا والجفتلك أبو العجاج. إضافة إلى ذلك، </w:t>
      </w:r>
      <w:r w:rsidR="002A5B17">
        <w:rPr>
          <w:rFonts w:ascii="Simplified Arabic" w:hAnsi="Simplified Arabic" w:cs="Simplified Arabic" w:hint="cs"/>
          <w:color w:val="000000" w:themeColor="text1"/>
          <w:sz w:val="28"/>
          <w:szCs w:val="28"/>
          <w:rtl/>
        </w:rPr>
        <w:t xml:space="preserve">قامت بلدية القدس بعديد من عمليات الهدم في جبل المكبر كإجراءات عقابية بعد هجوم الدهس بتاريخ 8 كانون الثاني 2017. </w:t>
      </w:r>
    </w:p>
    <w:p w:rsidR="00E212E2" w:rsidRDefault="000B7D2D" w:rsidP="00E212E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 xml:space="preserve">وتحديدا، هناك رقم عال من المنشآت المهدمة في القدس الشرقية في الأشهر الأخيرة. </w:t>
      </w:r>
      <w:r w:rsidR="00973359">
        <w:rPr>
          <w:rFonts w:ascii="Simplified Arabic" w:hAnsi="Simplified Arabic" w:cs="Simplified Arabic" w:hint="cs"/>
          <w:color w:val="000000" w:themeColor="text1"/>
          <w:sz w:val="28"/>
          <w:szCs w:val="28"/>
          <w:rtl/>
        </w:rPr>
        <w:t>وخلال عملية ترسيم لخريطة المنشآت المهددة أجراها مكتب الأمم المتحدة لتنسيق المساعدات الإنسانية</w:t>
      </w:r>
      <w:r w:rsidR="00E212E2">
        <w:rPr>
          <w:rFonts w:ascii="Simplified Arabic" w:hAnsi="Simplified Arabic" w:cs="Simplified Arabic" w:hint="cs"/>
          <w:color w:val="000000" w:themeColor="text1"/>
          <w:sz w:val="28"/>
          <w:szCs w:val="28"/>
          <w:rtl/>
        </w:rPr>
        <w:t xml:space="preserve">، تبين أن هناك أكثر من 800 فلسطيني في القدس الشرقية مهددين بالإخلاء نتيجة لقرارات محكمة في قضايا رفعتها جمعيات استيطانية بشكل أساسي. </w:t>
      </w:r>
    </w:p>
    <w:p w:rsidR="00B55802" w:rsidRDefault="00B55802" w:rsidP="00E212E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55802" w:rsidRDefault="00B55802" w:rsidP="00B5580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55802" w:rsidRDefault="00B55802" w:rsidP="00B5580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55802" w:rsidRDefault="00B55802" w:rsidP="00B5580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55802" w:rsidRDefault="00B55802" w:rsidP="00B5580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55802" w:rsidRDefault="00B55802" w:rsidP="00B5580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55802" w:rsidRDefault="00B55802" w:rsidP="00B5580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F21C76" w:rsidRDefault="00B55802" w:rsidP="00B5580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cs="Tahoma"/>
          <w:noProof/>
          <w:color w:val="000000"/>
        </w:rPr>
        <w:drawing>
          <wp:inline distT="0" distB="0" distL="0" distR="0">
            <wp:extent cx="4417060" cy="2834005"/>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417060" cy="2834005"/>
                    </a:xfrm>
                    <a:prstGeom prst="rect">
                      <a:avLst/>
                    </a:prstGeom>
                    <a:noFill/>
                  </pic:spPr>
                </pic:pic>
              </a:graphicData>
            </a:graphic>
          </wp:inline>
        </w:drawing>
      </w:r>
      <w:r w:rsidR="00E212E2">
        <w:rPr>
          <w:rFonts w:ascii="Simplified Arabic" w:hAnsi="Simplified Arabic" w:cs="Simplified Arabic" w:hint="cs"/>
          <w:color w:val="000000" w:themeColor="text1"/>
          <w:sz w:val="28"/>
          <w:szCs w:val="28"/>
          <w:rtl/>
        </w:rPr>
        <w:t xml:space="preserve">  </w:t>
      </w:r>
      <w:r w:rsidR="00973359">
        <w:rPr>
          <w:rFonts w:ascii="Simplified Arabic" w:hAnsi="Simplified Arabic" w:cs="Simplified Arabic" w:hint="cs"/>
          <w:color w:val="000000" w:themeColor="text1"/>
          <w:sz w:val="28"/>
          <w:szCs w:val="28"/>
          <w:rtl/>
        </w:rPr>
        <w:t xml:space="preserve"> </w:t>
      </w:r>
      <w:r w:rsidR="00D4382A">
        <w:rPr>
          <w:rFonts w:ascii="Simplified Arabic" w:hAnsi="Simplified Arabic" w:cs="Simplified Arabic" w:hint="cs"/>
          <w:color w:val="000000" w:themeColor="text1"/>
          <w:sz w:val="28"/>
          <w:szCs w:val="28"/>
          <w:rtl/>
        </w:rPr>
        <w:t xml:space="preserve"> </w:t>
      </w:r>
    </w:p>
    <w:p w:rsidR="00B311E4" w:rsidRPr="00B55802" w:rsidRDefault="00B55802" w:rsidP="00B55802">
      <w:pPr>
        <w:pStyle w:val="xmsonormal"/>
        <w:shd w:val="clear" w:color="auto" w:fill="FFFFFF"/>
        <w:bidi/>
        <w:spacing w:before="0" w:beforeAutospacing="0" w:after="0" w:afterAutospacing="0"/>
        <w:ind w:left="-18"/>
        <w:jc w:val="center"/>
        <w:rPr>
          <w:rFonts w:ascii="Simplified Arabic" w:hAnsi="Simplified Arabic" w:cs="Simplified Arabic" w:hint="cs"/>
          <w:color w:val="000000" w:themeColor="text1"/>
          <w:sz w:val="22"/>
          <w:szCs w:val="22"/>
          <w:rtl/>
        </w:rPr>
      </w:pPr>
      <w:r w:rsidRPr="00B55802">
        <w:rPr>
          <w:rFonts w:ascii="Simplified Arabic" w:hAnsi="Simplified Arabic" w:cs="Simplified Arabic" w:hint="cs"/>
          <w:color w:val="000000" w:themeColor="text1"/>
          <w:sz w:val="22"/>
          <w:szCs w:val="22"/>
          <w:rtl/>
        </w:rPr>
        <w:t>عدد المنشآت المهدمة أو المصادرة شهريا</w:t>
      </w:r>
    </w:p>
    <w:p w:rsidR="00B311E4" w:rsidRDefault="00B311E4" w:rsidP="00B311E4">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55802" w:rsidRDefault="00B55802" w:rsidP="00B5580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 xml:space="preserve">الغالبية العظمى من عمليات الهدم في العام 2016 تمت في مرتفعات الخليل الجنوبية، والغور وفي منطقة </w:t>
      </w:r>
      <w:r>
        <w:rPr>
          <w:rStyle w:val="FootnoteReference"/>
          <w:rFonts w:ascii="Simplified Arabic" w:hAnsi="Simplified Arabic" w:cs="Simplified Arabic"/>
          <w:color w:val="000000" w:themeColor="text1"/>
          <w:sz w:val="28"/>
          <w:szCs w:val="28"/>
        </w:rPr>
        <w:footnoteReference w:customMarkFollows="1" w:id="3"/>
        <w:t>3</w:t>
      </w:r>
      <w:r>
        <w:rPr>
          <w:rFonts w:ascii="Simplified Arabic" w:hAnsi="Simplified Arabic" w:cs="Simplified Arabic"/>
          <w:color w:val="000000" w:themeColor="text1"/>
          <w:sz w:val="28"/>
          <w:szCs w:val="28"/>
        </w:rPr>
        <w:t>E1</w:t>
      </w:r>
      <w:r>
        <w:rPr>
          <w:rFonts w:ascii="Simplified Arabic" w:hAnsi="Simplified Arabic" w:cs="Simplified Arabic" w:hint="cs"/>
          <w:color w:val="000000" w:themeColor="text1"/>
          <w:sz w:val="28"/>
          <w:szCs w:val="28"/>
          <w:rtl/>
        </w:rPr>
        <w:t xml:space="preserve">. </w:t>
      </w:r>
      <w:r w:rsidR="00F41030">
        <w:rPr>
          <w:rFonts w:ascii="Simplified Arabic" w:hAnsi="Simplified Arabic" w:cs="Simplified Arabic" w:hint="cs"/>
          <w:color w:val="000000" w:themeColor="text1"/>
          <w:sz w:val="28"/>
          <w:szCs w:val="28"/>
          <w:rtl/>
        </w:rPr>
        <w:t xml:space="preserve">عمليات الهدم في عام 2016 أدت إلى نزوح 1628 شخص، من ضمنهم 772 طفل، مع أضرار بشكل غير مباشر أصابت 7126 فلسطيني. </w:t>
      </w:r>
    </w:p>
    <w:p w:rsidR="00180FEC" w:rsidRDefault="00180FEC" w:rsidP="00180FEC">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وهناك ما يقرب من 12500 منشأة فلسطينية في المنطقة ج تسلمت حاليا أوامر هدم صادرة عن الإدارة المدنية الإسرائيلية بسبب نقص تصاريح البناء اللازمة</w:t>
      </w:r>
      <w:r>
        <w:rPr>
          <w:rStyle w:val="FootnoteReference"/>
          <w:rFonts w:ascii="Simplified Arabic" w:hAnsi="Simplified Arabic" w:cs="Simplified Arabic"/>
          <w:color w:val="000000" w:themeColor="text1"/>
          <w:sz w:val="28"/>
          <w:szCs w:val="28"/>
        </w:rPr>
        <w:footnoteReference w:customMarkFollows="1" w:id="4"/>
        <w:t>4</w:t>
      </w:r>
      <w:r>
        <w:rPr>
          <w:rFonts w:ascii="Simplified Arabic" w:hAnsi="Simplified Arabic" w:cs="Simplified Arabic" w:hint="cs"/>
          <w:color w:val="000000" w:themeColor="text1"/>
          <w:sz w:val="28"/>
          <w:szCs w:val="28"/>
          <w:rtl/>
        </w:rPr>
        <w:t xml:space="preserve">. ويمكن تنفيذ هذه الأوامر في أي لحظة.  </w:t>
      </w:r>
    </w:p>
    <w:p w:rsidR="00B311E4" w:rsidRDefault="00B311E4" w:rsidP="00B311E4">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177E4C" w:rsidRDefault="00177E4C" w:rsidP="00177E4C">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516D41" w:rsidRPr="00177E4C" w:rsidRDefault="00516D41" w:rsidP="00516D41">
      <w:pPr>
        <w:pStyle w:val="xmsonormal"/>
        <w:shd w:val="clear" w:color="auto" w:fill="FFFFFF"/>
        <w:bidi/>
        <w:spacing w:before="0" w:beforeAutospacing="0" w:after="0" w:afterAutospacing="0"/>
        <w:ind w:left="-18"/>
        <w:jc w:val="both"/>
        <w:rPr>
          <w:rFonts w:ascii="Simplified Arabic" w:hAnsi="Simplified Arabic" w:cs="Simplified Arabic" w:hint="cs"/>
          <w:b/>
          <w:bCs/>
          <w:color w:val="000000" w:themeColor="text1"/>
          <w:sz w:val="28"/>
          <w:szCs w:val="28"/>
          <w:rtl/>
        </w:rPr>
      </w:pPr>
      <w:r w:rsidRPr="00177E4C">
        <w:rPr>
          <w:rFonts w:ascii="Simplified Arabic" w:hAnsi="Simplified Arabic" w:cs="Simplified Arabic" w:hint="cs"/>
          <w:b/>
          <w:bCs/>
          <w:color w:val="000000" w:themeColor="text1"/>
          <w:sz w:val="28"/>
          <w:szCs w:val="28"/>
          <w:rtl/>
        </w:rPr>
        <w:t xml:space="preserve">2- </w:t>
      </w:r>
      <w:r w:rsidR="00177E4C" w:rsidRPr="00177E4C">
        <w:rPr>
          <w:rFonts w:ascii="Simplified Arabic" w:hAnsi="Simplified Arabic" w:cs="Simplified Arabic" w:hint="cs"/>
          <w:b/>
          <w:bCs/>
          <w:color w:val="000000" w:themeColor="text1"/>
          <w:sz w:val="28"/>
          <w:szCs w:val="28"/>
          <w:rtl/>
        </w:rPr>
        <w:t xml:space="preserve">هدم المنشآت الممولة من قبل الاتحاد الأوروبي والدول الأعضاء في الاتحاد الأوروبي </w:t>
      </w:r>
    </w:p>
    <w:p w:rsidR="00177E4C" w:rsidRDefault="00177E4C" w:rsidP="00177E4C">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532C7" w:rsidRDefault="00177E4C" w:rsidP="006532C7">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 xml:space="preserve">خلال فترة التقرير، </w:t>
      </w:r>
      <w:r w:rsidR="006532C7">
        <w:rPr>
          <w:rFonts w:ascii="Simplified Arabic" w:hAnsi="Simplified Arabic" w:cs="Simplified Arabic" w:hint="cs"/>
          <w:color w:val="000000" w:themeColor="text1"/>
          <w:sz w:val="28"/>
          <w:szCs w:val="28"/>
          <w:rtl/>
        </w:rPr>
        <w:t>تم تدمير 117 منشأة ممولة من قبل الاتحاد الأوروبي أو الدول الأعضاء. هذه الأرقام قريبة من ضعف الأرقام المسجلة في فترة التقرير السابق. الارتفاع كان كبيرا تحديدا في كانون الثاني، حيث تم تدمير 44 منشأة ممولة من قبل الاتحاد الأوروبي والدول الأعضاء خلال شهر واحد.</w:t>
      </w:r>
    </w:p>
    <w:p w:rsidR="006532C7" w:rsidRDefault="006532C7" w:rsidP="006532C7">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8C4966" w:rsidRDefault="008C4966" w:rsidP="006532C7">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lastRenderedPageBreak/>
        <w:t xml:space="preserve">77% من عمليات الهدم حصلت في المنطقة ج وتضمنت المنشآت المهدمة منشآت سكنية، مدارس، مراحيض ومأوى للحيوانات التي تم توفيرها كمساعدات إنسانية إلى التجمعات السكانية المعوزة في المنطقة ج. </w:t>
      </w:r>
    </w:p>
    <w:p w:rsidR="008C4966" w:rsidRDefault="008C4966" w:rsidP="008C496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177E4C" w:rsidRDefault="008C4966" w:rsidP="008C496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bCs/>
          <w:noProof/>
        </w:rPr>
        <w:drawing>
          <wp:inline distT="0" distB="0" distL="0" distR="0">
            <wp:extent cx="5187950" cy="2895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187950" cy="2895600"/>
                    </a:xfrm>
                    <a:prstGeom prst="rect">
                      <a:avLst/>
                    </a:prstGeom>
                    <a:noFill/>
                  </pic:spPr>
                </pic:pic>
              </a:graphicData>
            </a:graphic>
          </wp:inline>
        </w:drawing>
      </w:r>
      <w:r w:rsidR="006532C7">
        <w:rPr>
          <w:rFonts w:ascii="Simplified Arabic" w:hAnsi="Simplified Arabic" w:cs="Simplified Arabic" w:hint="cs"/>
          <w:color w:val="000000" w:themeColor="text1"/>
          <w:sz w:val="28"/>
          <w:szCs w:val="28"/>
          <w:rtl/>
        </w:rPr>
        <w:t xml:space="preserve">  </w:t>
      </w:r>
    </w:p>
    <w:p w:rsidR="009B72DE" w:rsidRPr="00B55802" w:rsidRDefault="009B72DE" w:rsidP="009B72DE">
      <w:pPr>
        <w:pStyle w:val="xmsonormal"/>
        <w:shd w:val="clear" w:color="auto" w:fill="FFFFFF"/>
        <w:bidi/>
        <w:spacing w:before="0" w:beforeAutospacing="0" w:after="0" w:afterAutospacing="0"/>
        <w:ind w:left="-18"/>
        <w:jc w:val="center"/>
        <w:rPr>
          <w:rFonts w:ascii="Simplified Arabic" w:hAnsi="Simplified Arabic" w:cs="Simplified Arabic" w:hint="cs"/>
          <w:color w:val="000000" w:themeColor="text1"/>
          <w:sz w:val="22"/>
          <w:szCs w:val="22"/>
          <w:rtl/>
        </w:rPr>
      </w:pPr>
      <w:r w:rsidRPr="00B55802">
        <w:rPr>
          <w:rFonts w:ascii="Simplified Arabic" w:hAnsi="Simplified Arabic" w:cs="Simplified Arabic" w:hint="cs"/>
          <w:color w:val="000000" w:themeColor="text1"/>
          <w:sz w:val="22"/>
          <w:szCs w:val="22"/>
          <w:rtl/>
        </w:rPr>
        <w:t xml:space="preserve">عدد المنشآت </w:t>
      </w:r>
      <w:r>
        <w:rPr>
          <w:rFonts w:ascii="Simplified Arabic" w:hAnsi="Simplified Arabic" w:cs="Simplified Arabic" w:hint="cs"/>
          <w:color w:val="000000" w:themeColor="text1"/>
          <w:sz w:val="22"/>
          <w:szCs w:val="22"/>
          <w:rtl/>
        </w:rPr>
        <w:t xml:space="preserve">الممولة من قبل الاتحاد الأوروبي والدول الأعضاء </w:t>
      </w:r>
      <w:r w:rsidRPr="00B55802">
        <w:rPr>
          <w:rFonts w:ascii="Simplified Arabic" w:hAnsi="Simplified Arabic" w:cs="Simplified Arabic" w:hint="cs"/>
          <w:color w:val="000000" w:themeColor="text1"/>
          <w:sz w:val="22"/>
          <w:szCs w:val="22"/>
          <w:rtl/>
        </w:rPr>
        <w:t>المهدمة أو المصادرة شهريا</w:t>
      </w:r>
    </w:p>
    <w:p w:rsidR="00B311E4" w:rsidRDefault="00B311E4" w:rsidP="00B311E4">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9B72DE" w:rsidRDefault="009B72DE" w:rsidP="009B72DE">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نتيجة لزيادة عمليات الهدم والمصادرة من قبل السلطات الإسرائيلية لمنشآت ممولة من قبل الاتحاد الأوروبي والدول الأعضاءـ تزايدت الخسائر المالية باضطراد.</w:t>
      </w:r>
      <w:r w:rsidR="00663CB6">
        <w:rPr>
          <w:rFonts w:ascii="Simplified Arabic" w:hAnsi="Simplified Arabic" w:cs="Simplified Arabic" w:hint="cs"/>
          <w:color w:val="000000" w:themeColor="text1"/>
          <w:sz w:val="28"/>
          <w:szCs w:val="28"/>
          <w:rtl/>
        </w:rPr>
        <w:t xml:space="preserve"> خلال فترة التقرير، 117 منشأة بقيمة 311,692 يورو دمرت. وهذا يرفع الرقم الإجمالي للمنشآت المدمرة في العام 2016 والممولة من قبل الاتحاد الأوروبي والدول الأعضاء إلى 182 مما يزيد الخسائر المالية في العام 2016 إلى 557,378 يورو. بالمجمل، 17% من المنشآت المدمرة في العام 2016 هي منشآت ممولة من قبل الاتحاد الأوروبي. </w:t>
      </w:r>
    </w:p>
    <w:p w:rsidR="00663CB6" w:rsidRDefault="00663CB6" w:rsidP="00663CB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3CB6" w:rsidRDefault="00663CB6" w:rsidP="00663CB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cs="Tahoma"/>
          <w:b/>
          <w:noProof/>
          <w:color w:val="000000"/>
        </w:rPr>
        <w:drawing>
          <wp:inline distT="0" distB="0" distL="0" distR="0">
            <wp:extent cx="3402965" cy="1676400"/>
            <wp:effectExtent l="1905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402965" cy="1676400"/>
                    </a:xfrm>
                    <a:prstGeom prst="rect">
                      <a:avLst/>
                    </a:prstGeom>
                    <a:noFill/>
                  </pic:spPr>
                </pic:pic>
              </a:graphicData>
            </a:graphic>
          </wp:inline>
        </w:drawing>
      </w:r>
    </w:p>
    <w:p w:rsidR="00663CB6" w:rsidRDefault="00663CB6" w:rsidP="00663CB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3CB6" w:rsidRDefault="00663CB6" w:rsidP="00663CB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cs="Tahoma"/>
          <w:b/>
          <w:noProof/>
          <w:color w:val="000000"/>
        </w:rPr>
        <w:lastRenderedPageBreak/>
        <w:drawing>
          <wp:inline distT="0" distB="0" distL="0" distR="0">
            <wp:extent cx="2265045" cy="1624965"/>
            <wp:effectExtent l="1905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265045" cy="1624965"/>
                    </a:xfrm>
                    <a:prstGeom prst="rect">
                      <a:avLst/>
                    </a:prstGeom>
                    <a:noFill/>
                  </pic:spPr>
                </pic:pic>
              </a:graphicData>
            </a:graphic>
          </wp:inline>
        </w:drawing>
      </w:r>
    </w:p>
    <w:p w:rsidR="00B311E4" w:rsidRDefault="00B311E4" w:rsidP="00B311E4">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3CB6" w:rsidRDefault="00663CB6" w:rsidP="00663CB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 xml:space="preserve">بالنسبة لمكتب المفوضية الأوروبية للمساعدات الإنسانية والحماية المدنية، الخسائر المالية التي نتجت عن عمليات الهدم والتدمير تمثل بمعدل 1% من موازنتها للمساعدات الإنسانية إلى الضفة الغربية خلال الأعوام الثلاثة الأخيرة (2014-2016). </w:t>
      </w:r>
    </w:p>
    <w:p w:rsidR="00663CB6" w:rsidRDefault="00663CB6" w:rsidP="00663CB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3CB6" w:rsidRDefault="00663CB6" w:rsidP="00663CB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 xml:space="preserve">في الفترة بين 2009 (عند بدء التوثيق والتسجيل) و2016، تم تدمير 352 منشأة ممولة من قبل الاتحاد الأوروبي والدول الأعضاء بقيمة تصل إلى مليون يورو. </w:t>
      </w:r>
    </w:p>
    <w:p w:rsidR="00663CB6" w:rsidRDefault="00663CB6" w:rsidP="00663CB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3CB6" w:rsidRPr="00663CB6" w:rsidRDefault="00663CB6" w:rsidP="00663CB6">
      <w:pPr>
        <w:pStyle w:val="xmsonormal"/>
        <w:shd w:val="clear" w:color="auto" w:fill="FFFFFF"/>
        <w:bidi/>
        <w:spacing w:before="0" w:beforeAutospacing="0" w:after="0" w:afterAutospacing="0"/>
        <w:ind w:left="-18"/>
        <w:jc w:val="both"/>
        <w:rPr>
          <w:rFonts w:ascii="Simplified Arabic" w:hAnsi="Simplified Arabic" w:cs="Simplified Arabic" w:hint="cs"/>
          <w:b/>
          <w:bCs/>
          <w:color w:val="000000" w:themeColor="text1"/>
          <w:sz w:val="28"/>
          <w:szCs w:val="28"/>
          <w:rtl/>
        </w:rPr>
      </w:pPr>
    </w:p>
    <w:p w:rsidR="00663CB6" w:rsidRPr="00663CB6" w:rsidRDefault="00663CB6" w:rsidP="00663CB6">
      <w:pPr>
        <w:pStyle w:val="xmsonormal"/>
        <w:shd w:val="clear" w:color="auto" w:fill="FFFFFF"/>
        <w:bidi/>
        <w:spacing w:before="0" w:beforeAutospacing="0" w:after="0" w:afterAutospacing="0"/>
        <w:ind w:left="-18"/>
        <w:jc w:val="both"/>
        <w:rPr>
          <w:rFonts w:ascii="Simplified Arabic" w:hAnsi="Simplified Arabic" w:cs="Simplified Arabic" w:hint="cs"/>
          <w:b/>
          <w:bCs/>
          <w:color w:val="000000" w:themeColor="text1"/>
          <w:sz w:val="28"/>
          <w:szCs w:val="28"/>
          <w:rtl/>
        </w:rPr>
      </w:pPr>
      <w:r w:rsidRPr="00663CB6">
        <w:rPr>
          <w:rFonts w:ascii="Simplified Arabic" w:hAnsi="Simplified Arabic" w:cs="Simplified Arabic" w:hint="cs"/>
          <w:b/>
          <w:bCs/>
          <w:color w:val="000000" w:themeColor="text1"/>
          <w:sz w:val="28"/>
          <w:szCs w:val="28"/>
          <w:rtl/>
        </w:rPr>
        <w:t>3- تطورات مقلقة بشكل خاص</w:t>
      </w:r>
    </w:p>
    <w:p w:rsidR="00663CB6" w:rsidRDefault="00663CB6" w:rsidP="00663CB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2E6C78" w:rsidRDefault="00665ED1" w:rsidP="00663CB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sidRPr="00665ED1">
        <w:rPr>
          <w:rFonts w:ascii="Simplified Arabic" w:hAnsi="Simplified Arabic" w:cs="Simplified Arabic" w:hint="cs"/>
          <w:b/>
          <w:bCs/>
          <w:color w:val="000000" w:themeColor="text1"/>
          <w:sz w:val="28"/>
          <w:szCs w:val="28"/>
          <w:rtl/>
        </w:rPr>
        <w:t>الخان الأحمر</w:t>
      </w:r>
      <w:r>
        <w:rPr>
          <w:rFonts w:ascii="Simplified Arabic" w:hAnsi="Simplified Arabic" w:cs="Simplified Arabic" w:hint="cs"/>
          <w:color w:val="000000" w:themeColor="text1"/>
          <w:sz w:val="28"/>
          <w:szCs w:val="28"/>
          <w:rtl/>
        </w:rPr>
        <w:t xml:space="preserve">: الخان الأحمر (أبو حلو) هو احد 18 تجمع بدوي تقيم فيه قبيلة الجهالين في المنطقة المحيطة بالقدس. </w:t>
      </w:r>
      <w:r w:rsidR="002C2DDD">
        <w:rPr>
          <w:rFonts w:ascii="Simplified Arabic" w:hAnsi="Simplified Arabic" w:cs="Simplified Arabic" w:hint="cs"/>
          <w:color w:val="000000" w:themeColor="text1"/>
          <w:sz w:val="28"/>
          <w:szCs w:val="28"/>
          <w:rtl/>
        </w:rPr>
        <w:t xml:space="preserve">المدرسة الابتدائية المختلطة لهذا التجمع (مدرسة "الإطارات") التي تخدم 170 تلميذ تسلمت </w:t>
      </w:r>
      <w:r w:rsidR="00880852">
        <w:rPr>
          <w:rFonts w:ascii="Simplified Arabic" w:hAnsi="Simplified Arabic" w:cs="Simplified Arabic" w:hint="cs"/>
          <w:color w:val="000000" w:themeColor="text1"/>
          <w:sz w:val="28"/>
          <w:szCs w:val="28"/>
          <w:rtl/>
        </w:rPr>
        <w:t xml:space="preserve">أمر هدم بعد شهر واحد من افتتاحها وقد أكدت الدولة الإسرائيلية على نيتها لهدم المدرسة في عدد من المرات. </w:t>
      </w:r>
      <w:r w:rsidR="002E6C78">
        <w:rPr>
          <w:rFonts w:ascii="Simplified Arabic" w:hAnsi="Simplified Arabic" w:cs="Simplified Arabic" w:hint="cs"/>
          <w:color w:val="000000" w:themeColor="text1"/>
          <w:sz w:val="28"/>
          <w:szCs w:val="28"/>
          <w:rtl/>
        </w:rPr>
        <w:t xml:space="preserve">بتاريخ 15 و19 شباط 2017، وزعت السلطات الإسرائيلية عشرات أوامر وقف العمل والهدم العسكرية مهددة بذلك ما يقرب من كل منشأة في ذلك التجمع (ما يقرب من 140 بالمجموع)، مما يعرض التجمع إلى خطر الهدم الجماعي. </w:t>
      </w:r>
    </w:p>
    <w:p w:rsidR="002E6C78" w:rsidRDefault="002E6C78" w:rsidP="002E6C78">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25781" w:rsidRDefault="002E6C78" w:rsidP="00B2578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sidRPr="002E6C78">
        <w:rPr>
          <w:rFonts w:ascii="Simplified Arabic" w:hAnsi="Simplified Arabic" w:cs="Simplified Arabic" w:hint="cs"/>
          <w:b/>
          <w:bCs/>
          <w:color w:val="000000" w:themeColor="text1"/>
          <w:sz w:val="28"/>
          <w:szCs w:val="28"/>
          <w:rtl/>
        </w:rPr>
        <w:t>سوسيا</w:t>
      </w:r>
      <w:r>
        <w:rPr>
          <w:rFonts w:ascii="Simplified Arabic" w:hAnsi="Simplified Arabic" w:cs="Simplified Arabic" w:hint="cs"/>
          <w:color w:val="000000" w:themeColor="text1"/>
          <w:sz w:val="28"/>
          <w:szCs w:val="28"/>
          <w:rtl/>
        </w:rPr>
        <w:t xml:space="preserve">: </w:t>
      </w:r>
      <w:r w:rsidR="002C6AA8">
        <w:rPr>
          <w:rFonts w:ascii="Simplified Arabic" w:hAnsi="Simplified Arabic" w:cs="Simplified Arabic" w:hint="cs"/>
          <w:color w:val="000000" w:themeColor="text1"/>
          <w:sz w:val="28"/>
          <w:szCs w:val="28"/>
          <w:rtl/>
        </w:rPr>
        <w:t xml:space="preserve">بلدة سوسيا في الضفة الغربية (مرتفعات الخليل الجنوبية، عدد السكان 340 شخص) تواجه مخاطر الهدم منذ أواخر الثمانينيات. </w:t>
      </w:r>
      <w:r w:rsidR="00B25781">
        <w:rPr>
          <w:rFonts w:ascii="Simplified Arabic" w:hAnsi="Simplified Arabic" w:cs="Simplified Arabic" w:hint="cs"/>
          <w:color w:val="000000" w:themeColor="text1"/>
          <w:sz w:val="28"/>
          <w:szCs w:val="28"/>
          <w:rtl/>
        </w:rPr>
        <w:t xml:space="preserve">وقد تجدد الخطر لهدم 40% من القرية في شهر آب 2016 حيث توقف الحوار بين ممثلي القرية والسلطات الإسرائيلية. القضية الآن بانتظار رد من دولة إسرائيل عبر المحكمة العليا الإسرائيلية إذا ما سيتم الهدم أم لا. </w:t>
      </w:r>
    </w:p>
    <w:p w:rsidR="00B25781" w:rsidRDefault="00B25781" w:rsidP="00B2578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25781" w:rsidRDefault="00B25781" w:rsidP="00B2578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25781" w:rsidRPr="00B25781" w:rsidRDefault="00B25781" w:rsidP="00B25781">
      <w:pPr>
        <w:pStyle w:val="xmsonormal"/>
        <w:shd w:val="clear" w:color="auto" w:fill="FFFFFF"/>
        <w:bidi/>
        <w:spacing w:before="0" w:beforeAutospacing="0" w:after="0" w:afterAutospacing="0"/>
        <w:ind w:left="-18"/>
        <w:jc w:val="both"/>
        <w:rPr>
          <w:rFonts w:ascii="Simplified Arabic" w:hAnsi="Simplified Arabic" w:cs="Simplified Arabic" w:hint="cs"/>
          <w:b/>
          <w:bCs/>
          <w:color w:val="000000" w:themeColor="text1"/>
          <w:sz w:val="28"/>
          <w:szCs w:val="28"/>
          <w:rtl/>
        </w:rPr>
      </w:pPr>
      <w:r w:rsidRPr="00B25781">
        <w:rPr>
          <w:rFonts w:ascii="Simplified Arabic" w:hAnsi="Simplified Arabic" w:cs="Simplified Arabic" w:hint="cs"/>
          <w:b/>
          <w:bCs/>
          <w:color w:val="000000" w:themeColor="text1"/>
          <w:sz w:val="28"/>
          <w:szCs w:val="28"/>
          <w:rtl/>
        </w:rPr>
        <w:lastRenderedPageBreak/>
        <w:t xml:space="preserve">4- أعمال الاتحاد الأوروبي خلال فترة التقرير </w:t>
      </w:r>
    </w:p>
    <w:p w:rsidR="00B25781" w:rsidRDefault="00B25781" w:rsidP="00B2578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069EC" w:rsidRDefault="00B25781" w:rsidP="00B2578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 xml:space="preserve">خلال فترة التقرير، التقت بعثة الاتحاد الأوروبي إلى الضفة الغربية وغزة وبعثة الاتحاد الأوروبي إلى إسرائيل وأثارت عدة قضايا متعلقة بالهدم خلال لقائها مع </w:t>
      </w:r>
      <w:r w:rsidR="00B069EC">
        <w:rPr>
          <w:rFonts w:ascii="Simplified Arabic" w:hAnsi="Simplified Arabic" w:cs="Simplified Arabic" w:hint="cs"/>
          <w:color w:val="000000" w:themeColor="text1"/>
          <w:sz w:val="28"/>
          <w:szCs w:val="28"/>
          <w:rtl/>
        </w:rPr>
        <w:t xml:space="preserve">منسق نشاطات الحكومة في المناطق. </w:t>
      </w:r>
    </w:p>
    <w:p w:rsidR="00B069EC" w:rsidRDefault="00B069EC" w:rsidP="00B069EC">
      <w:pPr>
        <w:pStyle w:val="xmsonormal"/>
        <w:numPr>
          <w:ilvl w:val="0"/>
          <w:numId w:val="11"/>
        </w:numPr>
        <w:shd w:val="clear" w:color="auto" w:fill="FFFFFF"/>
        <w:bidi/>
        <w:spacing w:before="0" w:beforeAutospacing="0" w:after="0" w:afterAutospacing="0"/>
        <w:jc w:val="both"/>
        <w:rPr>
          <w:rFonts w:ascii="Simplified Arabic" w:hAnsi="Simplified Arabic" w:cs="Simplified Arabic" w:hint="cs"/>
          <w:color w:val="000000" w:themeColor="text1"/>
          <w:sz w:val="28"/>
          <w:szCs w:val="28"/>
        </w:rPr>
      </w:pPr>
      <w:r>
        <w:rPr>
          <w:rFonts w:ascii="Simplified Arabic" w:hAnsi="Simplified Arabic" w:cs="Simplified Arabic" w:hint="cs"/>
          <w:color w:val="000000" w:themeColor="text1"/>
          <w:sz w:val="28"/>
          <w:szCs w:val="28"/>
          <w:rtl/>
        </w:rPr>
        <w:t xml:space="preserve">بتاريخ 24 تشرين الأول 2016، نظمت زيارة دبلوماسية إلى أبو نوار، وهو تجمع سكاني مخطط لإعادة توطين سكانه في منطقة أخرى من قبل السلطات الإسرائيلية. </w:t>
      </w:r>
    </w:p>
    <w:p w:rsidR="00386502" w:rsidRDefault="00B069EC" w:rsidP="00B069EC">
      <w:pPr>
        <w:pStyle w:val="xmsonormal"/>
        <w:numPr>
          <w:ilvl w:val="0"/>
          <w:numId w:val="11"/>
        </w:numPr>
        <w:shd w:val="clear" w:color="auto" w:fill="FFFFFF"/>
        <w:bidi/>
        <w:spacing w:before="0" w:beforeAutospacing="0" w:after="0" w:afterAutospacing="0"/>
        <w:jc w:val="both"/>
        <w:rPr>
          <w:rFonts w:ascii="Simplified Arabic" w:hAnsi="Simplified Arabic" w:cs="Simplified Arabic" w:hint="cs"/>
          <w:color w:val="000000" w:themeColor="text1"/>
          <w:sz w:val="28"/>
          <w:szCs w:val="28"/>
        </w:rPr>
      </w:pPr>
      <w:r>
        <w:rPr>
          <w:rFonts w:ascii="Simplified Arabic" w:hAnsi="Simplified Arabic" w:cs="Simplified Arabic" w:hint="cs"/>
          <w:color w:val="000000" w:themeColor="text1"/>
          <w:sz w:val="28"/>
          <w:szCs w:val="28"/>
          <w:rtl/>
        </w:rPr>
        <w:t xml:space="preserve">بتاريخ 13 كانون الأول 2016، </w:t>
      </w:r>
      <w:r w:rsidR="00386502">
        <w:rPr>
          <w:rFonts w:ascii="Simplified Arabic" w:hAnsi="Simplified Arabic" w:cs="Simplified Arabic" w:hint="cs"/>
          <w:color w:val="000000" w:themeColor="text1"/>
          <w:sz w:val="28"/>
          <w:szCs w:val="28"/>
          <w:rtl/>
        </w:rPr>
        <w:t xml:space="preserve">صدر بيان محلي من قبل رؤساء بعثات الاتحاد الأوروبي في القدس ورام الله حول عمليات الهدم الإسرائيلية ومصادرة المنشآت الفلسطينية في المنطقة ج. </w:t>
      </w:r>
    </w:p>
    <w:p w:rsidR="00386502" w:rsidRDefault="00386502" w:rsidP="00386502">
      <w:pPr>
        <w:pStyle w:val="xmsonormal"/>
        <w:numPr>
          <w:ilvl w:val="0"/>
          <w:numId w:val="11"/>
        </w:numPr>
        <w:shd w:val="clear" w:color="auto" w:fill="FFFFFF"/>
        <w:bidi/>
        <w:spacing w:before="0" w:beforeAutospacing="0" w:after="0" w:afterAutospacing="0"/>
        <w:jc w:val="both"/>
        <w:rPr>
          <w:rFonts w:ascii="Simplified Arabic" w:hAnsi="Simplified Arabic" w:cs="Simplified Arabic" w:hint="cs"/>
          <w:color w:val="000000" w:themeColor="text1"/>
          <w:sz w:val="28"/>
          <w:szCs w:val="28"/>
        </w:rPr>
      </w:pPr>
      <w:r>
        <w:rPr>
          <w:rFonts w:ascii="Simplified Arabic" w:hAnsi="Simplified Arabic" w:cs="Simplified Arabic" w:hint="cs"/>
          <w:color w:val="000000" w:themeColor="text1"/>
          <w:sz w:val="28"/>
          <w:szCs w:val="28"/>
          <w:rtl/>
        </w:rPr>
        <w:t xml:space="preserve">بتاريخ 22 شباط 2017، زار وفد برلماني أوروبي من مختلف الأحزاب تجمعا الخان الأحمر وسطح البحر. </w:t>
      </w:r>
    </w:p>
    <w:p w:rsidR="00386502" w:rsidRDefault="00386502" w:rsidP="00386502">
      <w:pPr>
        <w:pStyle w:val="xmsonormal"/>
        <w:numPr>
          <w:ilvl w:val="0"/>
          <w:numId w:val="11"/>
        </w:numPr>
        <w:shd w:val="clear" w:color="auto" w:fill="FFFFFF"/>
        <w:bidi/>
        <w:spacing w:before="0" w:beforeAutospacing="0" w:after="0" w:afterAutospacing="0"/>
        <w:jc w:val="both"/>
        <w:rPr>
          <w:rFonts w:ascii="Simplified Arabic" w:hAnsi="Simplified Arabic" w:cs="Simplified Arabic" w:hint="cs"/>
          <w:color w:val="000000" w:themeColor="text1"/>
          <w:sz w:val="28"/>
          <w:szCs w:val="28"/>
        </w:rPr>
      </w:pPr>
      <w:r>
        <w:rPr>
          <w:rFonts w:ascii="Simplified Arabic" w:hAnsi="Simplified Arabic" w:cs="Simplified Arabic" w:hint="cs"/>
          <w:color w:val="000000" w:themeColor="text1"/>
          <w:sz w:val="28"/>
          <w:szCs w:val="28"/>
          <w:rtl/>
        </w:rPr>
        <w:t xml:space="preserve">بتاريخ 22 شباط 2017، صدر بيان من الاتحاد الأوروبي والدول الأعضاء حول عمليات الهدم والمصادرة الإسرائيلية ضد المباني والمنشآت الفلسطينية في المنطقة ج. </w:t>
      </w:r>
    </w:p>
    <w:p w:rsidR="00663CB6" w:rsidRDefault="00386502" w:rsidP="00386502">
      <w:pPr>
        <w:pStyle w:val="xmsonormal"/>
        <w:numPr>
          <w:ilvl w:val="0"/>
          <w:numId w:val="11"/>
        </w:numPr>
        <w:shd w:val="clear" w:color="auto" w:fill="FFFFFF"/>
        <w:bidi/>
        <w:spacing w:before="0" w:beforeAutospacing="0" w:after="0" w:afterAutospacing="0"/>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 xml:space="preserve">بتاريخ 28 شباط 2017، تم ترتيب زيارة لرؤساء بعثات الاتحاد الأوروبي في القدس ورام الله إلى الخان الأحمر. </w:t>
      </w:r>
      <w:r w:rsidR="00B069EC">
        <w:rPr>
          <w:rFonts w:ascii="Simplified Arabic" w:hAnsi="Simplified Arabic" w:cs="Simplified Arabic" w:hint="cs"/>
          <w:color w:val="000000" w:themeColor="text1"/>
          <w:sz w:val="28"/>
          <w:szCs w:val="28"/>
          <w:rtl/>
        </w:rPr>
        <w:t xml:space="preserve">  </w:t>
      </w:r>
      <w:r w:rsidR="00B25781">
        <w:rPr>
          <w:rFonts w:ascii="Simplified Arabic" w:hAnsi="Simplified Arabic" w:cs="Simplified Arabic" w:hint="cs"/>
          <w:color w:val="000000" w:themeColor="text1"/>
          <w:sz w:val="28"/>
          <w:szCs w:val="28"/>
          <w:rtl/>
        </w:rPr>
        <w:t xml:space="preserve">  </w:t>
      </w:r>
      <w:r w:rsidR="002E6C78">
        <w:rPr>
          <w:rFonts w:ascii="Simplified Arabic" w:hAnsi="Simplified Arabic" w:cs="Simplified Arabic" w:hint="cs"/>
          <w:color w:val="000000" w:themeColor="text1"/>
          <w:sz w:val="28"/>
          <w:szCs w:val="28"/>
          <w:rtl/>
        </w:rPr>
        <w:t xml:space="preserve"> </w:t>
      </w:r>
      <w:r w:rsidR="00880852">
        <w:rPr>
          <w:rFonts w:ascii="Simplified Arabic" w:hAnsi="Simplified Arabic" w:cs="Simplified Arabic" w:hint="cs"/>
          <w:color w:val="000000" w:themeColor="text1"/>
          <w:sz w:val="28"/>
          <w:szCs w:val="28"/>
          <w:rtl/>
        </w:rPr>
        <w:t xml:space="preserve"> </w:t>
      </w:r>
      <w:r w:rsidR="00665ED1">
        <w:rPr>
          <w:rFonts w:ascii="Simplified Arabic" w:hAnsi="Simplified Arabic" w:cs="Simplified Arabic" w:hint="cs"/>
          <w:color w:val="000000" w:themeColor="text1"/>
          <w:sz w:val="28"/>
          <w:szCs w:val="28"/>
          <w:rtl/>
        </w:rPr>
        <w:t xml:space="preserve"> </w:t>
      </w:r>
    </w:p>
    <w:p w:rsidR="00665ED1" w:rsidRDefault="00665ED1" w:rsidP="00665ED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386502" w:rsidRDefault="00386502" w:rsidP="0038650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386502" w:rsidRDefault="00386502" w:rsidP="0038650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ملحق رقم 1: موجز: عمليات الهدم في الضفة الغربية، بما فيها القدس الشرقية</w:t>
      </w:r>
    </w:p>
    <w:p w:rsidR="00386502" w:rsidRDefault="00386502" w:rsidP="0038650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b/>
          <w:noProof/>
        </w:rPr>
        <w:drawing>
          <wp:inline distT="0" distB="0" distL="0" distR="0">
            <wp:extent cx="4128135" cy="2480945"/>
            <wp:effectExtent l="1905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4128135" cy="2480945"/>
                    </a:xfrm>
                    <a:prstGeom prst="rect">
                      <a:avLst/>
                    </a:prstGeom>
                    <a:noFill/>
                  </pic:spPr>
                </pic:pic>
              </a:graphicData>
            </a:graphic>
          </wp:inline>
        </w:drawing>
      </w:r>
    </w:p>
    <w:p w:rsidR="00665ED1" w:rsidRDefault="00665ED1" w:rsidP="00665ED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386502" w:rsidRDefault="00386502" w:rsidP="00665ED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386502" w:rsidRDefault="00386502" w:rsidP="0038650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386502" w:rsidRDefault="00386502" w:rsidP="0038650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lastRenderedPageBreak/>
        <w:t xml:space="preserve">ملحق رقم 2: موجز: عمليات الهدم السنوية للمنشآت الممولة من قبل الاتحاد الأوروبي والدول الأعضاء في الضفة الغربية، 2014-2017 </w:t>
      </w:r>
    </w:p>
    <w:p w:rsidR="00386502" w:rsidRDefault="00386502" w:rsidP="0038650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5ED1" w:rsidRDefault="00386502" w:rsidP="00386502">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b/>
          <w:noProof/>
        </w:rPr>
        <w:drawing>
          <wp:inline distT="0" distB="0" distL="0" distR="0">
            <wp:extent cx="3790315" cy="2277745"/>
            <wp:effectExtent l="1905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3790315" cy="2277745"/>
                    </a:xfrm>
                    <a:prstGeom prst="rect">
                      <a:avLst/>
                    </a:prstGeom>
                    <a:noFill/>
                  </pic:spPr>
                </pic:pic>
              </a:graphicData>
            </a:graphic>
          </wp:inline>
        </w:drawing>
      </w:r>
      <w:r>
        <w:rPr>
          <w:rFonts w:ascii="Simplified Arabic" w:hAnsi="Simplified Arabic" w:cs="Simplified Arabic" w:hint="cs"/>
          <w:color w:val="000000" w:themeColor="text1"/>
          <w:sz w:val="28"/>
          <w:szCs w:val="28"/>
          <w:rtl/>
        </w:rPr>
        <w:t xml:space="preserve"> </w:t>
      </w:r>
    </w:p>
    <w:p w:rsidR="00665ED1" w:rsidRDefault="00665ED1" w:rsidP="00665ED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5ED1" w:rsidRDefault="00665ED1" w:rsidP="00665ED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5ED1" w:rsidRDefault="00665ED1" w:rsidP="00665ED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5ED1" w:rsidRDefault="00665ED1" w:rsidP="00665ED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5ED1" w:rsidRDefault="00665ED1" w:rsidP="00665ED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5ED1" w:rsidRDefault="00665ED1" w:rsidP="00665ED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5ED1" w:rsidRDefault="00665ED1" w:rsidP="00665ED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5ED1" w:rsidRDefault="00665ED1" w:rsidP="00665ED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5ED1" w:rsidRDefault="00386502" w:rsidP="00386502">
      <w:pPr>
        <w:pStyle w:val="xmsonormal"/>
        <w:pBdr>
          <w:top w:val="single" w:sz="4" w:space="1" w:color="auto"/>
          <w:left w:val="single" w:sz="4" w:space="4" w:color="auto"/>
          <w:bottom w:val="single" w:sz="4" w:space="1" w:color="auto"/>
          <w:right w:val="single" w:sz="4" w:space="4" w:color="auto"/>
        </w:pBdr>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كافة المعلومات المذكورة هنا عرضة للتغيير في أي وقت اعتمادا على توفر بيانات جديدة</w:t>
      </w:r>
    </w:p>
    <w:p w:rsidR="00665ED1" w:rsidRDefault="00665ED1" w:rsidP="00665ED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5ED1" w:rsidRDefault="00665ED1" w:rsidP="00665ED1">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663CB6" w:rsidRDefault="00663CB6" w:rsidP="00663CB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r>
        <w:rPr>
          <w:rFonts w:ascii="Simplified Arabic" w:hAnsi="Simplified Arabic" w:cs="Simplified Arabic" w:hint="cs"/>
          <w:color w:val="000000" w:themeColor="text1"/>
          <w:sz w:val="28"/>
          <w:szCs w:val="28"/>
          <w:rtl/>
        </w:rPr>
        <w:t xml:space="preserve">  </w:t>
      </w:r>
    </w:p>
    <w:p w:rsidR="008C4966" w:rsidRDefault="008C4966" w:rsidP="008C4966">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311E4" w:rsidRDefault="00B311E4" w:rsidP="00B311E4">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311E4" w:rsidRDefault="00B311E4" w:rsidP="00B311E4">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311E4" w:rsidRDefault="00B311E4" w:rsidP="00B311E4">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311E4" w:rsidRDefault="00B311E4" w:rsidP="00B311E4">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B311E4" w:rsidRDefault="00B311E4" w:rsidP="00B311E4">
      <w:pPr>
        <w:pStyle w:val="xmsonormal"/>
        <w:shd w:val="clear" w:color="auto" w:fill="FFFFFF"/>
        <w:bidi/>
        <w:spacing w:before="0" w:beforeAutospacing="0" w:after="0" w:afterAutospacing="0"/>
        <w:ind w:left="-18"/>
        <w:jc w:val="both"/>
        <w:rPr>
          <w:rFonts w:ascii="Simplified Arabic" w:hAnsi="Simplified Arabic" w:cs="Simplified Arabic" w:hint="cs"/>
          <w:color w:val="000000" w:themeColor="text1"/>
          <w:sz w:val="28"/>
          <w:szCs w:val="28"/>
          <w:rtl/>
        </w:rPr>
      </w:pPr>
    </w:p>
    <w:p w:rsidR="00145FE3" w:rsidRDefault="00145FE3" w:rsidP="00386502">
      <w:pPr>
        <w:pStyle w:val="xmsonormal"/>
        <w:shd w:val="clear" w:color="auto" w:fill="FFFFFF"/>
        <w:bidi/>
        <w:spacing w:before="0" w:beforeAutospacing="0" w:after="0" w:afterAutospacing="0"/>
        <w:jc w:val="both"/>
        <w:rPr>
          <w:rFonts w:ascii="Simplified Arabic" w:hAnsi="Simplified Arabic" w:cs="Simplified Arabic"/>
          <w:b/>
          <w:bCs/>
          <w:color w:val="000000" w:themeColor="text1"/>
          <w:sz w:val="28"/>
          <w:szCs w:val="28"/>
        </w:rPr>
      </w:pPr>
    </w:p>
    <w:sectPr w:rsidR="00145FE3" w:rsidSect="003C7EF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D58" w:rsidRDefault="00052D58" w:rsidP="004843CC">
      <w:r>
        <w:separator/>
      </w:r>
    </w:p>
  </w:endnote>
  <w:endnote w:type="continuationSeparator" w:id="0">
    <w:p w:rsidR="00052D58" w:rsidRDefault="00052D58" w:rsidP="004843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D58" w:rsidRDefault="00052D58" w:rsidP="004843CC">
      <w:r>
        <w:separator/>
      </w:r>
    </w:p>
  </w:footnote>
  <w:footnote w:type="continuationSeparator" w:id="0">
    <w:p w:rsidR="00052D58" w:rsidRDefault="00052D58" w:rsidP="004843CC">
      <w:r>
        <w:continuationSeparator/>
      </w:r>
    </w:p>
  </w:footnote>
  <w:footnote w:id="1">
    <w:p w:rsidR="004843CC" w:rsidRDefault="004843CC" w:rsidP="004843CC">
      <w:pPr>
        <w:pStyle w:val="FootnoteText"/>
        <w:bidi/>
        <w:jc w:val="both"/>
        <w:rPr>
          <w:rFonts w:hint="cs"/>
          <w:rtl/>
        </w:rPr>
      </w:pPr>
      <w:r>
        <w:rPr>
          <w:rStyle w:val="FootnoteReference"/>
        </w:rPr>
        <w:t>1</w:t>
      </w:r>
      <w:r>
        <w:t xml:space="preserve"> </w:t>
      </w:r>
      <w:r>
        <w:rPr>
          <w:rFonts w:hint="cs"/>
          <w:rtl/>
        </w:rPr>
        <w:t xml:space="preserve"> المنشآت تتضمن المساكن والمأوى وشبكات المياه والمراحيض والمدارس </w:t>
      </w:r>
      <w:r w:rsidR="00D4382A">
        <w:rPr>
          <w:rFonts w:hint="cs"/>
          <w:rtl/>
        </w:rPr>
        <w:t>والألواح</w:t>
      </w:r>
      <w:r>
        <w:rPr>
          <w:rFonts w:hint="cs"/>
          <w:rtl/>
        </w:rPr>
        <w:t xml:space="preserve"> الشمسية، الخ. </w:t>
      </w:r>
    </w:p>
  </w:footnote>
  <w:footnote w:id="2">
    <w:p w:rsidR="00D4382A" w:rsidRDefault="00D4382A" w:rsidP="00D4382A">
      <w:pPr>
        <w:pStyle w:val="FootnoteText"/>
        <w:bidi/>
        <w:jc w:val="both"/>
        <w:rPr>
          <w:rFonts w:hint="cs"/>
          <w:rtl/>
        </w:rPr>
      </w:pPr>
      <w:r>
        <w:rPr>
          <w:rStyle w:val="FootnoteReference"/>
        </w:rPr>
        <w:t>2</w:t>
      </w:r>
      <w:r>
        <w:t xml:space="preserve"> </w:t>
      </w:r>
      <w:r>
        <w:rPr>
          <w:rFonts w:hint="cs"/>
          <w:rtl/>
        </w:rPr>
        <w:t xml:space="preserve"> هذه الأرقام، المزودة من قبل مكتب الأمم المتحدة لتنسيق المساعدات الإنسانية، تتضمن عمليات الهدم كعقوبات وتفكيك ومصادرة وإخلاء قسري وهدم ذاتي (وقائي) لغاية 24 آذار 2017. </w:t>
      </w:r>
    </w:p>
  </w:footnote>
  <w:footnote w:id="3">
    <w:p w:rsidR="00B55802" w:rsidRPr="00B55802" w:rsidRDefault="00B55802" w:rsidP="00B55802">
      <w:pPr>
        <w:pStyle w:val="FootnoteText"/>
        <w:bidi/>
        <w:jc w:val="both"/>
        <w:rPr>
          <w:rFonts w:hint="cs"/>
          <w:rtl/>
          <w:lang w:val="en-US"/>
        </w:rPr>
      </w:pPr>
      <w:r>
        <w:rPr>
          <w:rStyle w:val="FootnoteReference"/>
        </w:rPr>
        <w:t>3</w:t>
      </w:r>
      <w:r>
        <w:t xml:space="preserve"> </w:t>
      </w:r>
      <w:r>
        <w:rPr>
          <w:rFonts w:hint="cs"/>
          <w:rtl/>
        </w:rPr>
        <w:t xml:space="preserve"> منطقة </w:t>
      </w:r>
      <w:r>
        <w:rPr>
          <w:lang w:val="en-US"/>
        </w:rPr>
        <w:t>E1</w:t>
      </w:r>
      <w:r>
        <w:rPr>
          <w:rFonts w:hint="cs"/>
          <w:rtl/>
          <w:lang w:val="en-US"/>
        </w:rPr>
        <w:t xml:space="preserve"> تشير إلى خطة إسرائيلية منذ العام 2009 تسعى لتوسيع مستوطنة معاليه أدوميم. في حال تم تنفيذ الخطة، سيتم تقسيم المناطق الفلسطينية إلى قسمين الأمر الذي سيجعل إقامة دولة فلسطينية </w:t>
      </w:r>
      <w:r w:rsidR="00F41030">
        <w:rPr>
          <w:rFonts w:hint="cs"/>
          <w:rtl/>
          <w:lang w:val="en-US"/>
        </w:rPr>
        <w:t>أمرا</w:t>
      </w:r>
      <w:r>
        <w:rPr>
          <w:rFonts w:hint="cs"/>
          <w:rtl/>
          <w:lang w:val="en-US"/>
        </w:rPr>
        <w:t xml:space="preserve"> مستحيلا. </w:t>
      </w:r>
    </w:p>
  </w:footnote>
  <w:footnote w:id="4">
    <w:p w:rsidR="00180FEC" w:rsidRDefault="00180FEC" w:rsidP="00180FEC">
      <w:pPr>
        <w:pStyle w:val="FootnoteText"/>
        <w:bidi/>
        <w:jc w:val="both"/>
        <w:rPr>
          <w:rFonts w:hint="cs"/>
          <w:rtl/>
        </w:rPr>
      </w:pPr>
      <w:r>
        <w:rPr>
          <w:rStyle w:val="FootnoteReference"/>
        </w:rPr>
        <w:t>4</w:t>
      </w:r>
      <w:r>
        <w:t xml:space="preserve"> </w:t>
      </w:r>
      <w:r>
        <w:rPr>
          <w:rFonts w:hint="cs"/>
          <w:rtl/>
        </w:rPr>
        <w:t xml:space="preserve"> المنشآت المهددة هي المنشآت التي تسلمت أوامر هدم أو أوامر وقف العمل أو أوامر إخلاء صادرة عن السلطات الإسرائيلية.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B0C90"/>
    <w:multiLevelType w:val="hybridMultilevel"/>
    <w:tmpl w:val="3542B2A4"/>
    <w:lvl w:ilvl="0" w:tplc="0809000D">
      <w:start w:val="1"/>
      <w:numFmt w:val="bullet"/>
      <w:lvlText w:val=""/>
      <w:lvlJc w:val="left"/>
      <w:pPr>
        <w:ind w:left="720" w:hanging="360"/>
      </w:pPr>
      <w:rPr>
        <w:rFonts w:ascii="Wingdings" w:hAnsi="Wingding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7B22B9"/>
    <w:multiLevelType w:val="hybridMultilevel"/>
    <w:tmpl w:val="BC1AD6AA"/>
    <w:lvl w:ilvl="0" w:tplc="0809000D">
      <w:start w:val="1"/>
      <w:numFmt w:val="bullet"/>
      <w:lvlText w:val=""/>
      <w:lvlJc w:val="left"/>
      <w:pPr>
        <w:ind w:left="720" w:hanging="360"/>
      </w:pPr>
      <w:rPr>
        <w:rFonts w:ascii="Wingdings" w:hAnsi="Wingding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3781DFE"/>
    <w:multiLevelType w:val="hybridMultilevel"/>
    <w:tmpl w:val="DA2A1082"/>
    <w:lvl w:ilvl="0" w:tplc="459A8356">
      <w:start w:val="4"/>
      <w:numFmt w:val="bullet"/>
      <w:lvlText w:val="-"/>
      <w:lvlJc w:val="left"/>
      <w:pPr>
        <w:ind w:left="342" w:hanging="360"/>
      </w:pPr>
      <w:rPr>
        <w:rFonts w:ascii="Simplified Arabic" w:eastAsia="Times New Roman" w:hAnsi="Simplified Arabic" w:cs="Simplified Arabic"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4">
    <w:nsid w:val="4502249A"/>
    <w:multiLevelType w:val="hybridMultilevel"/>
    <w:tmpl w:val="BEE02510"/>
    <w:lvl w:ilvl="0" w:tplc="5D2024DC">
      <w:start w:val="1"/>
      <w:numFmt w:val="bullet"/>
      <w:lvlText w:val="•"/>
      <w:lvlJc w:val="left"/>
      <w:pPr>
        <w:tabs>
          <w:tab w:val="num" w:pos="720"/>
        </w:tabs>
        <w:ind w:left="720" w:hanging="360"/>
      </w:pPr>
      <w:rPr>
        <w:rFonts w:ascii="Times New Roman" w:hAnsi="Times New Roman" w:hint="default"/>
      </w:rPr>
    </w:lvl>
    <w:lvl w:ilvl="1" w:tplc="88500C38" w:tentative="1">
      <w:start w:val="1"/>
      <w:numFmt w:val="bullet"/>
      <w:lvlText w:val="•"/>
      <w:lvlJc w:val="left"/>
      <w:pPr>
        <w:tabs>
          <w:tab w:val="num" w:pos="1440"/>
        </w:tabs>
        <w:ind w:left="1440" w:hanging="360"/>
      </w:pPr>
      <w:rPr>
        <w:rFonts w:ascii="Times New Roman" w:hAnsi="Times New Roman" w:hint="default"/>
      </w:rPr>
    </w:lvl>
    <w:lvl w:ilvl="2" w:tplc="0316BBA2" w:tentative="1">
      <w:start w:val="1"/>
      <w:numFmt w:val="bullet"/>
      <w:lvlText w:val="•"/>
      <w:lvlJc w:val="left"/>
      <w:pPr>
        <w:tabs>
          <w:tab w:val="num" w:pos="2160"/>
        </w:tabs>
        <w:ind w:left="2160" w:hanging="360"/>
      </w:pPr>
      <w:rPr>
        <w:rFonts w:ascii="Times New Roman" w:hAnsi="Times New Roman" w:hint="default"/>
      </w:rPr>
    </w:lvl>
    <w:lvl w:ilvl="3" w:tplc="A95A7FD8" w:tentative="1">
      <w:start w:val="1"/>
      <w:numFmt w:val="bullet"/>
      <w:lvlText w:val="•"/>
      <w:lvlJc w:val="left"/>
      <w:pPr>
        <w:tabs>
          <w:tab w:val="num" w:pos="2880"/>
        </w:tabs>
        <w:ind w:left="2880" w:hanging="360"/>
      </w:pPr>
      <w:rPr>
        <w:rFonts w:ascii="Times New Roman" w:hAnsi="Times New Roman" w:hint="default"/>
      </w:rPr>
    </w:lvl>
    <w:lvl w:ilvl="4" w:tplc="0B90DFDE" w:tentative="1">
      <w:start w:val="1"/>
      <w:numFmt w:val="bullet"/>
      <w:lvlText w:val="•"/>
      <w:lvlJc w:val="left"/>
      <w:pPr>
        <w:tabs>
          <w:tab w:val="num" w:pos="3600"/>
        </w:tabs>
        <w:ind w:left="3600" w:hanging="360"/>
      </w:pPr>
      <w:rPr>
        <w:rFonts w:ascii="Times New Roman" w:hAnsi="Times New Roman" w:hint="default"/>
      </w:rPr>
    </w:lvl>
    <w:lvl w:ilvl="5" w:tplc="EB9A2FC4" w:tentative="1">
      <w:start w:val="1"/>
      <w:numFmt w:val="bullet"/>
      <w:lvlText w:val="•"/>
      <w:lvlJc w:val="left"/>
      <w:pPr>
        <w:tabs>
          <w:tab w:val="num" w:pos="4320"/>
        </w:tabs>
        <w:ind w:left="4320" w:hanging="360"/>
      </w:pPr>
      <w:rPr>
        <w:rFonts w:ascii="Times New Roman" w:hAnsi="Times New Roman" w:hint="default"/>
      </w:rPr>
    </w:lvl>
    <w:lvl w:ilvl="6" w:tplc="D7487A9E" w:tentative="1">
      <w:start w:val="1"/>
      <w:numFmt w:val="bullet"/>
      <w:lvlText w:val="•"/>
      <w:lvlJc w:val="left"/>
      <w:pPr>
        <w:tabs>
          <w:tab w:val="num" w:pos="5040"/>
        </w:tabs>
        <w:ind w:left="5040" w:hanging="360"/>
      </w:pPr>
      <w:rPr>
        <w:rFonts w:ascii="Times New Roman" w:hAnsi="Times New Roman" w:hint="default"/>
      </w:rPr>
    </w:lvl>
    <w:lvl w:ilvl="7" w:tplc="99D4C846" w:tentative="1">
      <w:start w:val="1"/>
      <w:numFmt w:val="bullet"/>
      <w:lvlText w:val="•"/>
      <w:lvlJc w:val="left"/>
      <w:pPr>
        <w:tabs>
          <w:tab w:val="num" w:pos="5760"/>
        </w:tabs>
        <w:ind w:left="5760" w:hanging="360"/>
      </w:pPr>
      <w:rPr>
        <w:rFonts w:ascii="Times New Roman" w:hAnsi="Times New Roman" w:hint="default"/>
      </w:rPr>
    </w:lvl>
    <w:lvl w:ilvl="8" w:tplc="B1464218" w:tentative="1">
      <w:start w:val="1"/>
      <w:numFmt w:val="bullet"/>
      <w:lvlText w:val="•"/>
      <w:lvlJc w:val="left"/>
      <w:pPr>
        <w:tabs>
          <w:tab w:val="num" w:pos="6480"/>
        </w:tabs>
        <w:ind w:left="6480" w:hanging="360"/>
      </w:pPr>
      <w:rPr>
        <w:rFonts w:ascii="Times New Roman" w:hAnsi="Times New Roman" w:hint="default"/>
      </w:rPr>
    </w:lvl>
  </w:abstractNum>
  <w:abstractNum w:abstractNumId="5">
    <w:nsid w:val="4E4E4987"/>
    <w:multiLevelType w:val="hybridMultilevel"/>
    <w:tmpl w:val="EF06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A034DE"/>
    <w:multiLevelType w:val="hybridMultilevel"/>
    <w:tmpl w:val="0004F79C"/>
    <w:lvl w:ilvl="0" w:tplc="0A36FEF6">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42F24E6"/>
    <w:multiLevelType w:val="hybridMultilevel"/>
    <w:tmpl w:val="91281FD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68F01758"/>
    <w:multiLevelType w:val="hybridMultilevel"/>
    <w:tmpl w:val="7140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C0298C"/>
    <w:multiLevelType w:val="hybridMultilevel"/>
    <w:tmpl w:val="514E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F833C9"/>
    <w:multiLevelType w:val="hybridMultilevel"/>
    <w:tmpl w:val="C02CCA08"/>
    <w:lvl w:ilvl="0" w:tplc="0809000D">
      <w:start w:val="1"/>
      <w:numFmt w:val="bullet"/>
      <w:lvlText w:val=""/>
      <w:lvlJc w:val="left"/>
      <w:pPr>
        <w:ind w:left="720" w:hanging="360"/>
      </w:pPr>
      <w:rPr>
        <w:rFonts w:ascii="Wingdings" w:hAnsi="Wingding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2"/>
  </w:num>
  <w:num w:numId="5">
    <w:abstractNumId w:val="0"/>
  </w:num>
  <w:num w:numId="6">
    <w:abstractNumId w:val="8"/>
  </w:num>
  <w:num w:numId="7">
    <w:abstractNumId w:val="5"/>
  </w:num>
  <w:num w:numId="8">
    <w:abstractNumId w:val="9"/>
  </w:num>
  <w:num w:numId="9">
    <w:abstractNumId w:val="4"/>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docVars>
    <w:docVar w:name="LW_DocType" w:val="NORMAL"/>
  </w:docVars>
  <w:rsids>
    <w:rsidRoot w:val="00137BCE"/>
    <w:rsid w:val="000144FC"/>
    <w:rsid w:val="00052D58"/>
    <w:rsid w:val="00076A05"/>
    <w:rsid w:val="000A297D"/>
    <w:rsid w:val="000B7D2D"/>
    <w:rsid w:val="00117E58"/>
    <w:rsid w:val="001252A0"/>
    <w:rsid w:val="00137BCE"/>
    <w:rsid w:val="00145FE3"/>
    <w:rsid w:val="00147960"/>
    <w:rsid w:val="00174825"/>
    <w:rsid w:val="00177E4C"/>
    <w:rsid w:val="00180FEC"/>
    <w:rsid w:val="001B5F1E"/>
    <w:rsid w:val="001D099B"/>
    <w:rsid w:val="001E2818"/>
    <w:rsid w:val="001E5607"/>
    <w:rsid w:val="001F7E2F"/>
    <w:rsid w:val="00206F90"/>
    <w:rsid w:val="00230E12"/>
    <w:rsid w:val="002557BC"/>
    <w:rsid w:val="002948AF"/>
    <w:rsid w:val="002A5B17"/>
    <w:rsid w:val="002B1BF7"/>
    <w:rsid w:val="002B23A8"/>
    <w:rsid w:val="002C2DDD"/>
    <w:rsid w:val="002C6AA8"/>
    <w:rsid w:val="002D2EDC"/>
    <w:rsid w:val="002E4675"/>
    <w:rsid w:val="002E6C78"/>
    <w:rsid w:val="002F6405"/>
    <w:rsid w:val="00327F0D"/>
    <w:rsid w:val="00342BD0"/>
    <w:rsid w:val="00355042"/>
    <w:rsid w:val="00386502"/>
    <w:rsid w:val="003C57BD"/>
    <w:rsid w:val="003C7EF6"/>
    <w:rsid w:val="00403C52"/>
    <w:rsid w:val="00460EAE"/>
    <w:rsid w:val="00482CE1"/>
    <w:rsid w:val="004843CC"/>
    <w:rsid w:val="004A51DA"/>
    <w:rsid w:val="004E0BD0"/>
    <w:rsid w:val="00513356"/>
    <w:rsid w:val="00516D41"/>
    <w:rsid w:val="00543C0B"/>
    <w:rsid w:val="0054443E"/>
    <w:rsid w:val="00554BD9"/>
    <w:rsid w:val="00566922"/>
    <w:rsid w:val="00592367"/>
    <w:rsid w:val="005A4ED3"/>
    <w:rsid w:val="005E1C54"/>
    <w:rsid w:val="00606695"/>
    <w:rsid w:val="006532C7"/>
    <w:rsid w:val="00663CB6"/>
    <w:rsid w:val="00665ED1"/>
    <w:rsid w:val="00686CA6"/>
    <w:rsid w:val="006D78DF"/>
    <w:rsid w:val="00747CBA"/>
    <w:rsid w:val="00792811"/>
    <w:rsid w:val="00793A38"/>
    <w:rsid w:val="007A4764"/>
    <w:rsid w:val="00826C5F"/>
    <w:rsid w:val="008275BC"/>
    <w:rsid w:val="00876DC6"/>
    <w:rsid w:val="00880852"/>
    <w:rsid w:val="008C4966"/>
    <w:rsid w:val="008D7CE3"/>
    <w:rsid w:val="00912602"/>
    <w:rsid w:val="009353C6"/>
    <w:rsid w:val="00973359"/>
    <w:rsid w:val="009B72DE"/>
    <w:rsid w:val="009C5824"/>
    <w:rsid w:val="009C5BD1"/>
    <w:rsid w:val="00A00605"/>
    <w:rsid w:val="00A939B8"/>
    <w:rsid w:val="00AD6D9E"/>
    <w:rsid w:val="00B069EC"/>
    <w:rsid w:val="00B14F2C"/>
    <w:rsid w:val="00B25781"/>
    <w:rsid w:val="00B311E4"/>
    <w:rsid w:val="00B55802"/>
    <w:rsid w:val="00B57199"/>
    <w:rsid w:val="00B70ED0"/>
    <w:rsid w:val="00B7658D"/>
    <w:rsid w:val="00B873F0"/>
    <w:rsid w:val="00B9543C"/>
    <w:rsid w:val="00BE3DB3"/>
    <w:rsid w:val="00BE722A"/>
    <w:rsid w:val="00C013D8"/>
    <w:rsid w:val="00C30D3D"/>
    <w:rsid w:val="00C36A8D"/>
    <w:rsid w:val="00CA561D"/>
    <w:rsid w:val="00CD078B"/>
    <w:rsid w:val="00D21693"/>
    <w:rsid w:val="00D4382A"/>
    <w:rsid w:val="00D4437C"/>
    <w:rsid w:val="00D5263D"/>
    <w:rsid w:val="00D61735"/>
    <w:rsid w:val="00D76795"/>
    <w:rsid w:val="00DD6CEF"/>
    <w:rsid w:val="00E00B94"/>
    <w:rsid w:val="00E11062"/>
    <w:rsid w:val="00E212E2"/>
    <w:rsid w:val="00E4320D"/>
    <w:rsid w:val="00EA3252"/>
    <w:rsid w:val="00F14EEE"/>
    <w:rsid w:val="00F21C76"/>
    <w:rsid w:val="00F41030"/>
    <w:rsid w:val="00F91B1B"/>
    <w:rsid w:val="00FC68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8AF"/>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EDC"/>
    <w:pPr>
      <w:ind w:left="720"/>
      <w:contextualSpacing/>
    </w:pPr>
  </w:style>
  <w:style w:type="paragraph" w:styleId="BalloonText">
    <w:name w:val="Balloon Text"/>
    <w:basedOn w:val="Normal"/>
    <w:link w:val="BalloonTextChar"/>
    <w:uiPriority w:val="99"/>
    <w:semiHidden/>
    <w:unhideWhenUsed/>
    <w:rsid w:val="008275BC"/>
    <w:rPr>
      <w:rFonts w:ascii="Tahoma" w:hAnsi="Tahoma" w:cs="Tahoma"/>
      <w:sz w:val="16"/>
      <w:szCs w:val="16"/>
    </w:rPr>
  </w:style>
  <w:style w:type="character" w:customStyle="1" w:styleId="BalloonTextChar">
    <w:name w:val="Balloon Text Char"/>
    <w:basedOn w:val="DefaultParagraphFont"/>
    <w:link w:val="BalloonText"/>
    <w:uiPriority w:val="99"/>
    <w:semiHidden/>
    <w:rsid w:val="008275BC"/>
    <w:rPr>
      <w:rFonts w:ascii="Tahoma" w:eastAsia="Calibri" w:hAnsi="Tahoma" w:cs="Tahoma"/>
      <w:sz w:val="16"/>
      <w:szCs w:val="16"/>
    </w:rPr>
  </w:style>
  <w:style w:type="character" w:styleId="CommentReference">
    <w:name w:val="annotation reference"/>
    <w:basedOn w:val="DefaultParagraphFont"/>
    <w:uiPriority w:val="99"/>
    <w:semiHidden/>
    <w:unhideWhenUsed/>
    <w:rsid w:val="008275BC"/>
    <w:rPr>
      <w:sz w:val="16"/>
      <w:szCs w:val="16"/>
    </w:rPr>
  </w:style>
  <w:style w:type="paragraph" w:styleId="CommentText">
    <w:name w:val="annotation text"/>
    <w:basedOn w:val="Normal"/>
    <w:link w:val="CommentTextChar"/>
    <w:uiPriority w:val="99"/>
    <w:semiHidden/>
    <w:unhideWhenUsed/>
    <w:rsid w:val="008275BC"/>
    <w:rPr>
      <w:sz w:val="20"/>
      <w:szCs w:val="20"/>
    </w:rPr>
  </w:style>
  <w:style w:type="character" w:customStyle="1" w:styleId="CommentTextChar">
    <w:name w:val="Comment Text Char"/>
    <w:basedOn w:val="DefaultParagraphFont"/>
    <w:link w:val="CommentText"/>
    <w:uiPriority w:val="99"/>
    <w:semiHidden/>
    <w:rsid w:val="008275B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75BC"/>
    <w:rPr>
      <w:b/>
      <w:bCs/>
    </w:rPr>
  </w:style>
  <w:style w:type="character" w:customStyle="1" w:styleId="CommentSubjectChar">
    <w:name w:val="Comment Subject Char"/>
    <w:basedOn w:val="CommentTextChar"/>
    <w:link w:val="CommentSubject"/>
    <w:uiPriority w:val="99"/>
    <w:semiHidden/>
    <w:rsid w:val="008275BC"/>
    <w:rPr>
      <w:rFonts w:ascii="Calibri" w:eastAsia="Calibri" w:hAnsi="Calibri" w:cs="Times New Roman"/>
      <w:b/>
      <w:bCs/>
      <w:sz w:val="20"/>
      <w:szCs w:val="20"/>
    </w:rPr>
  </w:style>
  <w:style w:type="character" w:styleId="Hyperlink">
    <w:name w:val="Hyperlink"/>
    <w:uiPriority w:val="99"/>
    <w:unhideWhenUsed/>
    <w:rsid w:val="00206F90"/>
    <w:rPr>
      <w:color w:val="0000FF"/>
      <w:u w:val="single"/>
    </w:rPr>
  </w:style>
  <w:style w:type="paragraph" w:styleId="PlainText">
    <w:name w:val="Plain Text"/>
    <w:basedOn w:val="Normal"/>
    <w:link w:val="PlainTextChar"/>
    <w:uiPriority w:val="99"/>
    <w:unhideWhenUsed/>
    <w:rsid w:val="00206F90"/>
  </w:style>
  <w:style w:type="character" w:customStyle="1" w:styleId="PlainTextChar">
    <w:name w:val="Plain Text Char"/>
    <w:basedOn w:val="DefaultParagraphFont"/>
    <w:link w:val="PlainText"/>
    <w:uiPriority w:val="99"/>
    <w:rsid w:val="00206F90"/>
    <w:rPr>
      <w:rFonts w:ascii="Calibri" w:eastAsia="Calibri" w:hAnsi="Calibri" w:cs="Times New Roman"/>
    </w:rPr>
  </w:style>
  <w:style w:type="paragraph" w:customStyle="1" w:styleId="xmsonormal">
    <w:name w:val="x_msonormal"/>
    <w:basedOn w:val="Normal"/>
    <w:rsid w:val="005E1C54"/>
    <w:pPr>
      <w:spacing w:before="100" w:beforeAutospacing="1" w:after="100" w:afterAutospacing="1"/>
    </w:pPr>
    <w:rPr>
      <w:rFonts w:ascii="Times New Roman" w:eastAsia="Times New Roman" w:hAnsi="Times New Roman"/>
      <w:sz w:val="24"/>
      <w:szCs w:val="24"/>
      <w:lang w:val="en-US"/>
    </w:rPr>
  </w:style>
  <w:style w:type="paragraph" w:styleId="FootnoteText">
    <w:name w:val="footnote text"/>
    <w:basedOn w:val="Normal"/>
    <w:link w:val="FootnoteTextChar"/>
    <w:uiPriority w:val="99"/>
    <w:semiHidden/>
    <w:unhideWhenUsed/>
    <w:rsid w:val="004843CC"/>
    <w:rPr>
      <w:sz w:val="20"/>
      <w:szCs w:val="20"/>
    </w:rPr>
  </w:style>
  <w:style w:type="character" w:customStyle="1" w:styleId="FootnoteTextChar">
    <w:name w:val="Footnote Text Char"/>
    <w:basedOn w:val="DefaultParagraphFont"/>
    <w:link w:val="FootnoteText"/>
    <w:uiPriority w:val="99"/>
    <w:semiHidden/>
    <w:rsid w:val="004843C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843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8AF"/>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EDC"/>
    <w:pPr>
      <w:ind w:left="720"/>
      <w:contextualSpacing/>
    </w:pPr>
  </w:style>
  <w:style w:type="paragraph" w:styleId="BalloonText">
    <w:name w:val="Balloon Text"/>
    <w:basedOn w:val="Normal"/>
    <w:link w:val="BalloonTextChar"/>
    <w:uiPriority w:val="99"/>
    <w:semiHidden/>
    <w:unhideWhenUsed/>
    <w:rsid w:val="008275BC"/>
    <w:rPr>
      <w:rFonts w:ascii="Tahoma" w:hAnsi="Tahoma" w:cs="Tahoma"/>
      <w:sz w:val="16"/>
      <w:szCs w:val="16"/>
    </w:rPr>
  </w:style>
  <w:style w:type="character" w:customStyle="1" w:styleId="BalloonTextChar">
    <w:name w:val="Balloon Text Char"/>
    <w:basedOn w:val="DefaultParagraphFont"/>
    <w:link w:val="BalloonText"/>
    <w:uiPriority w:val="99"/>
    <w:semiHidden/>
    <w:rsid w:val="008275BC"/>
    <w:rPr>
      <w:rFonts w:ascii="Tahoma" w:eastAsia="Calibri" w:hAnsi="Tahoma" w:cs="Tahoma"/>
      <w:sz w:val="16"/>
      <w:szCs w:val="16"/>
    </w:rPr>
  </w:style>
  <w:style w:type="character" w:styleId="CommentReference">
    <w:name w:val="annotation reference"/>
    <w:basedOn w:val="DefaultParagraphFont"/>
    <w:uiPriority w:val="99"/>
    <w:semiHidden/>
    <w:unhideWhenUsed/>
    <w:rsid w:val="008275BC"/>
    <w:rPr>
      <w:sz w:val="16"/>
      <w:szCs w:val="16"/>
    </w:rPr>
  </w:style>
  <w:style w:type="paragraph" w:styleId="CommentText">
    <w:name w:val="annotation text"/>
    <w:basedOn w:val="Normal"/>
    <w:link w:val="CommentTextChar"/>
    <w:uiPriority w:val="99"/>
    <w:semiHidden/>
    <w:unhideWhenUsed/>
    <w:rsid w:val="008275BC"/>
    <w:rPr>
      <w:sz w:val="20"/>
      <w:szCs w:val="20"/>
    </w:rPr>
  </w:style>
  <w:style w:type="character" w:customStyle="1" w:styleId="CommentTextChar">
    <w:name w:val="Comment Text Char"/>
    <w:basedOn w:val="DefaultParagraphFont"/>
    <w:link w:val="CommentText"/>
    <w:uiPriority w:val="99"/>
    <w:semiHidden/>
    <w:rsid w:val="008275B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75BC"/>
    <w:rPr>
      <w:b/>
      <w:bCs/>
    </w:rPr>
  </w:style>
  <w:style w:type="character" w:customStyle="1" w:styleId="CommentSubjectChar">
    <w:name w:val="Comment Subject Char"/>
    <w:basedOn w:val="CommentTextChar"/>
    <w:link w:val="CommentSubject"/>
    <w:uiPriority w:val="99"/>
    <w:semiHidden/>
    <w:rsid w:val="008275BC"/>
    <w:rPr>
      <w:rFonts w:ascii="Calibri" w:eastAsia="Calibri" w:hAnsi="Calibri" w:cs="Times New Roman"/>
      <w:b/>
      <w:bCs/>
      <w:sz w:val="20"/>
      <w:szCs w:val="20"/>
    </w:rPr>
  </w:style>
  <w:style w:type="character" w:styleId="Hyperlink">
    <w:name w:val="Hyperlink"/>
    <w:uiPriority w:val="99"/>
    <w:unhideWhenUsed/>
    <w:rsid w:val="00206F90"/>
    <w:rPr>
      <w:color w:val="0000FF"/>
      <w:u w:val="single"/>
    </w:rPr>
  </w:style>
  <w:style w:type="paragraph" w:styleId="PlainText">
    <w:name w:val="Plain Text"/>
    <w:basedOn w:val="Normal"/>
    <w:link w:val="PlainTextChar"/>
    <w:uiPriority w:val="99"/>
    <w:unhideWhenUsed/>
    <w:rsid w:val="00206F90"/>
  </w:style>
  <w:style w:type="character" w:customStyle="1" w:styleId="PlainTextChar">
    <w:name w:val="Plain Text Char"/>
    <w:basedOn w:val="DefaultParagraphFont"/>
    <w:link w:val="PlainText"/>
    <w:uiPriority w:val="99"/>
    <w:rsid w:val="00206F9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91696429">
      <w:bodyDiv w:val="1"/>
      <w:marLeft w:val="0"/>
      <w:marRight w:val="0"/>
      <w:marTop w:val="0"/>
      <w:marBottom w:val="0"/>
      <w:divBdr>
        <w:top w:val="none" w:sz="0" w:space="0" w:color="auto"/>
        <w:left w:val="none" w:sz="0" w:space="0" w:color="auto"/>
        <w:bottom w:val="none" w:sz="0" w:space="0" w:color="auto"/>
        <w:right w:val="none" w:sz="0" w:space="0" w:color="auto"/>
      </w:divBdr>
      <w:divsChild>
        <w:div w:id="1745951975">
          <w:marLeft w:val="547"/>
          <w:marRight w:val="0"/>
          <w:marTop w:val="77"/>
          <w:marBottom w:val="0"/>
          <w:divBdr>
            <w:top w:val="none" w:sz="0" w:space="0" w:color="auto"/>
            <w:left w:val="none" w:sz="0" w:space="0" w:color="auto"/>
            <w:bottom w:val="none" w:sz="0" w:space="0" w:color="auto"/>
            <w:right w:val="none" w:sz="0" w:space="0" w:color="auto"/>
          </w:divBdr>
        </w:div>
        <w:div w:id="892616395">
          <w:marLeft w:val="547"/>
          <w:marRight w:val="0"/>
          <w:marTop w:val="77"/>
          <w:marBottom w:val="0"/>
          <w:divBdr>
            <w:top w:val="none" w:sz="0" w:space="0" w:color="auto"/>
            <w:left w:val="none" w:sz="0" w:space="0" w:color="auto"/>
            <w:bottom w:val="none" w:sz="0" w:space="0" w:color="auto"/>
            <w:right w:val="none" w:sz="0" w:space="0" w:color="auto"/>
          </w:divBdr>
        </w:div>
        <w:div w:id="236021051">
          <w:marLeft w:val="547"/>
          <w:marRight w:val="0"/>
          <w:marTop w:val="77"/>
          <w:marBottom w:val="0"/>
          <w:divBdr>
            <w:top w:val="none" w:sz="0" w:space="0" w:color="auto"/>
            <w:left w:val="none" w:sz="0" w:space="0" w:color="auto"/>
            <w:bottom w:val="none" w:sz="0" w:space="0" w:color="auto"/>
            <w:right w:val="none" w:sz="0" w:space="0" w:color="auto"/>
          </w:divBdr>
        </w:div>
      </w:divsChild>
    </w:div>
    <w:div w:id="1307128913">
      <w:bodyDiv w:val="1"/>
      <w:marLeft w:val="0"/>
      <w:marRight w:val="0"/>
      <w:marTop w:val="0"/>
      <w:marBottom w:val="0"/>
      <w:divBdr>
        <w:top w:val="none" w:sz="0" w:space="0" w:color="auto"/>
        <w:left w:val="none" w:sz="0" w:space="0" w:color="auto"/>
        <w:bottom w:val="none" w:sz="0" w:space="0" w:color="auto"/>
        <w:right w:val="none" w:sz="0" w:space="0" w:color="auto"/>
      </w:divBdr>
    </w:div>
    <w:div w:id="1806850793">
      <w:bodyDiv w:val="1"/>
      <w:marLeft w:val="0"/>
      <w:marRight w:val="0"/>
      <w:marTop w:val="0"/>
      <w:marBottom w:val="0"/>
      <w:divBdr>
        <w:top w:val="none" w:sz="0" w:space="0" w:color="auto"/>
        <w:left w:val="none" w:sz="0" w:space="0" w:color="auto"/>
        <w:bottom w:val="none" w:sz="0" w:space="0" w:color="auto"/>
        <w:right w:val="none" w:sz="0" w:space="0" w:color="auto"/>
      </w:divBdr>
    </w:div>
    <w:div w:id="1869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AF9A2-EA0B-44B4-8D22-B618A5AE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7</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ISHAQ</dc:creator>
  <cp:lastModifiedBy>Khader</cp:lastModifiedBy>
  <cp:revision>38</cp:revision>
  <dcterms:created xsi:type="dcterms:W3CDTF">2017-04-07T07:11:00Z</dcterms:created>
  <dcterms:modified xsi:type="dcterms:W3CDTF">2017-04-07T13:05:00Z</dcterms:modified>
</cp:coreProperties>
</file>